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F98EC5">
      <w:pPr>
        <w:rPr>
          <w:color w:val="auto"/>
          <w:u w:val="none" w:color="auto"/>
        </w:rPr>
      </w:pPr>
    </w:p>
    <w:p w14:paraId="132F56C7">
      <w:pPr>
        <w:rPr>
          <w:color w:val="auto"/>
          <w:sz w:val="44"/>
          <w:szCs w:val="52"/>
          <w:u w:val="none" w:color="auto"/>
        </w:rPr>
      </w:pPr>
    </w:p>
    <w:p w14:paraId="23C97C3D">
      <w:pPr>
        <w:jc w:val="center"/>
        <w:rPr>
          <w:rFonts w:hint="eastAsia" w:ascii="宋体" w:hAnsi="宋体" w:eastAsia="宋体" w:cs="宋体"/>
          <w:color w:val="auto"/>
          <w:sz w:val="52"/>
          <w:szCs w:val="52"/>
          <w:u w:val="none" w:color="auto"/>
          <w:lang w:val="en-US" w:eastAsia="zh-CN"/>
        </w:rPr>
      </w:pPr>
      <w:r>
        <w:rPr>
          <w:rFonts w:hint="eastAsia" w:ascii="宋体" w:hAnsi="宋体" w:eastAsia="宋体" w:cs="宋体"/>
          <w:color w:val="auto"/>
          <w:sz w:val="52"/>
          <w:szCs w:val="52"/>
          <w:u w:val="none" w:color="auto"/>
          <w:lang w:val="en-US" w:eastAsia="zh-CN"/>
        </w:rPr>
        <w:t>湖南铭腾新材料有限公司</w:t>
      </w:r>
    </w:p>
    <w:p w14:paraId="103EC9F2">
      <w:pPr>
        <w:jc w:val="center"/>
        <w:rPr>
          <w:rFonts w:hint="default" w:eastAsia="楷体_GB2312"/>
          <w:color w:val="auto"/>
          <w:sz w:val="44"/>
          <w:szCs w:val="44"/>
          <w:u w:val="none" w:color="auto"/>
          <w:lang w:val="en-US" w:eastAsia="zh-CN"/>
        </w:rPr>
      </w:pPr>
      <w:r>
        <w:rPr>
          <w:rFonts w:hint="eastAsia" w:ascii="宋体" w:hAnsi="宋体" w:eastAsia="宋体" w:cs="宋体"/>
          <w:color w:val="auto"/>
          <w:sz w:val="52"/>
          <w:szCs w:val="52"/>
          <w:u w:val="none" w:color="auto"/>
          <w:lang w:val="en-US" w:eastAsia="zh-CN"/>
        </w:rPr>
        <w:t>铭腾高分子制品年产30000吨塑料板材、5000吨装饰线条建设项目</w:t>
      </w:r>
    </w:p>
    <w:p w14:paraId="22EA2109">
      <w:pPr>
        <w:keepNext w:val="0"/>
        <w:keepLines w:val="0"/>
        <w:pageBreakBefore w:val="0"/>
        <w:widowControl w:val="0"/>
        <w:kinsoku/>
        <w:wordWrap/>
        <w:overflowPunct/>
        <w:topLinePunct w:val="0"/>
        <w:autoSpaceDE/>
        <w:autoSpaceDN/>
        <w:bidi/>
        <w:adjustRightInd/>
        <w:snapToGrid/>
        <w:jc w:val="center"/>
        <w:textAlignment w:val="auto"/>
        <w:rPr>
          <w:rFonts w:hint="eastAsia" w:ascii="华文行楷" w:hAnsi="华文行楷" w:eastAsia="华文行楷" w:cs="华文行楷"/>
          <w:color w:val="auto"/>
          <w:spacing w:val="2"/>
          <w:w w:val="130"/>
          <w:sz w:val="72"/>
          <w:szCs w:val="72"/>
          <w:u w:val="none" w:color="auto"/>
        </w:rPr>
      </w:pPr>
      <w:r>
        <w:rPr>
          <w:rFonts w:hint="eastAsia" w:ascii="华文行楷" w:hAnsi="华文行楷" w:eastAsia="华文行楷" w:cs="华文行楷"/>
          <w:color w:val="auto"/>
          <w:sz w:val="84"/>
          <w:szCs w:val="84"/>
          <w:u w:val="none" w:color="auto"/>
        </w:rPr>
        <w:t>环境影响报告书</w:t>
      </w:r>
    </w:p>
    <w:p w14:paraId="40E1DC4D">
      <w:pPr>
        <w:keepNext w:val="0"/>
        <w:keepLines w:val="0"/>
        <w:pageBreakBefore w:val="0"/>
        <w:widowControl w:val="0"/>
        <w:kinsoku/>
        <w:wordWrap/>
        <w:overflowPunct/>
        <w:topLinePunct w:val="0"/>
        <w:autoSpaceDE/>
        <w:autoSpaceDN/>
        <w:bidi/>
        <w:adjustRightInd/>
        <w:snapToGrid/>
        <w:jc w:val="center"/>
        <w:textAlignment w:val="auto"/>
        <w:rPr>
          <w:bCs/>
          <w:color w:val="auto"/>
          <w:sz w:val="36"/>
          <w:u w:val="none" w:color="auto"/>
        </w:rPr>
      </w:pPr>
      <w:r>
        <w:rPr>
          <w:bCs/>
          <w:color w:val="auto"/>
          <w:sz w:val="36"/>
          <w:u w:val="none" w:color="auto"/>
        </w:rPr>
        <w:t>（</w:t>
      </w:r>
      <w:r>
        <w:rPr>
          <w:rFonts w:hint="eastAsia"/>
          <w:bCs/>
          <w:color w:val="auto"/>
          <w:sz w:val="36"/>
          <w:u w:val="none" w:color="auto"/>
          <w:lang w:val="en-US" w:eastAsia="zh-CN"/>
        </w:rPr>
        <w:t>送审稿</w:t>
      </w:r>
      <w:r>
        <w:rPr>
          <w:bCs/>
          <w:color w:val="auto"/>
          <w:sz w:val="36"/>
          <w:u w:val="none" w:color="auto"/>
        </w:rPr>
        <w:t>）</w:t>
      </w:r>
    </w:p>
    <w:p w14:paraId="72C69BFB">
      <w:pPr>
        <w:pStyle w:val="8"/>
        <w:rPr>
          <w:bCs/>
          <w:color w:val="auto"/>
          <w:sz w:val="36"/>
          <w:u w:val="none" w:color="auto"/>
        </w:rPr>
      </w:pPr>
    </w:p>
    <w:p w14:paraId="44D4F64E">
      <w:pPr>
        <w:pStyle w:val="19"/>
        <w:bidi w:val="0"/>
      </w:pPr>
    </w:p>
    <w:p w14:paraId="31A4C991">
      <w:pPr>
        <w:jc w:val="center"/>
        <w:rPr>
          <w:color w:val="auto"/>
          <w:sz w:val="96"/>
          <w:szCs w:val="160"/>
          <w:u w:val="none" w:color="auto"/>
        </w:rPr>
      </w:pPr>
    </w:p>
    <w:p w14:paraId="4E1F99EF">
      <w:pPr>
        <w:jc w:val="center"/>
        <w:rPr>
          <w:color w:val="auto"/>
          <w:sz w:val="96"/>
          <w:szCs w:val="160"/>
          <w:u w:val="none" w:color="auto"/>
        </w:rPr>
      </w:pPr>
    </w:p>
    <w:p w14:paraId="427036FA">
      <w:pPr>
        <w:jc w:val="center"/>
        <w:rPr>
          <w:color w:val="auto"/>
          <w:sz w:val="96"/>
          <w:szCs w:val="160"/>
          <w:u w:val="none" w:color="auto"/>
        </w:rPr>
      </w:pPr>
    </w:p>
    <w:p w14:paraId="62DFEE3F">
      <w:pPr>
        <w:jc w:val="center"/>
        <w:rPr>
          <w:color w:val="auto"/>
          <w:sz w:val="96"/>
          <w:szCs w:val="160"/>
          <w:u w:val="none" w:color="auto"/>
        </w:rPr>
      </w:pPr>
    </w:p>
    <w:p w14:paraId="527FD30E">
      <w:pPr>
        <w:adjustRightInd w:val="0"/>
        <w:spacing w:line="360" w:lineRule="auto"/>
        <w:jc w:val="center"/>
        <w:rPr>
          <w:rFonts w:hint="eastAsia" w:eastAsia="宋体"/>
          <w:color w:val="auto"/>
          <w:sz w:val="28"/>
          <w:szCs w:val="28"/>
          <w:u w:val="none" w:color="auto"/>
          <w:lang w:eastAsia="zh-CN"/>
        </w:rPr>
      </w:pPr>
      <w:r>
        <w:rPr>
          <w:color w:val="auto"/>
          <w:sz w:val="28"/>
          <w:szCs w:val="28"/>
          <w:u w:val="none" w:color="auto"/>
        </w:rPr>
        <w:t>建设单位：</w:t>
      </w:r>
      <w:r>
        <w:rPr>
          <w:rFonts w:hint="eastAsia"/>
          <w:color w:val="auto"/>
          <w:sz w:val="28"/>
          <w:szCs w:val="28"/>
          <w:u w:val="none" w:color="auto"/>
          <w:lang w:eastAsia="zh-CN"/>
        </w:rPr>
        <w:t>湖南铭腾新材料有限公司</w:t>
      </w:r>
    </w:p>
    <w:p w14:paraId="686FFF8A">
      <w:pPr>
        <w:adjustRightInd w:val="0"/>
        <w:spacing w:line="360" w:lineRule="auto"/>
        <w:jc w:val="center"/>
        <w:rPr>
          <w:color w:val="auto"/>
          <w:sz w:val="28"/>
          <w:szCs w:val="28"/>
          <w:u w:val="none" w:color="auto"/>
        </w:rPr>
      </w:pPr>
      <w:r>
        <w:rPr>
          <w:color w:val="auto"/>
          <w:sz w:val="28"/>
          <w:szCs w:val="28"/>
          <w:u w:val="none" w:color="auto"/>
        </w:rPr>
        <w:t>编制单位：</w:t>
      </w:r>
      <w:r>
        <w:rPr>
          <w:rFonts w:hint="eastAsia"/>
          <w:color w:val="auto"/>
          <w:sz w:val="28"/>
          <w:szCs w:val="28"/>
          <w:u w:val="none" w:color="auto"/>
        </w:rPr>
        <w:t>湖南</w:t>
      </w:r>
      <w:r>
        <w:rPr>
          <w:rFonts w:hint="eastAsia"/>
          <w:color w:val="auto"/>
          <w:sz w:val="28"/>
          <w:szCs w:val="28"/>
          <w:u w:val="none" w:color="auto"/>
          <w:lang w:val="en-US" w:eastAsia="zh-CN"/>
        </w:rPr>
        <w:t>顺洄环保科技</w:t>
      </w:r>
      <w:r>
        <w:rPr>
          <w:rFonts w:hint="eastAsia"/>
          <w:color w:val="auto"/>
          <w:sz w:val="28"/>
          <w:szCs w:val="28"/>
          <w:u w:val="none" w:color="auto"/>
        </w:rPr>
        <w:t>有限公司</w:t>
      </w:r>
    </w:p>
    <w:p w14:paraId="23836599">
      <w:pPr>
        <w:adjustRightInd w:val="0"/>
        <w:spacing w:line="360" w:lineRule="auto"/>
        <w:jc w:val="center"/>
        <w:rPr>
          <w:color w:val="auto"/>
          <w:u w:val="none" w:color="auto"/>
        </w:rPr>
      </w:pPr>
      <w:r>
        <w:rPr>
          <w:color w:val="auto"/>
          <w:sz w:val="28"/>
          <w:szCs w:val="28"/>
          <w:u w:val="none" w:color="auto"/>
        </w:rPr>
        <w:t>二〇二</w:t>
      </w:r>
      <w:r>
        <w:rPr>
          <w:rFonts w:hint="eastAsia"/>
          <w:color w:val="auto"/>
          <w:sz w:val="28"/>
          <w:szCs w:val="28"/>
          <w:u w:val="none" w:color="auto"/>
          <w:lang w:val="en-US" w:eastAsia="zh-CN"/>
        </w:rPr>
        <w:t>五</w:t>
      </w:r>
      <w:r>
        <w:rPr>
          <w:color w:val="auto"/>
          <w:sz w:val="28"/>
          <w:szCs w:val="28"/>
          <w:u w:val="none" w:color="auto"/>
        </w:rPr>
        <w:t>年</w:t>
      </w:r>
      <w:r>
        <w:rPr>
          <w:rFonts w:hint="eastAsia"/>
          <w:color w:val="auto"/>
          <w:sz w:val="28"/>
          <w:szCs w:val="28"/>
          <w:u w:val="none" w:color="auto"/>
          <w:lang w:val="en-US" w:eastAsia="zh-CN"/>
        </w:rPr>
        <w:t>七</w:t>
      </w:r>
      <w:r>
        <w:rPr>
          <w:color w:val="auto"/>
          <w:sz w:val="28"/>
          <w:szCs w:val="28"/>
          <w:u w:val="none" w:color="auto"/>
        </w:rPr>
        <w:t>月</w:t>
      </w:r>
    </w:p>
    <w:p w14:paraId="1C1C3E5E">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eastAsia" w:ascii="Times New Roman" w:hAnsi="Times New Roman" w:eastAsia="宋体" w:cs="Times New Roman"/>
          <w:color w:val="auto"/>
          <w:sz w:val="36"/>
          <w:szCs w:val="36"/>
          <w:u w:val="none" w:color="auto"/>
          <w:lang w:eastAsia="zh-CN"/>
        </w:rPr>
        <w:sectPr>
          <w:headerReference r:id="rId3" w:type="defaul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2B0608A7">
      <w:pPr>
        <w:pStyle w:val="8"/>
        <w:jc w:val="center"/>
        <w:rPr>
          <w:rFonts w:hint="eastAsia" w:eastAsia="宋体"/>
          <w:lang w:eastAsia="zh-CN"/>
        </w:rPr>
      </w:pPr>
      <w:r>
        <w:rPr>
          <w:rFonts w:hint="eastAsia" w:eastAsia="宋体"/>
          <w:lang w:eastAsia="zh-CN"/>
        </w:rPr>
        <w:drawing>
          <wp:inline distT="0" distB="0" distL="114300" distR="114300">
            <wp:extent cx="5273675" cy="7468235"/>
            <wp:effectExtent l="0" t="0" r="3175" b="18415"/>
            <wp:docPr id="2" name="图片 1" descr="aae88b71349484ea3acf89607772b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ae88b71349484ea3acf89607772b45"/>
                    <pic:cNvPicPr>
                      <a:picLocks noChangeAspect="1"/>
                    </pic:cNvPicPr>
                  </pic:nvPicPr>
                  <pic:blipFill>
                    <a:blip r:embed="rId15"/>
                    <a:stretch>
                      <a:fillRect/>
                    </a:stretch>
                  </pic:blipFill>
                  <pic:spPr>
                    <a:xfrm>
                      <a:off x="0" y="0"/>
                      <a:ext cx="5273675" cy="7468235"/>
                    </a:xfrm>
                    <a:prstGeom prst="rect">
                      <a:avLst/>
                    </a:prstGeom>
                    <a:noFill/>
                    <a:ln>
                      <a:noFill/>
                    </a:ln>
                  </pic:spPr>
                </pic:pic>
              </a:graphicData>
            </a:graphic>
          </wp:inline>
        </w:drawing>
      </w:r>
      <w:r>
        <w:rPr>
          <w:rFonts w:hint="eastAsia" w:eastAsia="宋体"/>
          <w:lang w:eastAsia="zh-CN"/>
        </w:rPr>
        <w:drawing>
          <wp:inline distT="0" distB="0" distL="114300" distR="114300">
            <wp:extent cx="5271770" cy="7496810"/>
            <wp:effectExtent l="0" t="0" r="5080" b="8890"/>
            <wp:docPr id="7" name="图片 2" descr="铭腾-编制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铭腾-编制承诺书"/>
                    <pic:cNvPicPr>
                      <a:picLocks noChangeAspect="1"/>
                    </pic:cNvPicPr>
                  </pic:nvPicPr>
                  <pic:blipFill>
                    <a:blip r:embed="rId16"/>
                    <a:stretch>
                      <a:fillRect/>
                    </a:stretch>
                  </pic:blipFill>
                  <pic:spPr>
                    <a:xfrm>
                      <a:off x="0" y="0"/>
                      <a:ext cx="5271770" cy="7496810"/>
                    </a:xfrm>
                    <a:prstGeom prst="rect">
                      <a:avLst/>
                    </a:prstGeom>
                    <a:noFill/>
                    <a:ln>
                      <a:noFill/>
                    </a:ln>
                  </pic:spPr>
                </pic:pic>
              </a:graphicData>
            </a:graphic>
          </wp:inline>
        </w:drawing>
      </w:r>
    </w:p>
    <w:p w14:paraId="44D355B8">
      <w:pPr>
        <w:pStyle w:val="8"/>
        <w:jc w:val="cente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17D432EA">
      <w:pPr>
        <w:pStyle w:val="8"/>
        <w:jc w:val="cente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drawing>
          <wp:inline distT="0" distB="0" distL="114300" distR="114300">
            <wp:extent cx="6948170" cy="5187950"/>
            <wp:effectExtent l="0" t="0" r="5080" b="1270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6948170" cy="5187950"/>
                    </a:xfrm>
                    <a:prstGeom prst="rect">
                      <a:avLst/>
                    </a:prstGeom>
                    <a:noFill/>
                    <a:ln>
                      <a:noFill/>
                    </a:ln>
                  </pic:spPr>
                </pic:pic>
              </a:graphicData>
            </a:graphic>
          </wp:inline>
        </w:drawing>
      </w:r>
      <w:r>
        <w:rPr>
          <w:rFonts w:hint="eastAsia" w:eastAsia="宋体"/>
          <w:lang w:eastAsia="zh-CN"/>
        </w:rPr>
        <w:drawing>
          <wp:inline distT="0" distB="0" distL="114300" distR="114300">
            <wp:extent cx="8850630" cy="4018280"/>
            <wp:effectExtent l="0" t="0" r="7620" b="1270"/>
            <wp:docPr id="4" name="图片 4" descr="d296709324a41f2ee066ed34aa61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296709324a41f2ee066ed34aa616ba"/>
                    <pic:cNvPicPr>
                      <a:picLocks noChangeAspect="1"/>
                    </pic:cNvPicPr>
                  </pic:nvPicPr>
                  <pic:blipFill>
                    <a:blip r:embed="rId18"/>
                    <a:stretch>
                      <a:fillRect/>
                    </a:stretch>
                  </pic:blipFill>
                  <pic:spPr>
                    <a:xfrm>
                      <a:off x="0" y="0"/>
                      <a:ext cx="8850630" cy="4018280"/>
                    </a:xfrm>
                    <a:prstGeom prst="rect">
                      <a:avLst/>
                    </a:prstGeom>
                    <a:noFill/>
                    <a:ln>
                      <a:noFill/>
                    </a:ln>
                  </pic:spPr>
                </pic:pic>
              </a:graphicData>
            </a:graphic>
          </wp:inline>
        </w:drawing>
      </w:r>
      <w:r>
        <w:rPr>
          <w:rFonts w:hint="eastAsia" w:eastAsia="宋体"/>
          <w:lang w:eastAsia="zh-CN"/>
        </w:rPr>
        <w:drawing>
          <wp:inline distT="0" distB="0" distL="114300" distR="114300">
            <wp:extent cx="8855710" cy="3914775"/>
            <wp:effectExtent l="0" t="0" r="2540" b="9525"/>
            <wp:docPr id="3" name="图片 5" descr="9f0ee4311830af315cd3810b5c9bd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9f0ee4311830af315cd3810b5c9bd57"/>
                    <pic:cNvPicPr>
                      <a:picLocks noChangeAspect="1"/>
                    </pic:cNvPicPr>
                  </pic:nvPicPr>
                  <pic:blipFill>
                    <a:blip r:embed="rId19"/>
                    <a:stretch>
                      <a:fillRect/>
                    </a:stretch>
                  </pic:blipFill>
                  <pic:spPr>
                    <a:xfrm>
                      <a:off x="0" y="0"/>
                      <a:ext cx="8855710" cy="3914775"/>
                    </a:xfrm>
                    <a:prstGeom prst="rect">
                      <a:avLst/>
                    </a:prstGeom>
                    <a:noFill/>
                    <a:ln>
                      <a:noFill/>
                    </a:ln>
                  </pic:spPr>
                </pic:pic>
              </a:graphicData>
            </a:graphic>
          </wp:inline>
        </w:drawing>
      </w:r>
    </w:p>
    <w:p w14:paraId="7788C410">
      <w:pPr>
        <w:bidi w:val="0"/>
        <w:jc w:val="center"/>
        <w:rPr>
          <w:rFonts w:hint="eastAsia" w:eastAsia="宋体"/>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eastAsia="宋体"/>
          <w:lang w:eastAsia="zh-CN"/>
        </w:rPr>
        <w:drawing>
          <wp:inline distT="0" distB="0" distL="114300" distR="114300">
            <wp:extent cx="5269230" cy="7453630"/>
            <wp:effectExtent l="0" t="0" r="7620" b="13970"/>
            <wp:docPr id="14" name="图片 6" descr="faeca93c3fa22aba92b64de5d307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faeca93c3fa22aba92b64de5d307377"/>
                    <pic:cNvPicPr>
                      <a:picLocks noChangeAspect="1"/>
                    </pic:cNvPicPr>
                  </pic:nvPicPr>
                  <pic:blipFill>
                    <a:blip r:embed="rId20"/>
                    <a:stretch>
                      <a:fillRect/>
                    </a:stretch>
                  </pic:blipFill>
                  <pic:spPr>
                    <a:xfrm>
                      <a:off x="0" y="0"/>
                      <a:ext cx="5269230" cy="7453630"/>
                    </a:xfrm>
                    <a:prstGeom prst="rect">
                      <a:avLst/>
                    </a:prstGeom>
                    <a:noFill/>
                    <a:ln>
                      <a:noFill/>
                    </a:ln>
                  </pic:spPr>
                </pic:pic>
              </a:graphicData>
            </a:graphic>
          </wp:inline>
        </w:drawing>
      </w:r>
    </w:p>
    <w:p w14:paraId="4633E378">
      <w:pPr>
        <w:bidi w:val="0"/>
        <w:rPr>
          <w:rFonts w:hint="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eastAsia="宋体"/>
          <w:lang w:eastAsia="zh-CN"/>
        </w:rPr>
        <w:drawing>
          <wp:inline distT="0" distB="0" distL="114300" distR="114300">
            <wp:extent cx="5269865" cy="7444105"/>
            <wp:effectExtent l="0" t="0" r="6985" b="4445"/>
            <wp:docPr id="5" name="图片 7" descr="b0c4139b6105f2f7e60fe42dffb57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b0c4139b6105f2f7e60fe42dffb573e"/>
                    <pic:cNvPicPr>
                      <a:picLocks noChangeAspect="1"/>
                    </pic:cNvPicPr>
                  </pic:nvPicPr>
                  <pic:blipFill>
                    <a:blip r:embed="rId21"/>
                    <a:stretch>
                      <a:fillRect/>
                    </a:stretch>
                  </pic:blipFill>
                  <pic:spPr>
                    <a:xfrm>
                      <a:off x="0" y="0"/>
                      <a:ext cx="5269865" cy="7444105"/>
                    </a:xfrm>
                    <a:prstGeom prst="rect">
                      <a:avLst/>
                    </a:prstGeom>
                    <a:noFill/>
                    <a:ln>
                      <a:noFill/>
                    </a:ln>
                  </pic:spPr>
                </pic:pic>
              </a:graphicData>
            </a:graphic>
          </wp:inline>
        </w:drawing>
      </w:r>
      <w:r>
        <w:rPr>
          <w:rFonts w:hint="eastAsia"/>
          <w:lang w:eastAsia="zh-CN"/>
        </w:rPr>
        <w:drawing>
          <wp:inline distT="0" distB="0" distL="114300" distR="114300">
            <wp:extent cx="5271135" cy="7468235"/>
            <wp:effectExtent l="0" t="0" r="5715" b="18415"/>
            <wp:docPr id="8" name="图片 8" descr="a2f3ed35e45104f76099b02694d78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2f3ed35e45104f76099b02694d786e"/>
                    <pic:cNvPicPr>
                      <a:picLocks noChangeAspect="1"/>
                    </pic:cNvPicPr>
                  </pic:nvPicPr>
                  <pic:blipFill>
                    <a:blip r:embed="rId22"/>
                    <a:stretch>
                      <a:fillRect/>
                    </a:stretch>
                  </pic:blipFill>
                  <pic:spPr>
                    <a:xfrm>
                      <a:off x="0" y="0"/>
                      <a:ext cx="5271135" cy="7468235"/>
                    </a:xfrm>
                    <a:prstGeom prst="rect">
                      <a:avLst/>
                    </a:prstGeom>
                    <a:noFill/>
                    <a:ln>
                      <a:noFill/>
                    </a:ln>
                  </pic:spPr>
                </pic:pic>
              </a:graphicData>
            </a:graphic>
          </wp:inline>
        </w:drawing>
      </w:r>
    </w:p>
    <w:p w14:paraId="2DF2A2ED">
      <w:pPr>
        <w:keepNext w:val="0"/>
        <w:keepLines w:val="0"/>
        <w:pageBreakBefore w:val="0"/>
        <w:widowControl w:val="0"/>
        <w:kinsoku/>
        <w:wordWrap/>
        <w:overflowPunct/>
        <w:topLinePunct w:val="0"/>
        <w:autoSpaceDE/>
        <w:autoSpaceDN/>
        <w:bidi w:val="0"/>
        <w:adjustRightInd/>
        <w:snapToGrid/>
        <w:spacing w:line="220" w:lineRule="atLeast"/>
        <w:jc w:val="center"/>
        <w:textAlignment w:val="auto"/>
        <w:rPr>
          <w:rFonts w:hint="default" w:ascii="Times New Roman" w:hAnsi="Times New Roman" w:cs="Times New Roman"/>
          <w:color w:val="auto"/>
          <w:sz w:val="36"/>
          <w:szCs w:val="36"/>
          <w:u w:val="none" w:color="auto"/>
        </w:rPr>
      </w:pPr>
      <w:r>
        <w:rPr>
          <w:rFonts w:hint="default" w:ascii="Times New Roman" w:hAnsi="Times New Roman" w:cs="Times New Roman"/>
          <w:color w:val="auto"/>
          <w:sz w:val="36"/>
          <w:szCs w:val="36"/>
          <w:u w:val="none" w:color="auto"/>
        </w:rPr>
        <w:t>目   录</w:t>
      </w:r>
    </w:p>
    <w:p w14:paraId="4571382D">
      <w:pPr>
        <w:pStyle w:val="13"/>
        <w:tabs>
          <w:tab w:val="right" w:leader="dot" w:pos="8306"/>
        </w:tabs>
        <w:rPr>
          <w:rFonts w:hint="default" w:ascii="Times New Roman" w:hAnsi="Times New Roman" w:cs="Times New Roman"/>
          <w:color w:val="auto"/>
          <w:sz w:val="24"/>
          <w:szCs w:val="24"/>
          <w:u w:val="none" w:color="auto"/>
        </w:rPr>
      </w:pPr>
    </w:p>
    <w:p w14:paraId="4F88E0C7">
      <w:pPr>
        <w:pStyle w:val="13"/>
        <w:tabs>
          <w:tab w:val="right" w:leader="dot" w:pos="8306"/>
        </w:tabs>
      </w:pPr>
      <w:r>
        <w:rPr>
          <w:rFonts w:hint="default" w:ascii="Times New Roman" w:hAnsi="Times New Roman" w:cs="Times New Roman"/>
          <w:color w:val="auto"/>
          <w:sz w:val="24"/>
          <w:szCs w:val="24"/>
          <w:u w:val="none" w:color="auto"/>
        </w:rPr>
        <w:fldChar w:fldCharType="begin"/>
      </w:r>
      <w:r>
        <w:rPr>
          <w:rFonts w:hint="default" w:ascii="Times New Roman" w:hAnsi="Times New Roman" w:cs="Times New Roman"/>
          <w:color w:val="auto"/>
          <w:sz w:val="24"/>
          <w:szCs w:val="24"/>
          <w:u w:val="none" w:color="auto"/>
        </w:rPr>
        <w:instrText xml:space="preserve">TOC \o "1-3" \h \u </w:instrText>
      </w:r>
      <w:r>
        <w:rPr>
          <w:rFonts w:hint="default" w:ascii="Times New Roman" w:hAnsi="Times New Roman" w:cs="Times New Roman"/>
          <w:color w:val="auto"/>
          <w:sz w:val="24"/>
          <w:szCs w:val="24"/>
          <w:u w:val="none" w:color="auto"/>
        </w:rPr>
        <w:fldChar w:fldCharType="separate"/>
      </w: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_Toc11958 </w:instrText>
      </w:r>
      <w:r>
        <w:rPr>
          <w:rFonts w:hint="default" w:ascii="Times New Roman" w:hAnsi="Times New Roman" w:cs="Times New Roman"/>
          <w:szCs w:val="24"/>
        </w:rPr>
        <w:fldChar w:fldCharType="separate"/>
      </w:r>
      <w:r>
        <w:rPr>
          <w:rFonts w:hint="default"/>
        </w:rPr>
        <w:t>1、概述</w:t>
      </w:r>
      <w:r>
        <w:tab/>
      </w:r>
      <w:r>
        <w:fldChar w:fldCharType="begin"/>
      </w:r>
      <w:r>
        <w:instrText xml:space="preserve"> PAGEREF _Toc11958 \h </w:instrText>
      </w:r>
      <w:r>
        <w:fldChar w:fldCharType="separate"/>
      </w:r>
      <w:r>
        <w:t>1</w:t>
      </w:r>
      <w:r>
        <w:fldChar w:fldCharType="end"/>
      </w:r>
      <w:r>
        <w:rPr>
          <w:rFonts w:hint="default" w:ascii="Times New Roman" w:hAnsi="Times New Roman" w:cs="Times New Roman"/>
          <w:color w:val="auto"/>
          <w:szCs w:val="24"/>
          <w:u w:val="none" w:color="auto"/>
        </w:rPr>
        <w:fldChar w:fldCharType="end"/>
      </w:r>
    </w:p>
    <w:p w14:paraId="609AF9A3">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_Toc26732 </w:instrText>
      </w:r>
      <w:r>
        <w:rPr>
          <w:rFonts w:hint="default" w:ascii="Times New Roman" w:hAnsi="Times New Roman" w:cs="Times New Roman"/>
          <w:szCs w:val="24"/>
        </w:rPr>
        <w:fldChar w:fldCharType="separate"/>
      </w:r>
      <w:r>
        <w:rPr>
          <w:rFonts w:hint="default" w:ascii="Times New Roman" w:hAnsi="Times New Roman" w:cs="Times New Roman"/>
          <w:szCs w:val="28"/>
        </w:rPr>
        <w:t>1.1项目由来</w:t>
      </w:r>
      <w:r>
        <w:tab/>
      </w:r>
      <w:r>
        <w:fldChar w:fldCharType="begin"/>
      </w:r>
      <w:r>
        <w:instrText xml:space="preserve"> PAGEREF _Toc26732 \h </w:instrText>
      </w:r>
      <w:r>
        <w:fldChar w:fldCharType="separate"/>
      </w:r>
      <w:r>
        <w:t>1</w:t>
      </w:r>
      <w:r>
        <w:fldChar w:fldCharType="end"/>
      </w:r>
      <w:r>
        <w:rPr>
          <w:rFonts w:hint="default" w:ascii="Times New Roman" w:hAnsi="Times New Roman" w:cs="Times New Roman"/>
          <w:color w:val="auto"/>
          <w:szCs w:val="24"/>
          <w:u w:val="none" w:color="auto"/>
        </w:rPr>
        <w:fldChar w:fldCharType="end"/>
      </w:r>
    </w:p>
    <w:p w14:paraId="17337210">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_Toc12325 </w:instrText>
      </w:r>
      <w:r>
        <w:rPr>
          <w:rFonts w:hint="default" w:ascii="Times New Roman" w:hAnsi="Times New Roman" w:cs="Times New Roman"/>
          <w:szCs w:val="24"/>
        </w:rPr>
        <w:fldChar w:fldCharType="separate"/>
      </w:r>
      <w:r>
        <w:rPr>
          <w:rFonts w:hint="default" w:ascii="Times New Roman" w:hAnsi="Times New Roman" w:cs="Times New Roman"/>
          <w:szCs w:val="28"/>
        </w:rPr>
        <w:t>1.</w:t>
      </w:r>
      <w:r>
        <w:rPr>
          <w:rFonts w:hint="eastAsia" w:ascii="Times New Roman" w:hAnsi="Times New Roman" w:cs="Times New Roman"/>
          <w:szCs w:val="28"/>
          <w:lang w:val="en-US" w:eastAsia="zh-CN"/>
        </w:rPr>
        <w:t>2</w:t>
      </w:r>
      <w:r>
        <w:rPr>
          <w:rFonts w:hint="default" w:ascii="Times New Roman" w:hAnsi="Times New Roman" w:cs="Times New Roman"/>
          <w:szCs w:val="28"/>
        </w:rPr>
        <w:t>环境影响评价的工作过程</w:t>
      </w:r>
      <w:r>
        <w:tab/>
      </w:r>
      <w:r>
        <w:fldChar w:fldCharType="begin"/>
      </w:r>
      <w:r>
        <w:instrText xml:space="preserve"> PAGEREF _Toc12325 \h </w:instrText>
      </w:r>
      <w:r>
        <w:fldChar w:fldCharType="separate"/>
      </w:r>
      <w:r>
        <w:t>2</w:t>
      </w:r>
      <w:r>
        <w:fldChar w:fldCharType="end"/>
      </w:r>
      <w:r>
        <w:rPr>
          <w:rFonts w:hint="default" w:ascii="Times New Roman" w:hAnsi="Times New Roman" w:cs="Times New Roman"/>
          <w:color w:val="auto"/>
          <w:szCs w:val="24"/>
          <w:u w:val="none" w:color="auto"/>
        </w:rPr>
        <w:fldChar w:fldCharType="end"/>
      </w:r>
    </w:p>
    <w:p w14:paraId="56B962C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_Toc1117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ascii="Times New Roman" w:hAnsi="Times New Roman" w:cs="Times New Roman"/>
          <w:lang w:val="en-US" w:eastAsia="zh-CN"/>
        </w:rPr>
        <w:t>3</w:t>
      </w:r>
      <w:r>
        <w:rPr>
          <w:rFonts w:hint="default" w:ascii="Times New Roman" w:hAnsi="Times New Roman" w:cs="Times New Roman"/>
        </w:rPr>
        <w:t>分析判定相关环保政策</w:t>
      </w:r>
      <w:r>
        <w:tab/>
      </w:r>
      <w:r>
        <w:fldChar w:fldCharType="begin"/>
      </w:r>
      <w:r>
        <w:instrText xml:space="preserve"> PAGEREF _Toc1117 \h </w:instrText>
      </w:r>
      <w:r>
        <w:fldChar w:fldCharType="separate"/>
      </w:r>
      <w:r>
        <w:t>4</w:t>
      </w:r>
      <w:r>
        <w:fldChar w:fldCharType="end"/>
      </w:r>
      <w:r>
        <w:rPr>
          <w:rFonts w:hint="default" w:ascii="Times New Roman" w:hAnsi="Times New Roman" w:cs="Times New Roman"/>
          <w:color w:val="auto"/>
          <w:szCs w:val="24"/>
          <w:u w:val="none" w:color="auto"/>
        </w:rPr>
        <w:fldChar w:fldCharType="end"/>
      </w:r>
    </w:p>
    <w:p w14:paraId="704B0DA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_Toc10173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.1产业政策相符性分析</w:t>
      </w:r>
      <w:r>
        <w:tab/>
      </w:r>
      <w:r>
        <w:fldChar w:fldCharType="begin"/>
      </w:r>
      <w:r>
        <w:instrText xml:space="preserve"> PAGEREF _Toc10173 \h </w:instrText>
      </w:r>
      <w:r>
        <w:fldChar w:fldCharType="separate"/>
      </w:r>
      <w:r>
        <w:t>4</w:t>
      </w:r>
      <w:r>
        <w:fldChar w:fldCharType="end"/>
      </w:r>
      <w:r>
        <w:rPr>
          <w:rFonts w:hint="default" w:ascii="Times New Roman" w:hAnsi="Times New Roman" w:cs="Times New Roman"/>
          <w:color w:val="auto"/>
          <w:szCs w:val="24"/>
          <w:u w:val="none" w:color="auto"/>
        </w:rPr>
        <w:fldChar w:fldCharType="end"/>
      </w:r>
    </w:p>
    <w:p w14:paraId="446F255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_Toc14069 </w:instrText>
      </w:r>
      <w:r>
        <w:rPr>
          <w:rFonts w:hint="default" w:ascii="Times New Roman" w:hAnsi="Times New Roman" w:cs="Times New Roman"/>
          <w:szCs w:val="24"/>
        </w:rPr>
        <w:fldChar w:fldCharType="separate"/>
      </w:r>
      <w:r>
        <w:t>1.</w:t>
      </w:r>
      <w:r>
        <w:rPr>
          <w:rFonts w:hint="eastAsia"/>
        </w:rPr>
        <w:t>3</w:t>
      </w:r>
      <w:r>
        <w:t>.</w:t>
      </w:r>
      <w:r>
        <w:rPr>
          <w:rFonts w:hint="eastAsia"/>
        </w:rPr>
        <w:t>2相关</w:t>
      </w:r>
      <w:r>
        <w:t>政策相符性分析</w:t>
      </w:r>
      <w:r>
        <w:tab/>
      </w:r>
      <w:r>
        <w:fldChar w:fldCharType="begin"/>
      </w:r>
      <w:r>
        <w:instrText xml:space="preserve"> PAGEREF _Toc14069 \h </w:instrText>
      </w:r>
      <w:r>
        <w:fldChar w:fldCharType="separate"/>
      </w:r>
      <w:r>
        <w:t>5</w:t>
      </w:r>
      <w:r>
        <w:fldChar w:fldCharType="end"/>
      </w:r>
      <w:r>
        <w:rPr>
          <w:rFonts w:hint="default" w:ascii="Times New Roman" w:hAnsi="Times New Roman" w:cs="Times New Roman"/>
          <w:color w:val="auto"/>
          <w:szCs w:val="24"/>
          <w:u w:val="none" w:color="auto"/>
        </w:rPr>
        <w:fldChar w:fldCharType="end"/>
      </w:r>
    </w:p>
    <w:p w14:paraId="1984F58B">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_Toc20721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3</w:t>
      </w:r>
      <w:r>
        <w:rPr>
          <w:rFonts w:hint="default" w:ascii="Times New Roman" w:hAnsi="Times New Roman" w:cs="Times New Roman"/>
        </w:rPr>
        <w:t>与</w:t>
      </w:r>
      <w:r>
        <w:rPr>
          <w:rFonts w:hint="eastAsia" w:ascii="Times New Roman" w:hAnsi="Times New Roman" w:cs="Times New Roman"/>
          <w:lang w:val="en-US" w:eastAsia="zh-CN"/>
        </w:rPr>
        <w:t>园区</w:t>
      </w:r>
      <w:r>
        <w:rPr>
          <w:rFonts w:hint="default" w:ascii="Times New Roman" w:hAnsi="Times New Roman" w:cs="Times New Roman"/>
        </w:rPr>
        <w:t>规划及规划环境影响评价符合性分析</w:t>
      </w:r>
      <w:r>
        <w:tab/>
      </w:r>
      <w:r>
        <w:fldChar w:fldCharType="begin"/>
      </w:r>
      <w:r>
        <w:instrText xml:space="preserve"> PAGEREF _Toc20721 \h </w:instrText>
      </w:r>
      <w:r>
        <w:fldChar w:fldCharType="separate"/>
      </w:r>
      <w:r>
        <w:t>10</w:t>
      </w:r>
      <w:r>
        <w:fldChar w:fldCharType="end"/>
      </w:r>
      <w:r>
        <w:rPr>
          <w:rFonts w:hint="default" w:ascii="Times New Roman" w:hAnsi="Times New Roman" w:cs="Times New Roman"/>
          <w:color w:val="auto"/>
          <w:szCs w:val="24"/>
          <w:u w:val="none" w:color="auto"/>
        </w:rPr>
        <w:fldChar w:fldCharType="end"/>
      </w:r>
    </w:p>
    <w:p w14:paraId="58ED16E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_Toc20737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4</w:t>
      </w:r>
      <w:r>
        <w:rPr>
          <w:rFonts w:hint="eastAsia"/>
          <w:bCs/>
          <w:lang w:val="en-US" w:eastAsia="zh-CN"/>
        </w:rPr>
        <w:t>与《湖南省长江经济带发展负面清单实施细则（试行，2022版）》相符性分析</w:t>
      </w:r>
      <w:r>
        <w:tab/>
      </w:r>
      <w:r>
        <w:fldChar w:fldCharType="begin"/>
      </w:r>
      <w:r>
        <w:instrText xml:space="preserve"> PAGEREF _Toc20737 \h </w:instrText>
      </w:r>
      <w:r>
        <w:fldChar w:fldCharType="separate"/>
      </w:r>
      <w:r>
        <w:t>15</w:t>
      </w:r>
      <w:r>
        <w:fldChar w:fldCharType="end"/>
      </w:r>
      <w:r>
        <w:rPr>
          <w:rFonts w:hint="default" w:ascii="Times New Roman" w:hAnsi="Times New Roman" w:cs="Times New Roman"/>
          <w:color w:val="auto"/>
          <w:szCs w:val="24"/>
          <w:u w:val="none" w:color="auto"/>
        </w:rPr>
        <w:fldChar w:fldCharType="end"/>
      </w:r>
    </w:p>
    <w:p w14:paraId="4E98BA8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_Toc14330 </w:instrText>
      </w:r>
      <w:r>
        <w:rPr>
          <w:rFonts w:hint="default" w:ascii="Times New Roman" w:hAnsi="Times New Roman" w:cs="Times New Roman"/>
          <w:szCs w:val="24"/>
        </w:rPr>
        <w:fldChar w:fldCharType="separate"/>
      </w:r>
      <w:r>
        <w:rPr>
          <w:rFonts w:hint="eastAsia"/>
          <w:lang w:val="en-US" w:eastAsia="zh-CN"/>
        </w:rPr>
        <w:t>1.3.5与《湖南省生态环境分区管控总体管控要求暨省级以上产业园区生态环境准入清单》（湘环函〔2024〕26号）相符性</w:t>
      </w:r>
      <w:r>
        <w:tab/>
      </w:r>
      <w:r>
        <w:fldChar w:fldCharType="begin"/>
      </w:r>
      <w:r>
        <w:instrText xml:space="preserve"> PAGEREF _Toc14330 \h </w:instrText>
      </w:r>
      <w:r>
        <w:fldChar w:fldCharType="separate"/>
      </w:r>
      <w:r>
        <w:t>18</w:t>
      </w:r>
      <w:r>
        <w:fldChar w:fldCharType="end"/>
      </w:r>
      <w:r>
        <w:rPr>
          <w:rFonts w:hint="default" w:ascii="Times New Roman" w:hAnsi="Times New Roman" w:cs="Times New Roman"/>
          <w:color w:val="auto"/>
          <w:szCs w:val="24"/>
          <w:u w:val="none" w:color="auto"/>
        </w:rPr>
        <w:fldChar w:fldCharType="end"/>
      </w:r>
    </w:p>
    <w:p w14:paraId="6D59117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_Toc6660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6</w:t>
      </w:r>
      <w:r>
        <w:rPr>
          <w:rFonts w:hint="default" w:ascii="Times New Roman" w:hAnsi="Times New Roman" w:cs="Times New Roman"/>
        </w:rPr>
        <w:t>环境功能区划适应性分析</w:t>
      </w:r>
      <w:r>
        <w:tab/>
      </w:r>
      <w:r>
        <w:fldChar w:fldCharType="begin"/>
      </w:r>
      <w:r>
        <w:instrText xml:space="preserve"> PAGEREF _Toc6660 \h </w:instrText>
      </w:r>
      <w:r>
        <w:fldChar w:fldCharType="separate"/>
      </w:r>
      <w:r>
        <w:t>20</w:t>
      </w:r>
      <w:r>
        <w:fldChar w:fldCharType="end"/>
      </w:r>
      <w:r>
        <w:rPr>
          <w:rFonts w:hint="default" w:ascii="Times New Roman" w:hAnsi="Times New Roman" w:cs="Times New Roman"/>
          <w:color w:val="auto"/>
          <w:szCs w:val="24"/>
          <w:u w:val="none" w:color="auto"/>
        </w:rPr>
        <w:fldChar w:fldCharType="end"/>
      </w:r>
    </w:p>
    <w:p w14:paraId="2205521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_Toc2481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7</w:t>
      </w:r>
      <w:r>
        <w:rPr>
          <w:rFonts w:hint="default" w:ascii="Times New Roman" w:hAnsi="Times New Roman" w:cs="Times New Roman"/>
        </w:rPr>
        <w:t>项目选址合理性分析</w:t>
      </w:r>
      <w:r>
        <w:tab/>
      </w:r>
      <w:r>
        <w:fldChar w:fldCharType="begin"/>
      </w:r>
      <w:r>
        <w:instrText xml:space="preserve"> PAGEREF _Toc2481 \h </w:instrText>
      </w:r>
      <w:r>
        <w:fldChar w:fldCharType="separate"/>
      </w:r>
      <w:r>
        <w:t>21</w:t>
      </w:r>
      <w:r>
        <w:fldChar w:fldCharType="end"/>
      </w:r>
      <w:r>
        <w:rPr>
          <w:rFonts w:hint="default" w:ascii="Times New Roman" w:hAnsi="Times New Roman" w:cs="Times New Roman"/>
          <w:color w:val="auto"/>
          <w:szCs w:val="24"/>
          <w:u w:val="none" w:color="auto"/>
        </w:rPr>
        <w:fldChar w:fldCharType="end"/>
      </w:r>
    </w:p>
    <w:p w14:paraId="628757B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_Toc10553 </w:instrText>
      </w:r>
      <w:r>
        <w:rPr>
          <w:rFonts w:hint="default" w:ascii="Times New Roman" w:hAnsi="Times New Roman" w:cs="Times New Roman"/>
          <w:szCs w:val="24"/>
        </w:rPr>
        <w:fldChar w:fldCharType="separate"/>
      </w:r>
      <w:r>
        <w:rPr>
          <w:rFonts w:hint="default" w:ascii="Times New Roman" w:hAnsi="Times New Roman" w:cs="Times New Roman"/>
        </w:rPr>
        <w:t>1.</w:t>
      </w:r>
      <w:r>
        <w:rPr>
          <w:rFonts w:hint="eastAsia" w:cs="Times New Roman"/>
          <w:lang w:val="en-US" w:eastAsia="zh-CN"/>
        </w:rPr>
        <w:t>3</w:t>
      </w:r>
      <w:r>
        <w:rPr>
          <w:rFonts w:hint="default" w:ascii="Times New Roman" w:hAnsi="Times New Roman" w:cs="Times New Roman"/>
        </w:rPr>
        <w:t>.</w:t>
      </w:r>
      <w:r>
        <w:rPr>
          <w:rFonts w:hint="eastAsia" w:ascii="Times New Roman" w:hAnsi="Times New Roman" w:cs="Times New Roman"/>
          <w:lang w:val="en-US" w:eastAsia="zh-CN"/>
        </w:rPr>
        <w:t>8</w:t>
      </w:r>
      <w:r>
        <w:rPr>
          <w:rFonts w:hint="default" w:ascii="Times New Roman" w:hAnsi="Times New Roman" w:cs="Times New Roman"/>
        </w:rPr>
        <w:t>平面布局合理性分析</w:t>
      </w:r>
      <w:r>
        <w:tab/>
      </w:r>
      <w:r>
        <w:fldChar w:fldCharType="begin"/>
      </w:r>
      <w:r>
        <w:instrText xml:space="preserve"> PAGEREF _Toc10553 \h </w:instrText>
      </w:r>
      <w:r>
        <w:fldChar w:fldCharType="separate"/>
      </w:r>
      <w:r>
        <w:t>22</w:t>
      </w:r>
      <w:r>
        <w:fldChar w:fldCharType="end"/>
      </w:r>
      <w:r>
        <w:rPr>
          <w:rFonts w:hint="default" w:ascii="Times New Roman" w:hAnsi="Times New Roman" w:cs="Times New Roman"/>
          <w:color w:val="auto"/>
          <w:szCs w:val="24"/>
          <w:u w:val="none" w:color="auto"/>
        </w:rPr>
        <w:fldChar w:fldCharType="end"/>
      </w:r>
    </w:p>
    <w:p w14:paraId="26EBC2FD">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_Toc12071 </w:instrText>
      </w:r>
      <w:r>
        <w:rPr>
          <w:rFonts w:hint="default" w:ascii="Times New Roman" w:hAnsi="Times New Roman" w:cs="Times New Roman"/>
          <w:szCs w:val="24"/>
        </w:rPr>
        <w:fldChar w:fldCharType="separate"/>
      </w:r>
      <w:r>
        <w:rPr>
          <w:rFonts w:hint="default"/>
        </w:rPr>
        <w:t>1.</w:t>
      </w:r>
      <w:r>
        <w:rPr>
          <w:rFonts w:hint="eastAsia"/>
          <w:lang w:val="en-US" w:eastAsia="zh-CN"/>
        </w:rPr>
        <w:t>4</w:t>
      </w:r>
      <w:r>
        <w:rPr>
          <w:rFonts w:hint="default"/>
        </w:rPr>
        <w:t>项目特点</w:t>
      </w:r>
      <w:r>
        <w:tab/>
      </w:r>
      <w:r>
        <w:fldChar w:fldCharType="begin"/>
      </w:r>
      <w:r>
        <w:instrText xml:space="preserve"> PAGEREF _Toc12071 \h </w:instrText>
      </w:r>
      <w:r>
        <w:fldChar w:fldCharType="separate"/>
      </w:r>
      <w:r>
        <w:t>22</w:t>
      </w:r>
      <w:r>
        <w:fldChar w:fldCharType="end"/>
      </w:r>
      <w:r>
        <w:rPr>
          <w:rFonts w:hint="default" w:ascii="Times New Roman" w:hAnsi="Times New Roman" w:cs="Times New Roman"/>
          <w:color w:val="auto"/>
          <w:szCs w:val="24"/>
          <w:u w:val="none" w:color="auto"/>
        </w:rPr>
        <w:fldChar w:fldCharType="end"/>
      </w:r>
    </w:p>
    <w:p w14:paraId="28919CB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_Toc7998 </w:instrText>
      </w:r>
      <w:r>
        <w:rPr>
          <w:rFonts w:hint="default" w:ascii="Times New Roman" w:hAnsi="Times New Roman" w:cs="Times New Roman"/>
          <w:szCs w:val="24"/>
        </w:rPr>
        <w:fldChar w:fldCharType="separate"/>
      </w:r>
      <w:r>
        <w:rPr>
          <w:rFonts w:hint="default"/>
        </w:rPr>
        <w:t>1.</w:t>
      </w:r>
      <w:r>
        <w:rPr>
          <w:rFonts w:hint="eastAsia"/>
          <w:lang w:val="en-US" w:eastAsia="zh-CN"/>
        </w:rPr>
        <w:t>5</w:t>
      </w:r>
      <w:r>
        <w:rPr>
          <w:rFonts w:hint="default"/>
        </w:rPr>
        <w:t>主要环境问题及环境影响</w:t>
      </w:r>
      <w:r>
        <w:tab/>
      </w:r>
      <w:r>
        <w:fldChar w:fldCharType="begin"/>
      </w:r>
      <w:r>
        <w:instrText xml:space="preserve"> PAGEREF _Toc7998 \h </w:instrText>
      </w:r>
      <w:r>
        <w:fldChar w:fldCharType="separate"/>
      </w:r>
      <w:r>
        <w:t>23</w:t>
      </w:r>
      <w:r>
        <w:fldChar w:fldCharType="end"/>
      </w:r>
      <w:r>
        <w:rPr>
          <w:rFonts w:hint="default" w:ascii="Times New Roman" w:hAnsi="Times New Roman" w:cs="Times New Roman"/>
          <w:color w:val="auto"/>
          <w:szCs w:val="24"/>
          <w:u w:val="none" w:color="auto"/>
        </w:rPr>
        <w:fldChar w:fldCharType="end"/>
      </w:r>
    </w:p>
    <w:p w14:paraId="035E2EC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_Toc31494 </w:instrText>
      </w:r>
      <w:r>
        <w:rPr>
          <w:rFonts w:hint="default" w:ascii="Times New Roman" w:hAnsi="Times New Roman" w:cs="Times New Roman"/>
          <w:szCs w:val="24"/>
        </w:rPr>
        <w:fldChar w:fldCharType="separate"/>
      </w:r>
      <w:r>
        <w:rPr>
          <w:rFonts w:hint="default"/>
        </w:rPr>
        <w:t>1.</w:t>
      </w:r>
      <w:r>
        <w:rPr>
          <w:rFonts w:hint="eastAsia"/>
          <w:lang w:val="en-US" w:eastAsia="zh-CN"/>
        </w:rPr>
        <w:t>6</w:t>
      </w:r>
      <w:r>
        <w:rPr>
          <w:rFonts w:hint="default"/>
        </w:rPr>
        <w:t>环境影响评价主要结论</w:t>
      </w:r>
      <w:r>
        <w:tab/>
      </w:r>
      <w:r>
        <w:fldChar w:fldCharType="begin"/>
      </w:r>
      <w:r>
        <w:instrText xml:space="preserve"> PAGEREF _Toc31494 \h </w:instrText>
      </w:r>
      <w:r>
        <w:fldChar w:fldCharType="separate"/>
      </w:r>
      <w:r>
        <w:t>23</w:t>
      </w:r>
      <w:r>
        <w:fldChar w:fldCharType="end"/>
      </w:r>
      <w:r>
        <w:rPr>
          <w:rFonts w:hint="default" w:ascii="Times New Roman" w:hAnsi="Times New Roman" w:cs="Times New Roman"/>
          <w:color w:val="auto"/>
          <w:szCs w:val="24"/>
          <w:u w:val="none" w:color="auto"/>
        </w:rPr>
        <w:fldChar w:fldCharType="end"/>
      </w:r>
    </w:p>
    <w:p w14:paraId="03AB34D9">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_Toc3700 </w:instrText>
      </w:r>
      <w:r>
        <w:rPr>
          <w:rFonts w:hint="default" w:ascii="Times New Roman" w:hAnsi="Times New Roman" w:cs="Times New Roman"/>
          <w:szCs w:val="24"/>
        </w:rPr>
        <w:fldChar w:fldCharType="separate"/>
      </w:r>
      <w:r>
        <w:rPr>
          <w:rFonts w:hint="default" w:ascii="Times New Roman" w:hAnsi="Times New Roman" w:eastAsia="宋体" w:cs="Times New Roman"/>
        </w:rPr>
        <w:t>2、总则</w:t>
      </w:r>
      <w:r>
        <w:tab/>
      </w:r>
      <w:r>
        <w:fldChar w:fldCharType="begin"/>
      </w:r>
      <w:r>
        <w:instrText xml:space="preserve"> PAGEREF _Toc3700 \h </w:instrText>
      </w:r>
      <w:r>
        <w:fldChar w:fldCharType="separate"/>
      </w:r>
      <w:r>
        <w:t>24</w:t>
      </w:r>
      <w:r>
        <w:fldChar w:fldCharType="end"/>
      </w:r>
      <w:r>
        <w:rPr>
          <w:rFonts w:hint="default" w:ascii="Times New Roman" w:hAnsi="Times New Roman" w:cs="Times New Roman"/>
          <w:color w:val="auto"/>
          <w:szCs w:val="24"/>
          <w:u w:val="none" w:color="auto"/>
        </w:rPr>
        <w:fldChar w:fldCharType="end"/>
      </w:r>
    </w:p>
    <w:p w14:paraId="1053ECDC">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_Toc7944 </w:instrText>
      </w:r>
      <w:r>
        <w:rPr>
          <w:rFonts w:hint="default" w:ascii="Times New Roman" w:hAnsi="Times New Roman" w:cs="Times New Roman"/>
          <w:szCs w:val="24"/>
        </w:rPr>
        <w:fldChar w:fldCharType="separate"/>
      </w:r>
      <w:r>
        <w:rPr>
          <w:rFonts w:hint="default"/>
        </w:rPr>
        <w:t>2.1编制依据</w:t>
      </w:r>
      <w:r>
        <w:tab/>
      </w:r>
      <w:r>
        <w:fldChar w:fldCharType="begin"/>
      </w:r>
      <w:r>
        <w:instrText xml:space="preserve"> PAGEREF _Toc7944 \h </w:instrText>
      </w:r>
      <w:r>
        <w:fldChar w:fldCharType="separate"/>
      </w:r>
      <w:r>
        <w:t>24</w:t>
      </w:r>
      <w:r>
        <w:fldChar w:fldCharType="end"/>
      </w:r>
      <w:r>
        <w:rPr>
          <w:rFonts w:hint="default" w:ascii="Times New Roman" w:hAnsi="Times New Roman" w:cs="Times New Roman"/>
          <w:color w:val="auto"/>
          <w:szCs w:val="24"/>
          <w:u w:val="none" w:color="auto"/>
        </w:rPr>
        <w:fldChar w:fldCharType="end"/>
      </w:r>
    </w:p>
    <w:p w14:paraId="1C95DBA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_Toc4607 </w:instrText>
      </w:r>
      <w:r>
        <w:rPr>
          <w:rFonts w:hint="default" w:ascii="Times New Roman" w:hAnsi="Times New Roman" w:cs="Times New Roman"/>
          <w:szCs w:val="24"/>
        </w:rPr>
        <w:fldChar w:fldCharType="separate"/>
      </w:r>
      <w:r>
        <w:rPr>
          <w:rFonts w:hint="default" w:ascii="Times New Roman" w:hAnsi="Times New Roman" w:cs="Times New Roman"/>
        </w:rPr>
        <w:t>2.1.1国家法律、法规和政策</w:t>
      </w:r>
      <w:r>
        <w:tab/>
      </w:r>
      <w:r>
        <w:fldChar w:fldCharType="begin"/>
      </w:r>
      <w:r>
        <w:instrText xml:space="preserve"> PAGEREF _Toc4607 \h </w:instrText>
      </w:r>
      <w:r>
        <w:fldChar w:fldCharType="separate"/>
      </w:r>
      <w:r>
        <w:t>24</w:t>
      </w:r>
      <w:r>
        <w:fldChar w:fldCharType="end"/>
      </w:r>
      <w:r>
        <w:rPr>
          <w:rFonts w:hint="default" w:ascii="Times New Roman" w:hAnsi="Times New Roman" w:cs="Times New Roman"/>
          <w:color w:val="auto"/>
          <w:szCs w:val="24"/>
          <w:u w:val="none" w:color="auto"/>
        </w:rPr>
        <w:fldChar w:fldCharType="end"/>
      </w:r>
    </w:p>
    <w:p w14:paraId="5116C98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_Toc9686 </w:instrText>
      </w:r>
      <w:r>
        <w:rPr>
          <w:rFonts w:hint="default" w:ascii="Times New Roman" w:hAnsi="Times New Roman" w:cs="Times New Roman"/>
          <w:szCs w:val="24"/>
        </w:rPr>
        <w:fldChar w:fldCharType="separate"/>
      </w:r>
      <w:r>
        <w:rPr>
          <w:rFonts w:hint="default" w:ascii="Times New Roman" w:hAnsi="Times New Roman" w:cs="Times New Roman"/>
        </w:rPr>
        <w:t>2.1.2地方法规、规划</w:t>
      </w:r>
      <w:r>
        <w:tab/>
      </w:r>
      <w:r>
        <w:fldChar w:fldCharType="begin"/>
      </w:r>
      <w:r>
        <w:instrText xml:space="preserve"> PAGEREF _Toc9686 \h </w:instrText>
      </w:r>
      <w:r>
        <w:fldChar w:fldCharType="separate"/>
      </w:r>
      <w:r>
        <w:t>25</w:t>
      </w:r>
      <w:r>
        <w:fldChar w:fldCharType="end"/>
      </w:r>
      <w:r>
        <w:rPr>
          <w:rFonts w:hint="default" w:ascii="Times New Roman" w:hAnsi="Times New Roman" w:cs="Times New Roman"/>
          <w:color w:val="auto"/>
          <w:szCs w:val="24"/>
          <w:u w:val="none" w:color="auto"/>
        </w:rPr>
        <w:fldChar w:fldCharType="end"/>
      </w:r>
    </w:p>
    <w:p w14:paraId="5340CD20">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_Toc4931 </w:instrText>
      </w:r>
      <w:r>
        <w:rPr>
          <w:rFonts w:hint="default" w:ascii="Times New Roman" w:hAnsi="Times New Roman" w:cs="Times New Roman"/>
          <w:szCs w:val="24"/>
        </w:rPr>
        <w:fldChar w:fldCharType="separate"/>
      </w:r>
      <w:r>
        <w:rPr>
          <w:rFonts w:hint="default" w:ascii="Times New Roman" w:hAnsi="Times New Roman" w:cs="Times New Roman"/>
        </w:rPr>
        <w:t>2.1.3相关的技术规范</w:t>
      </w:r>
      <w:r>
        <w:tab/>
      </w:r>
      <w:r>
        <w:fldChar w:fldCharType="begin"/>
      </w:r>
      <w:r>
        <w:instrText xml:space="preserve"> PAGEREF _Toc4931 \h </w:instrText>
      </w:r>
      <w:r>
        <w:fldChar w:fldCharType="separate"/>
      </w:r>
      <w:r>
        <w:t>26</w:t>
      </w:r>
      <w:r>
        <w:fldChar w:fldCharType="end"/>
      </w:r>
      <w:r>
        <w:rPr>
          <w:rFonts w:hint="default" w:ascii="Times New Roman" w:hAnsi="Times New Roman" w:cs="Times New Roman"/>
          <w:color w:val="auto"/>
          <w:szCs w:val="24"/>
          <w:u w:val="none" w:color="auto"/>
        </w:rPr>
        <w:fldChar w:fldCharType="end"/>
      </w:r>
    </w:p>
    <w:p w14:paraId="2248357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_Toc5523 </w:instrText>
      </w:r>
      <w:r>
        <w:rPr>
          <w:rFonts w:hint="default" w:ascii="Times New Roman" w:hAnsi="Times New Roman" w:cs="Times New Roman"/>
          <w:szCs w:val="24"/>
        </w:rPr>
        <w:fldChar w:fldCharType="separate"/>
      </w:r>
      <w:r>
        <w:rPr>
          <w:rFonts w:hint="default" w:ascii="Times New Roman" w:hAnsi="Times New Roman" w:cs="Times New Roman"/>
        </w:rPr>
        <w:t>2.1.</w:t>
      </w:r>
      <w:r>
        <w:rPr>
          <w:rFonts w:hint="eastAsia" w:cs="Times New Roman"/>
          <w:lang w:val="en-US" w:eastAsia="zh-CN"/>
        </w:rPr>
        <w:t>4</w:t>
      </w:r>
      <w:r>
        <w:rPr>
          <w:rFonts w:hint="default" w:ascii="Times New Roman" w:hAnsi="Times New Roman" w:cs="Times New Roman"/>
        </w:rPr>
        <w:t>其他编制依据及工程资料</w:t>
      </w:r>
      <w:r>
        <w:tab/>
      </w:r>
      <w:r>
        <w:fldChar w:fldCharType="begin"/>
      </w:r>
      <w:r>
        <w:instrText xml:space="preserve"> PAGEREF _Toc5523 \h </w:instrText>
      </w:r>
      <w:r>
        <w:fldChar w:fldCharType="separate"/>
      </w:r>
      <w:r>
        <w:t>26</w:t>
      </w:r>
      <w:r>
        <w:fldChar w:fldCharType="end"/>
      </w:r>
      <w:r>
        <w:rPr>
          <w:rFonts w:hint="default" w:ascii="Times New Roman" w:hAnsi="Times New Roman" w:cs="Times New Roman"/>
          <w:color w:val="auto"/>
          <w:szCs w:val="24"/>
          <w:u w:val="none" w:color="auto"/>
        </w:rPr>
        <w:fldChar w:fldCharType="end"/>
      </w:r>
    </w:p>
    <w:p w14:paraId="1C168DC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_Toc7820 </w:instrText>
      </w:r>
      <w:r>
        <w:rPr>
          <w:rFonts w:hint="default" w:ascii="Times New Roman" w:hAnsi="Times New Roman" w:cs="Times New Roman"/>
          <w:szCs w:val="24"/>
        </w:rPr>
        <w:fldChar w:fldCharType="separate"/>
      </w:r>
      <w:r>
        <w:rPr>
          <w:rFonts w:hint="default"/>
        </w:rPr>
        <w:t>2.2评价因子</w:t>
      </w:r>
      <w:r>
        <w:tab/>
      </w:r>
      <w:r>
        <w:fldChar w:fldCharType="begin"/>
      </w:r>
      <w:r>
        <w:instrText xml:space="preserve"> PAGEREF _Toc7820 \h </w:instrText>
      </w:r>
      <w:r>
        <w:fldChar w:fldCharType="separate"/>
      </w:r>
      <w:r>
        <w:t>27</w:t>
      </w:r>
      <w:r>
        <w:fldChar w:fldCharType="end"/>
      </w:r>
      <w:r>
        <w:rPr>
          <w:rFonts w:hint="default" w:ascii="Times New Roman" w:hAnsi="Times New Roman" w:cs="Times New Roman"/>
          <w:color w:val="auto"/>
          <w:szCs w:val="24"/>
          <w:u w:val="none" w:color="auto"/>
        </w:rPr>
        <w:fldChar w:fldCharType="end"/>
      </w:r>
    </w:p>
    <w:p w14:paraId="5D78CC1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_Toc17626 </w:instrText>
      </w:r>
      <w:r>
        <w:rPr>
          <w:rFonts w:hint="default" w:ascii="Times New Roman" w:hAnsi="Times New Roman" w:cs="Times New Roman"/>
          <w:szCs w:val="24"/>
        </w:rPr>
        <w:fldChar w:fldCharType="separate"/>
      </w:r>
      <w:r>
        <w:rPr>
          <w:rFonts w:hint="default" w:ascii="Times New Roman" w:hAnsi="Times New Roman" w:cs="Times New Roman"/>
        </w:rPr>
        <w:t>2.2.1评价因子</w:t>
      </w:r>
      <w:r>
        <w:tab/>
      </w:r>
      <w:r>
        <w:fldChar w:fldCharType="begin"/>
      </w:r>
      <w:r>
        <w:instrText xml:space="preserve"> PAGEREF _Toc17626 \h </w:instrText>
      </w:r>
      <w:r>
        <w:fldChar w:fldCharType="separate"/>
      </w:r>
      <w:r>
        <w:t>27</w:t>
      </w:r>
      <w:r>
        <w:fldChar w:fldCharType="end"/>
      </w:r>
      <w:r>
        <w:rPr>
          <w:rFonts w:hint="default" w:ascii="Times New Roman" w:hAnsi="Times New Roman" w:cs="Times New Roman"/>
          <w:color w:val="auto"/>
          <w:szCs w:val="24"/>
          <w:u w:val="none" w:color="auto"/>
        </w:rPr>
        <w:fldChar w:fldCharType="end"/>
      </w:r>
    </w:p>
    <w:p w14:paraId="28701A3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_Toc31602 </w:instrText>
      </w:r>
      <w:r>
        <w:rPr>
          <w:rFonts w:hint="default" w:ascii="Times New Roman" w:hAnsi="Times New Roman" w:cs="Times New Roman"/>
          <w:szCs w:val="24"/>
        </w:rPr>
        <w:fldChar w:fldCharType="separate"/>
      </w:r>
      <w:r>
        <w:rPr>
          <w:rFonts w:hint="default" w:ascii="Times New Roman" w:hAnsi="Times New Roman" w:cs="Times New Roman"/>
        </w:rPr>
        <w:t>2.2.2环境功能区划</w:t>
      </w:r>
      <w:r>
        <w:tab/>
      </w:r>
      <w:r>
        <w:fldChar w:fldCharType="begin"/>
      </w:r>
      <w:r>
        <w:instrText xml:space="preserve"> PAGEREF _Toc31602 \h </w:instrText>
      </w:r>
      <w:r>
        <w:fldChar w:fldCharType="separate"/>
      </w:r>
      <w:r>
        <w:t>28</w:t>
      </w:r>
      <w:r>
        <w:fldChar w:fldCharType="end"/>
      </w:r>
      <w:r>
        <w:rPr>
          <w:rFonts w:hint="default" w:ascii="Times New Roman" w:hAnsi="Times New Roman" w:cs="Times New Roman"/>
          <w:color w:val="auto"/>
          <w:szCs w:val="24"/>
          <w:u w:val="none" w:color="auto"/>
        </w:rPr>
        <w:fldChar w:fldCharType="end"/>
      </w:r>
    </w:p>
    <w:p w14:paraId="69FA049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_Toc21392 </w:instrText>
      </w:r>
      <w:r>
        <w:rPr>
          <w:rFonts w:hint="default" w:ascii="Times New Roman" w:hAnsi="Times New Roman" w:cs="Times New Roman"/>
          <w:szCs w:val="24"/>
        </w:rPr>
        <w:fldChar w:fldCharType="separate"/>
      </w:r>
      <w:r>
        <w:rPr>
          <w:rFonts w:hint="default" w:ascii="Times New Roman" w:hAnsi="Times New Roman" w:cs="Times New Roman"/>
        </w:rPr>
        <w:t>2.2.3评价标准</w:t>
      </w:r>
      <w:r>
        <w:tab/>
      </w:r>
      <w:r>
        <w:fldChar w:fldCharType="begin"/>
      </w:r>
      <w:r>
        <w:instrText xml:space="preserve"> PAGEREF _Toc21392 \h </w:instrText>
      </w:r>
      <w:r>
        <w:fldChar w:fldCharType="separate"/>
      </w:r>
      <w:r>
        <w:t>30</w:t>
      </w:r>
      <w:r>
        <w:fldChar w:fldCharType="end"/>
      </w:r>
      <w:r>
        <w:rPr>
          <w:rFonts w:hint="default" w:ascii="Times New Roman" w:hAnsi="Times New Roman" w:cs="Times New Roman"/>
          <w:color w:val="auto"/>
          <w:szCs w:val="24"/>
          <w:u w:val="none" w:color="auto"/>
        </w:rPr>
        <w:fldChar w:fldCharType="end"/>
      </w:r>
    </w:p>
    <w:p w14:paraId="456B3E72">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_Toc11829 </w:instrText>
      </w:r>
      <w:r>
        <w:rPr>
          <w:rFonts w:hint="default" w:ascii="Times New Roman" w:hAnsi="Times New Roman" w:cs="Times New Roman"/>
          <w:szCs w:val="24"/>
        </w:rPr>
        <w:fldChar w:fldCharType="separate"/>
      </w:r>
      <w:r>
        <w:rPr>
          <w:rFonts w:hint="default"/>
        </w:rPr>
        <w:t>2.3评价工作等级</w:t>
      </w:r>
      <w:r>
        <w:rPr>
          <w:rFonts w:hint="default"/>
          <w:lang w:eastAsia="zh-CN"/>
        </w:rPr>
        <w:t>及评价范围</w:t>
      </w:r>
      <w:r>
        <w:tab/>
      </w:r>
      <w:r>
        <w:fldChar w:fldCharType="begin"/>
      </w:r>
      <w:r>
        <w:instrText xml:space="preserve"> PAGEREF _Toc11829 \h </w:instrText>
      </w:r>
      <w:r>
        <w:fldChar w:fldCharType="separate"/>
      </w:r>
      <w:r>
        <w:t>33</w:t>
      </w:r>
      <w:r>
        <w:fldChar w:fldCharType="end"/>
      </w:r>
      <w:r>
        <w:rPr>
          <w:rFonts w:hint="default" w:ascii="Times New Roman" w:hAnsi="Times New Roman" w:cs="Times New Roman"/>
          <w:color w:val="auto"/>
          <w:szCs w:val="24"/>
          <w:u w:val="none" w:color="auto"/>
        </w:rPr>
        <w:fldChar w:fldCharType="end"/>
      </w:r>
    </w:p>
    <w:p w14:paraId="1A62A0F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_Toc12604 </w:instrText>
      </w:r>
      <w:r>
        <w:rPr>
          <w:rFonts w:hint="default" w:ascii="Times New Roman" w:hAnsi="Times New Roman" w:cs="Times New Roman"/>
          <w:szCs w:val="24"/>
        </w:rPr>
        <w:fldChar w:fldCharType="separate"/>
      </w:r>
      <w:r>
        <w:rPr>
          <w:rFonts w:hint="default" w:ascii="Times New Roman" w:hAnsi="Times New Roman" w:cs="Times New Roman"/>
        </w:rPr>
        <w:t>2.3.1大气环境影响评价工作等级</w:t>
      </w:r>
      <w:r>
        <w:rPr>
          <w:rFonts w:hint="default" w:ascii="Times New Roman" w:hAnsi="Times New Roman" w:cs="Times New Roman"/>
          <w:lang w:eastAsia="zh-CN"/>
        </w:rPr>
        <w:t>及评价范围</w:t>
      </w:r>
      <w:r>
        <w:tab/>
      </w:r>
      <w:r>
        <w:fldChar w:fldCharType="begin"/>
      </w:r>
      <w:r>
        <w:instrText xml:space="preserve"> PAGEREF _Toc12604 \h </w:instrText>
      </w:r>
      <w:r>
        <w:fldChar w:fldCharType="separate"/>
      </w:r>
      <w:r>
        <w:t>33</w:t>
      </w:r>
      <w:r>
        <w:fldChar w:fldCharType="end"/>
      </w:r>
      <w:r>
        <w:rPr>
          <w:rFonts w:hint="default" w:ascii="Times New Roman" w:hAnsi="Times New Roman" w:cs="Times New Roman"/>
          <w:color w:val="auto"/>
          <w:szCs w:val="24"/>
          <w:u w:val="none" w:color="auto"/>
        </w:rPr>
        <w:fldChar w:fldCharType="end"/>
      </w:r>
    </w:p>
    <w:p w14:paraId="17C8FF3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_Toc31607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2</w:t>
      </w:r>
      <w:r>
        <w:rPr>
          <w:rFonts w:hint="default" w:ascii="Times New Roman" w:hAnsi="Times New Roman" w:cs="Times New Roman"/>
          <w:lang w:eastAsia="zh-CN"/>
        </w:rPr>
        <w:t>地表水</w:t>
      </w:r>
      <w:r>
        <w:rPr>
          <w:rFonts w:hint="default" w:ascii="Times New Roman" w:hAnsi="Times New Roman" w:cs="Times New Roman"/>
        </w:rPr>
        <w:t>环境影响评价工作等级</w:t>
      </w:r>
      <w:r>
        <w:rPr>
          <w:rFonts w:hint="default" w:ascii="Times New Roman" w:hAnsi="Times New Roman" w:cs="Times New Roman"/>
          <w:lang w:eastAsia="zh-CN"/>
        </w:rPr>
        <w:t>及评价范围</w:t>
      </w:r>
      <w:r>
        <w:tab/>
      </w:r>
      <w:r>
        <w:fldChar w:fldCharType="begin"/>
      </w:r>
      <w:r>
        <w:instrText xml:space="preserve"> PAGEREF _Toc31607 \h </w:instrText>
      </w:r>
      <w:r>
        <w:fldChar w:fldCharType="separate"/>
      </w:r>
      <w:r>
        <w:t>35</w:t>
      </w:r>
      <w:r>
        <w:fldChar w:fldCharType="end"/>
      </w:r>
      <w:r>
        <w:rPr>
          <w:rFonts w:hint="default" w:ascii="Times New Roman" w:hAnsi="Times New Roman" w:cs="Times New Roman"/>
          <w:color w:val="auto"/>
          <w:szCs w:val="24"/>
          <w:u w:val="none" w:color="auto"/>
        </w:rPr>
        <w:fldChar w:fldCharType="end"/>
      </w:r>
    </w:p>
    <w:p w14:paraId="3FA9112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_Toc15941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3</w:t>
      </w:r>
      <w:r>
        <w:rPr>
          <w:rFonts w:hint="default" w:ascii="Times New Roman" w:hAnsi="Times New Roman" w:cs="Times New Roman"/>
          <w:lang w:eastAsia="zh-CN"/>
        </w:rPr>
        <w:t>地下水</w:t>
      </w:r>
      <w:r>
        <w:rPr>
          <w:rFonts w:hint="default" w:ascii="Times New Roman" w:hAnsi="Times New Roman" w:cs="Times New Roman"/>
        </w:rPr>
        <w:t>环境影响评价工作等级</w:t>
      </w:r>
      <w:r>
        <w:rPr>
          <w:rFonts w:hint="default" w:ascii="Times New Roman" w:hAnsi="Times New Roman" w:cs="Times New Roman"/>
          <w:lang w:eastAsia="zh-CN"/>
        </w:rPr>
        <w:t>及评价范围</w:t>
      </w:r>
      <w:r>
        <w:tab/>
      </w:r>
      <w:r>
        <w:fldChar w:fldCharType="begin"/>
      </w:r>
      <w:r>
        <w:instrText xml:space="preserve"> PAGEREF _Toc15941 \h </w:instrText>
      </w:r>
      <w:r>
        <w:fldChar w:fldCharType="separate"/>
      </w:r>
      <w:r>
        <w:t>35</w:t>
      </w:r>
      <w:r>
        <w:fldChar w:fldCharType="end"/>
      </w:r>
      <w:r>
        <w:rPr>
          <w:rFonts w:hint="default" w:ascii="Times New Roman" w:hAnsi="Times New Roman" w:cs="Times New Roman"/>
          <w:color w:val="auto"/>
          <w:szCs w:val="24"/>
          <w:u w:val="none" w:color="auto"/>
        </w:rPr>
        <w:fldChar w:fldCharType="end"/>
      </w:r>
    </w:p>
    <w:p w14:paraId="010F26E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_Toc32523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4</w:t>
      </w:r>
      <w:r>
        <w:rPr>
          <w:rFonts w:hint="default" w:ascii="Times New Roman" w:hAnsi="Times New Roman" w:cs="Times New Roman"/>
          <w:lang w:eastAsia="zh-CN"/>
        </w:rPr>
        <w:t>声</w:t>
      </w:r>
      <w:r>
        <w:rPr>
          <w:rFonts w:hint="default" w:ascii="Times New Roman" w:hAnsi="Times New Roman" w:cs="Times New Roman"/>
        </w:rPr>
        <w:t>环境影响评价工作等级</w:t>
      </w:r>
      <w:r>
        <w:rPr>
          <w:rFonts w:hint="default" w:ascii="Times New Roman" w:hAnsi="Times New Roman" w:cs="Times New Roman"/>
          <w:lang w:eastAsia="zh-CN"/>
        </w:rPr>
        <w:t>及评价范围</w:t>
      </w:r>
      <w:r>
        <w:tab/>
      </w:r>
      <w:r>
        <w:fldChar w:fldCharType="begin"/>
      </w:r>
      <w:r>
        <w:instrText xml:space="preserve"> PAGEREF _Toc32523 \h </w:instrText>
      </w:r>
      <w:r>
        <w:fldChar w:fldCharType="separate"/>
      </w:r>
      <w:r>
        <w:t>37</w:t>
      </w:r>
      <w:r>
        <w:fldChar w:fldCharType="end"/>
      </w:r>
      <w:r>
        <w:rPr>
          <w:rFonts w:hint="default" w:ascii="Times New Roman" w:hAnsi="Times New Roman" w:cs="Times New Roman"/>
          <w:color w:val="auto"/>
          <w:szCs w:val="24"/>
          <w:u w:val="none" w:color="auto"/>
        </w:rPr>
        <w:fldChar w:fldCharType="end"/>
      </w:r>
    </w:p>
    <w:p w14:paraId="581489A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_Toc5647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5</w:t>
      </w:r>
      <w:r>
        <w:rPr>
          <w:rFonts w:hint="default" w:ascii="Times New Roman" w:hAnsi="Times New Roman" w:cs="Times New Roman"/>
          <w:lang w:eastAsia="zh-CN"/>
        </w:rPr>
        <w:t>土壤</w:t>
      </w:r>
      <w:r>
        <w:rPr>
          <w:rFonts w:hint="default" w:ascii="Times New Roman" w:hAnsi="Times New Roman" w:cs="Times New Roman"/>
        </w:rPr>
        <w:t>环境影响评价工作等级</w:t>
      </w:r>
      <w:r>
        <w:tab/>
      </w:r>
      <w:r>
        <w:fldChar w:fldCharType="begin"/>
      </w:r>
      <w:r>
        <w:instrText xml:space="preserve"> PAGEREF _Toc5647 \h </w:instrText>
      </w:r>
      <w:r>
        <w:fldChar w:fldCharType="separate"/>
      </w:r>
      <w:r>
        <w:t>37</w:t>
      </w:r>
      <w:r>
        <w:fldChar w:fldCharType="end"/>
      </w:r>
      <w:r>
        <w:rPr>
          <w:rFonts w:hint="default" w:ascii="Times New Roman" w:hAnsi="Times New Roman" w:cs="Times New Roman"/>
          <w:color w:val="auto"/>
          <w:szCs w:val="24"/>
          <w:u w:val="none" w:color="auto"/>
        </w:rPr>
        <w:fldChar w:fldCharType="end"/>
      </w:r>
    </w:p>
    <w:p w14:paraId="7AA6187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_Toc28487 </w:instrText>
      </w:r>
      <w:r>
        <w:rPr>
          <w:rFonts w:hint="default" w:ascii="Times New Roman" w:hAnsi="Times New Roman" w:cs="Times New Roman"/>
          <w:szCs w:val="24"/>
        </w:rPr>
        <w:fldChar w:fldCharType="separate"/>
      </w:r>
      <w:r>
        <w:rPr>
          <w:rFonts w:hint="default"/>
        </w:rPr>
        <w:t>2.3.</w:t>
      </w:r>
      <w:r>
        <w:rPr>
          <w:rFonts w:hint="default"/>
          <w:lang w:val="en-US" w:eastAsia="zh-CN"/>
        </w:rPr>
        <w:t>6</w:t>
      </w:r>
      <w:r>
        <w:rPr>
          <w:rFonts w:hint="default"/>
          <w:lang w:eastAsia="zh-CN"/>
        </w:rPr>
        <w:t>生态</w:t>
      </w:r>
      <w:r>
        <w:rPr>
          <w:rFonts w:hint="default"/>
        </w:rPr>
        <w:t>环境影响评价工作等级</w:t>
      </w:r>
      <w:r>
        <w:tab/>
      </w:r>
      <w:r>
        <w:fldChar w:fldCharType="begin"/>
      </w:r>
      <w:r>
        <w:instrText xml:space="preserve"> PAGEREF _Toc28487 \h </w:instrText>
      </w:r>
      <w:r>
        <w:fldChar w:fldCharType="separate"/>
      </w:r>
      <w:r>
        <w:t>38</w:t>
      </w:r>
      <w:r>
        <w:fldChar w:fldCharType="end"/>
      </w:r>
      <w:r>
        <w:rPr>
          <w:rFonts w:hint="default" w:ascii="Times New Roman" w:hAnsi="Times New Roman" w:cs="Times New Roman"/>
          <w:color w:val="auto"/>
          <w:szCs w:val="24"/>
          <w:u w:val="none" w:color="auto"/>
        </w:rPr>
        <w:fldChar w:fldCharType="end"/>
      </w:r>
    </w:p>
    <w:p w14:paraId="27998DA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_Toc73 </w:instrText>
      </w:r>
      <w:r>
        <w:rPr>
          <w:rFonts w:hint="default" w:ascii="Times New Roman" w:hAnsi="Times New Roman" w:cs="Times New Roman"/>
          <w:szCs w:val="24"/>
        </w:rPr>
        <w:fldChar w:fldCharType="separate"/>
      </w:r>
      <w:r>
        <w:rPr>
          <w:rFonts w:hint="default" w:ascii="Times New Roman" w:hAnsi="Times New Roman" w:cs="Times New Roman"/>
        </w:rPr>
        <w:t>2.3.</w:t>
      </w:r>
      <w:r>
        <w:rPr>
          <w:rFonts w:hint="default" w:ascii="Times New Roman" w:hAnsi="Times New Roman" w:cs="Times New Roman"/>
          <w:lang w:val="en-US" w:eastAsia="zh-CN"/>
        </w:rPr>
        <w:t>7</w:t>
      </w:r>
      <w:r>
        <w:rPr>
          <w:rFonts w:hint="default" w:ascii="Times New Roman" w:hAnsi="Times New Roman" w:cs="Times New Roman"/>
          <w:lang w:eastAsia="zh-CN"/>
        </w:rPr>
        <w:t>环境风险</w:t>
      </w:r>
      <w:r>
        <w:rPr>
          <w:rFonts w:hint="default" w:ascii="Times New Roman" w:hAnsi="Times New Roman" w:cs="Times New Roman"/>
        </w:rPr>
        <w:t>影响评价工作等级</w:t>
      </w:r>
      <w:r>
        <w:tab/>
      </w:r>
      <w:r>
        <w:fldChar w:fldCharType="begin"/>
      </w:r>
      <w:r>
        <w:instrText xml:space="preserve"> PAGEREF _Toc73 \h </w:instrText>
      </w:r>
      <w:r>
        <w:fldChar w:fldCharType="separate"/>
      </w:r>
      <w:r>
        <w:t>38</w:t>
      </w:r>
      <w:r>
        <w:fldChar w:fldCharType="end"/>
      </w:r>
      <w:r>
        <w:rPr>
          <w:rFonts w:hint="default" w:ascii="Times New Roman" w:hAnsi="Times New Roman" w:cs="Times New Roman"/>
          <w:color w:val="auto"/>
          <w:szCs w:val="24"/>
          <w:u w:val="none" w:color="auto"/>
        </w:rPr>
        <w:fldChar w:fldCharType="end"/>
      </w:r>
    </w:p>
    <w:p w14:paraId="3EE50375">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_Toc26027 </w:instrText>
      </w:r>
      <w:r>
        <w:rPr>
          <w:rFonts w:hint="default" w:ascii="Times New Roman" w:hAnsi="Times New Roman" w:cs="Times New Roman"/>
          <w:szCs w:val="24"/>
        </w:rPr>
        <w:fldChar w:fldCharType="separate"/>
      </w:r>
      <w:r>
        <w:rPr>
          <w:rFonts w:hint="default"/>
          <w:lang w:eastAsia="zh-CN"/>
        </w:rPr>
        <w:t>2.</w:t>
      </w:r>
      <w:r>
        <w:rPr>
          <w:rFonts w:hint="default"/>
          <w:lang w:val="en-US" w:eastAsia="zh-CN"/>
        </w:rPr>
        <w:t>4</w:t>
      </w:r>
      <w:r>
        <w:rPr>
          <w:rFonts w:hint="default"/>
        </w:rPr>
        <w:t>评价范围及环境敏感目标</w:t>
      </w:r>
      <w:r>
        <w:tab/>
      </w:r>
      <w:r>
        <w:fldChar w:fldCharType="begin"/>
      </w:r>
      <w:r>
        <w:instrText xml:space="preserve"> PAGEREF _Toc26027 \h </w:instrText>
      </w:r>
      <w:r>
        <w:fldChar w:fldCharType="separate"/>
      </w:r>
      <w:r>
        <w:t>39</w:t>
      </w:r>
      <w:r>
        <w:fldChar w:fldCharType="end"/>
      </w:r>
      <w:r>
        <w:rPr>
          <w:rFonts w:hint="default" w:ascii="Times New Roman" w:hAnsi="Times New Roman" w:cs="Times New Roman"/>
          <w:color w:val="auto"/>
          <w:szCs w:val="24"/>
          <w:u w:val="none" w:color="auto"/>
        </w:rPr>
        <w:fldChar w:fldCharType="end"/>
      </w:r>
    </w:p>
    <w:p w14:paraId="521749F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_Toc18972 </w:instrText>
      </w:r>
      <w:r>
        <w:rPr>
          <w:rFonts w:hint="default" w:ascii="Times New Roman" w:hAnsi="Times New Roman" w:cs="Times New Roman"/>
          <w:szCs w:val="24"/>
        </w:rPr>
        <w:fldChar w:fldCharType="separate"/>
      </w:r>
      <w:r>
        <w:rPr>
          <w:rFonts w:hint="default" w:ascii="Times New Roman" w:hAnsi="Times New Roman" w:cs="Times New Roman"/>
          <w:lang w:eastAsia="zh-CN"/>
        </w:rPr>
        <w:t>2.</w:t>
      </w:r>
      <w:r>
        <w:rPr>
          <w:rFonts w:hint="default" w:ascii="Times New Roman" w:hAnsi="Times New Roman" w:cs="Times New Roman"/>
          <w:lang w:val="en-US" w:eastAsia="zh-CN"/>
        </w:rPr>
        <w:t>4</w:t>
      </w:r>
      <w:r>
        <w:rPr>
          <w:rFonts w:hint="default" w:ascii="Times New Roman" w:hAnsi="Times New Roman" w:cs="Times New Roman"/>
        </w:rPr>
        <w:t>.1评价范围</w:t>
      </w:r>
      <w:r>
        <w:tab/>
      </w:r>
      <w:r>
        <w:fldChar w:fldCharType="begin"/>
      </w:r>
      <w:r>
        <w:instrText xml:space="preserve"> PAGEREF _Toc18972 \h </w:instrText>
      </w:r>
      <w:r>
        <w:fldChar w:fldCharType="separate"/>
      </w:r>
      <w:r>
        <w:t>39</w:t>
      </w:r>
      <w:r>
        <w:fldChar w:fldCharType="end"/>
      </w:r>
      <w:r>
        <w:rPr>
          <w:rFonts w:hint="default" w:ascii="Times New Roman" w:hAnsi="Times New Roman" w:cs="Times New Roman"/>
          <w:color w:val="auto"/>
          <w:szCs w:val="24"/>
          <w:u w:val="none" w:color="auto"/>
        </w:rPr>
        <w:fldChar w:fldCharType="end"/>
      </w:r>
    </w:p>
    <w:p w14:paraId="4009CB7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_Toc2739 </w:instrText>
      </w:r>
      <w:r>
        <w:rPr>
          <w:rFonts w:hint="default" w:ascii="Times New Roman" w:hAnsi="Times New Roman" w:cs="Times New Roman"/>
          <w:szCs w:val="24"/>
        </w:rPr>
        <w:fldChar w:fldCharType="separate"/>
      </w:r>
      <w:r>
        <w:rPr>
          <w:rFonts w:hint="default" w:ascii="Times New Roman" w:hAnsi="Times New Roman" w:cs="Times New Roman"/>
          <w:lang w:eastAsia="zh-CN"/>
        </w:rPr>
        <w:t>2.</w:t>
      </w:r>
      <w:r>
        <w:rPr>
          <w:rFonts w:hint="default" w:ascii="Times New Roman" w:hAnsi="Times New Roman" w:cs="Times New Roman"/>
          <w:lang w:val="en-US" w:eastAsia="zh-CN"/>
        </w:rPr>
        <w:t>4</w:t>
      </w:r>
      <w:r>
        <w:rPr>
          <w:rFonts w:hint="default" w:ascii="Times New Roman" w:hAnsi="Times New Roman" w:cs="Times New Roman"/>
        </w:rPr>
        <w:t>.2环境敏感目标</w:t>
      </w:r>
      <w:r>
        <w:tab/>
      </w:r>
      <w:r>
        <w:fldChar w:fldCharType="begin"/>
      </w:r>
      <w:r>
        <w:instrText xml:space="preserve"> PAGEREF _Toc2739 \h </w:instrText>
      </w:r>
      <w:r>
        <w:fldChar w:fldCharType="separate"/>
      </w:r>
      <w:r>
        <w:t>39</w:t>
      </w:r>
      <w:r>
        <w:fldChar w:fldCharType="end"/>
      </w:r>
      <w:r>
        <w:rPr>
          <w:rFonts w:hint="default" w:ascii="Times New Roman" w:hAnsi="Times New Roman" w:cs="Times New Roman"/>
          <w:color w:val="auto"/>
          <w:szCs w:val="24"/>
          <w:u w:val="none" w:color="auto"/>
        </w:rPr>
        <w:fldChar w:fldCharType="end"/>
      </w:r>
    </w:p>
    <w:p w14:paraId="34B0C750">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_Toc15390 </w:instrText>
      </w:r>
      <w:r>
        <w:rPr>
          <w:rFonts w:hint="default" w:ascii="Times New Roman" w:hAnsi="Times New Roman" w:cs="Times New Roman"/>
          <w:szCs w:val="24"/>
        </w:rPr>
        <w:fldChar w:fldCharType="separate"/>
      </w:r>
      <w:r>
        <w:rPr>
          <w:rFonts w:hint="default" w:ascii="Times New Roman" w:hAnsi="Times New Roman" w:eastAsia="宋体" w:cs="Times New Roman"/>
          <w:lang w:val="en-US" w:eastAsia="zh-CN"/>
        </w:rPr>
        <w:t>3</w:t>
      </w:r>
      <w:r>
        <w:rPr>
          <w:rFonts w:hint="default" w:ascii="Times New Roman" w:hAnsi="Times New Roman" w:eastAsia="宋体" w:cs="Times New Roman"/>
        </w:rPr>
        <w:t>、</w:t>
      </w:r>
      <w:r>
        <w:rPr>
          <w:rFonts w:hint="eastAsia" w:ascii="Times New Roman" w:hAnsi="Times New Roman" w:eastAsia="宋体" w:cs="Times New Roman"/>
          <w:lang w:val="en-US" w:eastAsia="zh-CN"/>
        </w:rPr>
        <w:t>迁建前项目概况</w:t>
      </w:r>
      <w:r>
        <w:tab/>
      </w:r>
      <w:r>
        <w:fldChar w:fldCharType="begin"/>
      </w:r>
      <w:r>
        <w:instrText xml:space="preserve"> PAGEREF _Toc15390 \h </w:instrText>
      </w:r>
      <w:r>
        <w:fldChar w:fldCharType="separate"/>
      </w:r>
      <w:r>
        <w:t>43</w:t>
      </w:r>
      <w:r>
        <w:fldChar w:fldCharType="end"/>
      </w:r>
      <w:r>
        <w:rPr>
          <w:rFonts w:hint="default" w:ascii="Times New Roman" w:hAnsi="Times New Roman" w:cs="Times New Roman"/>
          <w:color w:val="auto"/>
          <w:szCs w:val="24"/>
          <w:u w:val="none" w:color="auto"/>
        </w:rPr>
        <w:fldChar w:fldCharType="end"/>
      </w:r>
    </w:p>
    <w:p w14:paraId="27D713D7">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_Toc22395 </w:instrText>
      </w:r>
      <w:r>
        <w:rPr>
          <w:rFonts w:hint="default" w:ascii="Times New Roman" w:hAnsi="Times New Roman" w:cs="Times New Roman"/>
          <w:szCs w:val="24"/>
        </w:rPr>
        <w:fldChar w:fldCharType="separate"/>
      </w:r>
      <w:r>
        <w:rPr>
          <w:rFonts w:hint="eastAsia"/>
          <w:lang w:val="en-US" w:eastAsia="zh-CN"/>
        </w:rPr>
        <w:t>3.1迁建前项目基本情况</w:t>
      </w:r>
      <w:r>
        <w:tab/>
      </w:r>
      <w:r>
        <w:fldChar w:fldCharType="begin"/>
      </w:r>
      <w:r>
        <w:instrText xml:space="preserve"> PAGEREF _Toc22395 \h </w:instrText>
      </w:r>
      <w:r>
        <w:fldChar w:fldCharType="separate"/>
      </w:r>
      <w:r>
        <w:t>43</w:t>
      </w:r>
      <w:r>
        <w:fldChar w:fldCharType="end"/>
      </w:r>
      <w:r>
        <w:rPr>
          <w:rFonts w:hint="default" w:ascii="Times New Roman" w:hAnsi="Times New Roman" w:cs="Times New Roman"/>
          <w:color w:val="auto"/>
          <w:szCs w:val="24"/>
          <w:u w:val="none" w:color="auto"/>
        </w:rPr>
        <w:fldChar w:fldCharType="end"/>
      </w:r>
    </w:p>
    <w:p w14:paraId="4F9536B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_Toc6906 </w:instrText>
      </w:r>
      <w:r>
        <w:rPr>
          <w:rFonts w:hint="default" w:ascii="Times New Roman" w:hAnsi="Times New Roman" w:cs="Times New Roman"/>
          <w:szCs w:val="24"/>
        </w:rPr>
        <w:fldChar w:fldCharType="separate"/>
      </w:r>
      <w:r>
        <w:rPr>
          <w:rFonts w:hint="eastAsia"/>
          <w:lang w:val="en-US" w:eastAsia="zh-CN"/>
        </w:rPr>
        <w:t>3.1.1迁建前项目环保手续履行情况及排污许可证核发情况</w:t>
      </w:r>
      <w:r>
        <w:tab/>
      </w:r>
      <w:r>
        <w:fldChar w:fldCharType="begin"/>
      </w:r>
      <w:r>
        <w:instrText xml:space="preserve"> PAGEREF _Toc6906 \h </w:instrText>
      </w:r>
      <w:r>
        <w:fldChar w:fldCharType="separate"/>
      </w:r>
      <w:r>
        <w:t>43</w:t>
      </w:r>
      <w:r>
        <w:fldChar w:fldCharType="end"/>
      </w:r>
      <w:r>
        <w:rPr>
          <w:rFonts w:hint="default" w:ascii="Times New Roman" w:hAnsi="Times New Roman" w:cs="Times New Roman"/>
          <w:color w:val="auto"/>
          <w:szCs w:val="24"/>
          <w:u w:val="none" w:color="auto"/>
        </w:rPr>
        <w:fldChar w:fldCharType="end"/>
      </w:r>
    </w:p>
    <w:p w14:paraId="090AAF6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_Toc25198 </w:instrText>
      </w:r>
      <w:r>
        <w:rPr>
          <w:rFonts w:hint="default" w:ascii="Times New Roman" w:hAnsi="Times New Roman" w:cs="Times New Roman"/>
          <w:szCs w:val="24"/>
        </w:rPr>
        <w:fldChar w:fldCharType="separate"/>
      </w:r>
      <w:r>
        <w:rPr>
          <w:rFonts w:hint="eastAsia"/>
          <w:lang w:val="en-US" w:eastAsia="zh-CN"/>
        </w:rPr>
        <w:t>3.1.2迁建前项目工程组成</w:t>
      </w:r>
      <w:r>
        <w:tab/>
      </w:r>
      <w:r>
        <w:fldChar w:fldCharType="begin"/>
      </w:r>
      <w:r>
        <w:instrText xml:space="preserve"> PAGEREF _Toc25198 \h </w:instrText>
      </w:r>
      <w:r>
        <w:fldChar w:fldCharType="separate"/>
      </w:r>
      <w:r>
        <w:t>44</w:t>
      </w:r>
      <w:r>
        <w:fldChar w:fldCharType="end"/>
      </w:r>
      <w:r>
        <w:rPr>
          <w:rFonts w:hint="default" w:ascii="Times New Roman" w:hAnsi="Times New Roman" w:cs="Times New Roman"/>
          <w:color w:val="auto"/>
          <w:szCs w:val="24"/>
          <w:u w:val="none" w:color="auto"/>
        </w:rPr>
        <w:fldChar w:fldCharType="end"/>
      </w:r>
    </w:p>
    <w:p w14:paraId="0863D42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_Toc7725 </w:instrText>
      </w:r>
      <w:r>
        <w:rPr>
          <w:rFonts w:hint="default" w:ascii="Times New Roman" w:hAnsi="Times New Roman" w:cs="Times New Roman"/>
          <w:szCs w:val="24"/>
        </w:rPr>
        <w:fldChar w:fldCharType="separate"/>
      </w:r>
      <w:r>
        <w:rPr>
          <w:rFonts w:hint="eastAsia"/>
          <w:lang w:val="en-US" w:eastAsia="zh-CN"/>
        </w:rPr>
        <w:t>3.1.3迁建前项目产品方案</w:t>
      </w:r>
      <w:r>
        <w:tab/>
      </w:r>
      <w:r>
        <w:fldChar w:fldCharType="begin"/>
      </w:r>
      <w:r>
        <w:instrText xml:space="preserve"> PAGEREF _Toc7725 \h </w:instrText>
      </w:r>
      <w:r>
        <w:fldChar w:fldCharType="separate"/>
      </w:r>
      <w:r>
        <w:t>44</w:t>
      </w:r>
      <w:r>
        <w:fldChar w:fldCharType="end"/>
      </w:r>
      <w:r>
        <w:rPr>
          <w:rFonts w:hint="default" w:ascii="Times New Roman" w:hAnsi="Times New Roman" w:cs="Times New Roman"/>
          <w:color w:val="auto"/>
          <w:szCs w:val="24"/>
          <w:u w:val="none" w:color="auto"/>
        </w:rPr>
        <w:fldChar w:fldCharType="end"/>
      </w:r>
    </w:p>
    <w:p w14:paraId="5CE7B9A0">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_Toc7371 </w:instrText>
      </w:r>
      <w:r>
        <w:rPr>
          <w:rFonts w:hint="default" w:ascii="Times New Roman" w:hAnsi="Times New Roman" w:cs="Times New Roman"/>
          <w:szCs w:val="24"/>
        </w:rPr>
        <w:fldChar w:fldCharType="separate"/>
      </w:r>
      <w:r>
        <w:rPr>
          <w:rFonts w:hint="eastAsia"/>
          <w:lang w:val="en-US" w:eastAsia="zh-CN"/>
        </w:rPr>
        <w:t>3.1.4迁建前项目主要原辅材料</w:t>
      </w:r>
      <w:r>
        <w:tab/>
      </w:r>
      <w:r>
        <w:fldChar w:fldCharType="begin"/>
      </w:r>
      <w:r>
        <w:instrText xml:space="preserve"> PAGEREF _Toc7371 \h </w:instrText>
      </w:r>
      <w:r>
        <w:fldChar w:fldCharType="separate"/>
      </w:r>
      <w:r>
        <w:t>44</w:t>
      </w:r>
      <w:r>
        <w:fldChar w:fldCharType="end"/>
      </w:r>
      <w:r>
        <w:rPr>
          <w:rFonts w:hint="default" w:ascii="Times New Roman" w:hAnsi="Times New Roman" w:cs="Times New Roman"/>
          <w:color w:val="auto"/>
          <w:szCs w:val="24"/>
          <w:u w:val="none" w:color="auto"/>
        </w:rPr>
        <w:fldChar w:fldCharType="end"/>
      </w:r>
    </w:p>
    <w:p w14:paraId="1B67EF4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_Toc4816 </w:instrText>
      </w:r>
      <w:r>
        <w:rPr>
          <w:rFonts w:hint="default" w:ascii="Times New Roman" w:hAnsi="Times New Roman" w:cs="Times New Roman"/>
          <w:szCs w:val="24"/>
        </w:rPr>
        <w:fldChar w:fldCharType="separate"/>
      </w:r>
      <w:r>
        <w:rPr>
          <w:rFonts w:hint="eastAsia"/>
          <w:lang w:val="en-US" w:eastAsia="zh-CN"/>
        </w:rPr>
        <w:t>3.1.5迁建前项目主要生产设备</w:t>
      </w:r>
      <w:r>
        <w:tab/>
      </w:r>
      <w:r>
        <w:fldChar w:fldCharType="begin"/>
      </w:r>
      <w:r>
        <w:instrText xml:space="preserve"> PAGEREF _Toc4816 \h </w:instrText>
      </w:r>
      <w:r>
        <w:fldChar w:fldCharType="separate"/>
      </w:r>
      <w:r>
        <w:t>45</w:t>
      </w:r>
      <w:r>
        <w:fldChar w:fldCharType="end"/>
      </w:r>
      <w:r>
        <w:rPr>
          <w:rFonts w:hint="default" w:ascii="Times New Roman" w:hAnsi="Times New Roman" w:cs="Times New Roman"/>
          <w:color w:val="auto"/>
          <w:szCs w:val="24"/>
          <w:u w:val="none" w:color="auto"/>
        </w:rPr>
        <w:fldChar w:fldCharType="end"/>
      </w:r>
    </w:p>
    <w:p w14:paraId="35FF25EB">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_Toc1236 </w:instrText>
      </w:r>
      <w:r>
        <w:rPr>
          <w:rFonts w:hint="default" w:ascii="Times New Roman" w:hAnsi="Times New Roman" w:cs="Times New Roman"/>
          <w:szCs w:val="24"/>
        </w:rPr>
        <w:fldChar w:fldCharType="separate"/>
      </w:r>
      <w:r>
        <w:rPr>
          <w:rFonts w:hint="eastAsia"/>
          <w:lang w:val="en-US" w:eastAsia="zh-CN"/>
        </w:rPr>
        <w:t>3.1.6迁建前项目平面布局</w:t>
      </w:r>
      <w:r>
        <w:tab/>
      </w:r>
      <w:r>
        <w:fldChar w:fldCharType="begin"/>
      </w:r>
      <w:r>
        <w:instrText xml:space="preserve"> PAGEREF _Toc1236 \h </w:instrText>
      </w:r>
      <w:r>
        <w:fldChar w:fldCharType="separate"/>
      </w:r>
      <w:r>
        <w:t>45</w:t>
      </w:r>
      <w:r>
        <w:fldChar w:fldCharType="end"/>
      </w:r>
      <w:r>
        <w:rPr>
          <w:rFonts w:hint="default" w:ascii="Times New Roman" w:hAnsi="Times New Roman" w:cs="Times New Roman"/>
          <w:color w:val="auto"/>
          <w:szCs w:val="24"/>
          <w:u w:val="none" w:color="auto"/>
        </w:rPr>
        <w:fldChar w:fldCharType="end"/>
      </w:r>
    </w:p>
    <w:p w14:paraId="79F96D31">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_Toc30078 </w:instrText>
      </w:r>
      <w:r>
        <w:rPr>
          <w:rFonts w:hint="default" w:ascii="Times New Roman" w:hAnsi="Times New Roman" w:cs="Times New Roman"/>
          <w:szCs w:val="24"/>
        </w:rPr>
        <w:fldChar w:fldCharType="separate"/>
      </w:r>
      <w:r>
        <w:rPr>
          <w:rFonts w:hint="eastAsia"/>
          <w:lang w:val="en-US" w:eastAsia="zh-CN"/>
        </w:rPr>
        <w:t>3.2迁建前项目生产工艺流程及产污节点</w:t>
      </w:r>
      <w:r>
        <w:tab/>
      </w:r>
      <w:r>
        <w:fldChar w:fldCharType="begin"/>
      </w:r>
      <w:r>
        <w:instrText xml:space="preserve"> PAGEREF _Toc30078 \h </w:instrText>
      </w:r>
      <w:r>
        <w:fldChar w:fldCharType="separate"/>
      </w:r>
      <w:r>
        <w:t>46</w:t>
      </w:r>
      <w:r>
        <w:fldChar w:fldCharType="end"/>
      </w:r>
      <w:r>
        <w:rPr>
          <w:rFonts w:hint="default" w:ascii="Times New Roman" w:hAnsi="Times New Roman" w:cs="Times New Roman"/>
          <w:color w:val="auto"/>
          <w:szCs w:val="24"/>
          <w:u w:val="none" w:color="auto"/>
        </w:rPr>
        <w:fldChar w:fldCharType="end"/>
      </w:r>
    </w:p>
    <w:p w14:paraId="29A4221A">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_Toc18066 </w:instrText>
      </w:r>
      <w:r>
        <w:rPr>
          <w:rFonts w:hint="default" w:ascii="Times New Roman" w:hAnsi="Times New Roman" w:cs="Times New Roman"/>
          <w:szCs w:val="24"/>
        </w:rPr>
        <w:fldChar w:fldCharType="separate"/>
      </w:r>
      <w:r>
        <w:rPr>
          <w:rFonts w:hint="eastAsia"/>
          <w:lang w:val="en-US" w:eastAsia="zh-CN"/>
        </w:rPr>
        <w:t>3.3迁建前项目主要污染源及采取的污染防治措施</w:t>
      </w:r>
      <w:r>
        <w:tab/>
      </w:r>
      <w:r>
        <w:fldChar w:fldCharType="begin"/>
      </w:r>
      <w:r>
        <w:instrText xml:space="preserve"> PAGEREF _Toc18066 \h </w:instrText>
      </w:r>
      <w:r>
        <w:fldChar w:fldCharType="separate"/>
      </w:r>
      <w:r>
        <w:t>48</w:t>
      </w:r>
      <w:r>
        <w:fldChar w:fldCharType="end"/>
      </w:r>
      <w:r>
        <w:rPr>
          <w:rFonts w:hint="default" w:ascii="Times New Roman" w:hAnsi="Times New Roman" w:cs="Times New Roman"/>
          <w:color w:val="auto"/>
          <w:szCs w:val="24"/>
          <w:u w:val="none" w:color="auto"/>
        </w:rPr>
        <w:fldChar w:fldCharType="end"/>
      </w:r>
    </w:p>
    <w:p w14:paraId="1DDF9FF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_Toc17547 </w:instrText>
      </w:r>
      <w:r>
        <w:rPr>
          <w:rFonts w:hint="default" w:ascii="Times New Roman" w:hAnsi="Times New Roman" w:cs="Times New Roman"/>
          <w:szCs w:val="24"/>
        </w:rPr>
        <w:fldChar w:fldCharType="separate"/>
      </w:r>
      <w:r>
        <w:rPr>
          <w:rFonts w:hint="eastAsia"/>
          <w:lang w:val="en-US" w:eastAsia="zh-CN"/>
        </w:rPr>
        <w:t>3.3.1废气</w:t>
      </w:r>
      <w:r>
        <w:tab/>
      </w:r>
      <w:r>
        <w:fldChar w:fldCharType="begin"/>
      </w:r>
      <w:r>
        <w:instrText xml:space="preserve"> PAGEREF _Toc17547 \h </w:instrText>
      </w:r>
      <w:r>
        <w:fldChar w:fldCharType="separate"/>
      </w:r>
      <w:r>
        <w:t>48</w:t>
      </w:r>
      <w:r>
        <w:fldChar w:fldCharType="end"/>
      </w:r>
      <w:r>
        <w:rPr>
          <w:rFonts w:hint="default" w:ascii="Times New Roman" w:hAnsi="Times New Roman" w:cs="Times New Roman"/>
          <w:color w:val="auto"/>
          <w:szCs w:val="24"/>
          <w:u w:val="none" w:color="auto"/>
        </w:rPr>
        <w:fldChar w:fldCharType="end"/>
      </w:r>
    </w:p>
    <w:p w14:paraId="798E82E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_Toc10164 </w:instrText>
      </w:r>
      <w:r>
        <w:rPr>
          <w:rFonts w:hint="default" w:ascii="Times New Roman" w:hAnsi="Times New Roman" w:cs="Times New Roman"/>
          <w:szCs w:val="24"/>
        </w:rPr>
        <w:fldChar w:fldCharType="separate"/>
      </w:r>
      <w:r>
        <w:rPr>
          <w:rFonts w:hint="eastAsia"/>
          <w:lang w:val="en-US" w:eastAsia="zh-CN"/>
        </w:rPr>
        <w:t>3.3.2废水</w:t>
      </w:r>
      <w:r>
        <w:tab/>
      </w:r>
      <w:r>
        <w:fldChar w:fldCharType="begin"/>
      </w:r>
      <w:r>
        <w:instrText xml:space="preserve"> PAGEREF _Toc10164 \h </w:instrText>
      </w:r>
      <w:r>
        <w:fldChar w:fldCharType="separate"/>
      </w:r>
      <w:r>
        <w:t>50</w:t>
      </w:r>
      <w:r>
        <w:fldChar w:fldCharType="end"/>
      </w:r>
      <w:r>
        <w:rPr>
          <w:rFonts w:hint="default" w:ascii="Times New Roman" w:hAnsi="Times New Roman" w:cs="Times New Roman"/>
          <w:color w:val="auto"/>
          <w:szCs w:val="24"/>
          <w:u w:val="none" w:color="auto"/>
        </w:rPr>
        <w:fldChar w:fldCharType="end"/>
      </w:r>
    </w:p>
    <w:p w14:paraId="40B78B4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_Toc5359 </w:instrText>
      </w:r>
      <w:r>
        <w:rPr>
          <w:rFonts w:hint="default" w:ascii="Times New Roman" w:hAnsi="Times New Roman" w:cs="Times New Roman"/>
          <w:szCs w:val="24"/>
        </w:rPr>
        <w:fldChar w:fldCharType="separate"/>
      </w:r>
      <w:r>
        <w:rPr>
          <w:rFonts w:hint="eastAsia"/>
          <w:lang w:val="en-US" w:eastAsia="zh-CN"/>
        </w:rPr>
        <w:t>3.3.3噪声</w:t>
      </w:r>
      <w:r>
        <w:tab/>
      </w:r>
      <w:r>
        <w:fldChar w:fldCharType="begin"/>
      </w:r>
      <w:r>
        <w:instrText xml:space="preserve"> PAGEREF _Toc5359 \h </w:instrText>
      </w:r>
      <w:r>
        <w:fldChar w:fldCharType="separate"/>
      </w:r>
      <w:r>
        <w:t>51</w:t>
      </w:r>
      <w:r>
        <w:fldChar w:fldCharType="end"/>
      </w:r>
      <w:r>
        <w:rPr>
          <w:rFonts w:hint="default" w:ascii="Times New Roman" w:hAnsi="Times New Roman" w:cs="Times New Roman"/>
          <w:color w:val="auto"/>
          <w:szCs w:val="24"/>
          <w:u w:val="none" w:color="auto"/>
        </w:rPr>
        <w:fldChar w:fldCharType="end"/>
      </w:r>
    </w:p>
    <w:p w14:paraId="3B53286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_Toc16200 </w:instrText>
      </w:r>
      <w:r>
        <w:rPr>
          <w:rFonts w:hint="default" w:ascii="Times New Roman" w:hAnsi="Times New Roman" w:cs="Times New Roman"/>
          <w:szCs w:val="24"/>
        </w:rPr>
        <w:fldChar w:fldCharType="separate"/>
      </w:r>
      <w:r>
        <w:rPr>
          <w:rFonts w:hint="eastAsia"/>
          <w:lang w:val="en-US" w:eastAsia="zh-CN"/>
        </w:rPr>
        <w:t>3.3.4固体废物</w:t>
      </w:r>
      <w:r>
        <w:tab/>
      </w:r>
      <w:r>
        <w:fldChar w:fldCharType="begin"/>
      </w:r>
      <w:r>
        <w:instrText xml:space="preserve"> PAGEREF _Toc16200 \h </w:instrText>
      </w:r>
      <w:r>
        <w:fldChar w:fldCharType="separate"/>
      </w:r>
      <w:r>
        <w:t>51</w:t>
      </w:r>
      <w:r>
        <w:fldChar w:fldCharType="end"/>
      </w:r>
      <w:r>
        <w:rPr>
          <w:rFonts w:hint="default" w:ascii="Times New Roman" w:hAnsi="Times New Roman" w:cs="Times New Roman"/>
          <w:color w:val="auto"/>
          <w:szCs w:val="24"/>
          <w:u w:val="none" w:color="auto"/>
        </w:rPr>
        <w:fldChar w:fldCharType="end"/>
      </w:r>
    </w:p>
    <w:p w14:paraId="2272E92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_Toc27093 </w:instrText>
      </w:r>
      <w:r>
        <w:rPr>
          <w:rFonts w:hint="default" w:ascii="Times New Roman" w:hAnsi="Times New Roman" w:cs="Times New Roman"/>
          <w:szCs w:val="24"/>
        </w:rPr>
        <w:fldChar w:fldCharType="separate"/>
      </w:r>
      <w:r>
        <w:rPr>
          <w:rFonts w:hint="eastAsia"/>
          <w:lang w:val="en-US" w:eastAsia="zh-CN"/>
        </w:rPr>
        <w:t>3.3.5迁建前项目主要污染物排放汇总</w:t>
      </w:r>
      <w:r>
        <w:tab/>
      </w:r>
      <w:r>
        <w:fldChar w:fldCharType="begin"/>
      </w:r>
      <w:r>
        <w:instrText xml:space="preserve"> PAGEREF _Toc27093 \h </w:instrText>
      </w:r>
      <w:r>
        <w:fldChar w:fldCharType="separate"/>
      </w:r>
      <w:r>
        <w:t>52</w:t>
      </w:r>
      <w:r>
        <w:fldChar w:fldCharType="end"/>
      </w:r>
      <w:r>
        <w:rPr>
          <w:rFonts w:hint="default" w:ascii="Times New Roman" w:hAnsi="Times New Roman" w:cs="Times New Roman"/>
          <w:color w:val="auto"/>
          <w:szCs w:val="24"/>
          <w:u w:val="none" w:color="auto"/>
        </w:rPr>
        <w:fldChar w:fldCharType="end"/>
      </w:r>
    </w:p>
    <w:p w14:paraId="61F8812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_Toc5881 </w:instrText>
      </w:r>
      <w:r>
        <w:rPr>
          <w:rFonts w:hint="default" w:ascii="Times New Roman" w:hAnsi="Times New Roman" w:cs="Times New Roman"/>
          <w:szCs w:val="24"/>
        </w:rPr>
        <w:fldChar w:fldCharType="separate"/>
      </w:r>
      <w:r>
        <w:rPr>
          <w:rFonts w:hint="eastAsia"/>
          <w:lang w:val="en-US" w:eastAsia="zh-CN"/>
        </w:rPr>
        <w:t>3.4环保投诉及处罚情况</w:t>
      </w:r>
      <w:r>
        <w:tab/>
      </w:r>
      <w:r>
        <w:fldChar w:fldCharType="begin"/>
      </w:r>
      <w:r>
        <w:instrText xml:space="preserve"> PAGEREF _Toc5881 \h </w:instrText>
      </w:r>
      <w:r>
        <w:fldChar w:fldCharType="separate"/>
      </w:r>
      <w:r>
        <w:t>53</w:t>
      </w:r>
      <w:r>
        <w:fldChar w:fldCharType="end"/>
      </w:r>
      <w:r>
        <w:rPr>
          <w:rFonts w:hint="default" w:ascii="Times New Roman" w:hAnsi="Times New Roman" w:cs="Times New Roman"/>
          <w:color w:val="auto"/>
          <w:szCs w:val="24"/>
          <w:u w:val="none" w:color="auto"/>
        </w:rPr>
        <w:fldChar w:fldCharType="end"/>
      </w:r>
    </w:p>
    <w:p w14:paraId="1049397A">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_Toc25490 </w:instrText>
      </w:r>
      <w:r>
        <w:rPr>
          <w:rFonts w:hint="default" w:ascii="Times New Roman" w:hAnsi="Times New Roman" w:cs="Times New Roman"/>
          <w:szCs w:val="24"/>
        </w:rPr>
        <w:fldChar w:fldCharType="separate"/>
      </w:r>
      <w:r>
        <w:rPr>
          <w:rFonts w:hint="eastAsia"/>
          <w:lang w:val="en-US" w:eastAsia="zh-CN"/>
        </w:rPr>
        <w:t>3.5搬迁过程中的污染防治控制要求</w:t>
      </w:r>
      <w:r>
        <w:tab/>
      </w:r>
      <w:r>
        <w:fldChar w:fldCharType="begin"/>
      </w:r>
      <w:r>
        <w:instrText xml:space="preserve"> PAGEREF _Toc25490 \h </w:instrText>
      </w:r>
      <w:r>
        <w:fldChar w:fldCharType="separate"/>
      </w:r>
      <w:r>
        <w:t>53</w:t>
      </w:r>
      <w:r>
        <w:fldChar w:fldCharType="end"/>
      </w:r>
      <w:r>
        <w:rPr>
          <w:rFonts w:hint="default" w:ascii="Times New Roman" w:hAnsi="Times New Roman" w:cs="Times New Roman"/>
          <w:color w:val="auto"/>
          <w:szCs w:val="24"/>
          <w:u w:val="none" w:color="auto"/>
        </w:rPr>
        <w:fldChar w:fldCharType="end"/>
      </w:r>
    </w:p>
    <w:p w14:paraId="39FCF082">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_Toc20586 </w:instrText>
      </w:r>
      <w:r>
        <w:rPr>
          <w:rFonts w:hint="default" w:ascii="Times New Roman" w:hAnsi="Times New Roman" w:cs="Times New Roman"/>
          <w:szCs w:val="24"/>
        </w:rPr>
        <w:fldChar w:fldCharType="separate"/>
      </w:r>
      <w:r>
        <w:rPr>
          <w:rFonts w:hint="eastAsia"/>
          <w:lang w:val="en-US" w:eastAsia="zh-CN"/>
        </w:rPr>
        <w:t>3.6搬迁后遗留的环境问题</w:t>
      </w:r>
      <w:r>
        <w:tab/>
      </w:r>
      <w:r>
        <w:fldChar w:fldCharType="begin"/>
      </w:r>
      <w:r>
        <w:instrText xml:space="preserve"> PAGEREF _Toc20586 \h </w:instrText>
      </w:r>
      <w:r>
        <w:fldChar w:fldCharType="separate"/>
      </w:r>
      <w:r>
        <w:t>54</w:t>
      </w:r>
      <w:r>
        <w:fldChar w:fldCharType="end"/>
      </w:r>
      <w:r>
        <w:rPr>
          <w:rFonts w:hint="default" w:ascii="Times New Roman" w:hAnsi="Times New Roman" w:cs="Times New Roman"/>
          <w:color w:val="auto"/>
          <w:szCs w:val="24"/>
          <w:u w:val="none" w:color="auto"/>
        </w:rPr>
        <w:fldChar w:fldCharType="end"/>
      </w:r>
    </w:p>
    <w:p w14:paraId="408E7BD6">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_Toc26086 </w:instrText>
      </w:r>
      <w:r>
        <w:rPr>
          <w:rFonts w:hint="default" w:ascii="Times New Roman" w:hAnsi="Times New Roman" w:cs="Times New Roman"/>
          <w:szCs w:val="24"/>
        </w:rPr>
        <w:fldChar w:fldCharType="separate"/>
      </w:r>
      <w:r>
        <w:rPr>
          <w:rFonts w:hint="eastAsia"/>
          <w:lang w:val="en-US" w:eastAsia="zh-CN"/>
        </w:rPr>
        <w:t>3.7迁建前项目存在的主要环境问题及“以新带老”措施</w:t>
      </w:r>
      <w:r>
        <w:tab/>
      </w:r>
      <w:r>
        <w:fldChar w:fldCharType="begin"/>
      </w:r>
      <w:r>
        <w:instrText xml:space="preserve"> PAGEREF _Toc26086 \h </w:instrText>
      </w:r>
      <w:r>
        <w:fldChar w:fldCharType="separate"/>
      </w:r>
      <w:r>
        <w:t>54</w:t>
      </w:r>
      <w:r>
        <w:fldChar w:fldCharType="end"/>
      </w:r>
      <w:r>
        <w:rPr>
          <w:rFonts w:hint="default" w:ascii="Times New Roman" w:hAnsi="Times New Roman" w:cs="Times New Roman"/>
          <w:color w:val="auto"/>
          <w:szCs w:val="24"/>
          <w:u w:val="none" w:color="auto"/>
        </w:rPr>
        <w:fldChar w:fldCharType="end"/>
      </w:r>
    </w:p>
    <w:p w14:paraId="6B2BD683">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_Toc21912 </w:instrText>
      </w:r>
      <w:r>
        <w:rPr>
          <w:rFonts w:hint="default" w:ascii="Times New Roman" w:hAnsi="Times New Roman" w:cs="Times New Roman"/>
          <w:szCs w:val="24"/>
        </w:rPr>
        <w:fldChar w:fldCharType="separate"/>
      </w:r>
      <w:r>
        <w:rPr>
          <w:rFonts w:hint="eastAsia"/>
          <w:lang w:val="en-US" w:eastAsia="zh-CN"/>
        </w:rPr>
        <w:t>4、迁建工程</w:t>
      </w:r>
      <w:r>
        <w:tab/>
      </w:r>
      <w:r>
        <w:fldChar w:fldCharType="begin"/>
      </w:r>
      <w:r>
        <w:instrText xml:space="preserve"> PAGEREF _Toc21912 \h </w:instrText>
      </w:r>
      <w:r>
        <w:fldChar w:fldCharType="separate"/>
      </w:r>
      <w:r>
        <w:t>55</w:t>
      </w:r>
      <w:r>
        <w:fldChar w:fldCharType="end"/>
      </w:r>
      <w:r>
        <w:rPr>
          <w:rFonts w:hint="default" w:ascii="Times New Roman" w:hAnsi="Times New Roman" w:cs="Times New Roman"/>
          <w:color w:val="auto"/>
          <w:szCs w:val="24"/>
          <w:u w:val="none" w:color="auto"/>
        </w:rPr>
        <w:fldChar w:fldCharType="end"/>
      </w:r>
    </w:p>
    <w:p w14:paraId="00E82C98">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_Toc27009 </w:instrText>
      </w:r>
      <w:r>
        <w:rPr>
          <w:rFonts w:hint="default" w:ascii="Times New Roman" w:hAnsi="Times New Roman" w:cs="Times New Roman"/>
          <w:szCs w:val="24"/>
        </w:rPr>
        <w:fldChar w:fldCharType="separate"/>
      </w:r>
      <w:r>
        <w:rPr>
          <w:rFonts w:hint="eastAsia"/>
          <w:lang w:val="en-US" w:eastAsia="zh-CN"/>
        </w:rPr>
        <w:t>4.1迁建项目概况</w:t>
      </w:r>
      <w:r>
        <w:tab/>
      </w:r>
      <w:r>
        <w:fldChar w:fldCharType="begin"/>
      </w:r>
      <w:r>
        <w:instrText xml:space="preserve"> PAGEREF _Toc27009 \h </w:instrText>
      </w:r>
      <w:r>
        <w:fldChar w:fldCharType="separate"/>
      </w:r>
      <w:r>
        <w:t>55</w:t>
      </w:r>
      <w:r>
        <w:fldChar w:fldCharType="end"/>
      </w:r>
      <w:r>
        <w:rPr>
          <w:rFonts w:hint="default" w:ascii="Times New Roman" w:hAnsi="Times New Roman" w:cs="Times New Roman"/>
          <w:color w:val="auto"/>
          <w:szCs w:val="24"/>
          <w:u w:val="none" w:color="auto"/>
        </w:rPr>
        <w:fldChar w:fldCharType="end"/>
      </w:r>
    </w:p>
    <w:p w14:paraId="76B7FE2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_Toc27260 </w:instrText>
      </w:r>
      <w:r>
        <w:rPr>
          <w:rFonts w:hint="default" w:ascii="Times New Roman" w:hAnsi="Times New Roman" w:cs="Times New Roman"/>
          <w:szCs w:val="24"/>
        </w:rPr>
        <w:fldChar w:fldCharType="separate"/>
      </w:r>
      <w:r>
        <w:rPr>
          <w:rFonts w:hint="eastAsia"/>
          <w:lang w:val="en-US" w:eastAsia="zh-CN"/>
        </w:rPr>
        <w:t>4.1.1项目基本情况</w:t>
      </w:r>
      <w:r>
        <w:tab/>
      </w:r>
      <w:r>
        <w:fldChar w:fldCharType="begin"/>
      </w:r>
      <w:r>
        <w:instrText xml:space="preserve"> PAGEREF _Toc27260 \h </w:instrText>
      </w:r>
      <w:r>
        <w:fldChar w:fldCharType="separate"/>
      </w:r>
      <w:r>
        <w:t>55</w:t>
      </w:r>
      <w:r>
        <w:fldChar w:fldCharType="end"/>
      </w:r>
      <w:r>
        <w:rPr>
          <w:rFonts w:hint="default" w:ascii="Times New Roman" w:hAnsi="Times New Roman" w:cs="Times New Roman"/>
          <w:color w:val="auto"/>
          <w:szCs w:val="24"/>
          <w:u w:val="none" w:color="auto"/>
        </w:rPr>
        <w:fldChar w:fldCharType="end"/>
      </w:r>
    </w:p>
    <w:p w14:paraId="2EF2769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_Toc16471 </w:instrText>
      </w:r>
      <w:r>
        <w:rPr>
          <w:rFonts w:hint="default" w:ascii="Times New Roman" w:hAnsi="Times New Roman" w:cs="Times New Roman"/>
          <w:szCs w:val="24"/>
        </w:rPr>
        <w:fldChar w:fldCharType="separate"/>
      </w:r>
      <w:r>
        <w:rPr>
          <w:rFonts w:hint="eastAsia"/>
          <w:lang w:val="en-US" w:eastAsia="zh-CN"/>
        </w:rPr>
        <w:t>4.1.2项目组成</w:t>
      </w:r>
      <w:r>
        <w:tab/>
      </w:r>
      <w:r>
        <w:fldChar w:fldCharType="begin"/>
      </w:r>
      <w:r>
        <w:instrText xml:space="preserve"> PAGEREF _Toc16471 \h </w:instrText>
      </w:r>
      <w:r>
        <w:fldChar w:fldCharType="separate"/>
      </w:r>
      <w:r>
        <w:t>55</w:t>
      </w:r>
      <w:r>
        <w:fldChar w:fldCharType="end"/>
      </w:r>
      <w:r>
        <w:rPr>
          <w:rFonts w:hint="default" w:ascii="Times New Roman" w:hAnsi="Times New Roman" w:cs="Times New Roman"/>
          <w:color w:val="auto"/>
          <w:szCs w:val="24"/>
          <w:u w:val="none" w:color="auto"/>
        </w:rPr>
        <w:fldChar w:fldCharType="end"/>
      </w:r>
    </w:p>
    <w:p w14:paraId="4FAD733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_Toc18325 </w:instrText>
      </w:r>
      <w:r>
        <w:rPr>
          <w:rFonts w:hint="default" w:ascii="Times New Roman" w:hAnsi="Times New Roman" w:cs="Times New Roman"/>
          <w:szCs w:val="24"/>
        </w:rPr>
        <w:fldChar w:fldCharType="separate"/>
      </w:r>
      <w:r>
        <w:rPr>
          <w:rFonts w:hint="eastAsia"/>
          <w:lang w:val="en-US" w:eastAsia="zh-CN"/>
        </w:rPr>
        <w:t>4.1.3项目产品方案</w:t>
      </w:r>
      <w:r>
        <w:tab/>
      </w:r>
      <w:r>
        <w:fldChar w:fldCharType="begin"/>
      </w:r>
      <w:r>
        <w:instrText xml:space="preserve"> PAGEREF _Toc18325 \h </w:instrText>
      </w:r>
      <w:r>
        <w:fldChar w:fldCharType="separate"/>
      </w:r>
      <w:r>
        <w:t>57</w:t>
      </w:r>
      <w:r>
        <w:fldChar w:fldCharType="end"/>
      </w:r>
      <w:r>
        <w:rPr>
          <w:rFonts w:hint="default" w:ascii="Times New Roman" w:hAnsi="Times New Roman" w:cs="Times New Roman"/>
          <w:color w:val="auto"/>
          <w:szCs w:val="24"/>
          <w:u w:val="none" w:color="auto"/>
        </w:rPr>
        <w:fldChar w:fldCharType="end"/>
      </w:r>
    </w:p>
    <w:p w14:paraId="3038E1D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_Toc7645 </w:instrText>
      </w:r>
      <w:r>
        <w:rPr>
          <w:rFonts w:hint="default" w:ascii="Times New Roman" w:hAnsi="Times New Roman" w:cs="Times New Roman"/>
          <w:szCs w:val="24"/>
        </w:rPr>
        <w:fldChar w:fldCharType="separate"/>
      </w:r>
      <w:r>
        <w:rPr>
          <w:rFonts w:hint="eastAsia"/>
          <w:lang w:val="en-US" w:eastAsia="zh-CN"/>
        </w:rPr>
        <w:t>4.1.4项目主要原辅材料及能源消耗</w:t>
      </w:r>
      <w:r>
        <w:tab/>
      </w:r>
      <w:r>
        <w:fldChar w:fldCharType="begin"/>
      </w:r>
      <w:r>
        <w:instrText xml:space="preserve"> PAGEREF _Toc7645 \h </w:instrText>
      </w:r>
      <w:r>
        <w:fldChar w:fldCharType="separate"/>
      </w:r>
      <w:r>
        <w:t>57</w:t>
      </w:r>
      <w:r>
        <w:fldChar w:fldCharType="end"/>
      </w:r>
      <w:r>
        <w:rPr>
          <w:rFonts w:hint="default" w:ascii="Times New Roman" w:hAnsi="Times New Roman" w:cs="Times New Roman"/>
          <w:color w:val="auto"/>
          <w:szCs w:val="24"/>
          <w:u w:val="none" w:color="auto"/>
        </w:rPr>
        <w:fldChar w:fldCharType="end"/>
      </w:r>
    </w:p>
    <w:p w14:paraId="456F370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_Toc939 </w:instrText>
      </w:r>
      <w:r>
        <w:rPr>
          <w:rFonts w:hint="default" w:ascii="Times New Roman" w:hAnsi="Times New Roman" w:cs="Times New Roman"/>
          <w:szCs w:val="24"/>
        </w:rPr>
        <w:fldChar w:fldCharType="separate"/>
      </w:r>
      <w:r>
        <w:rPr>
          <w:rFonts w:hint="eastAsia"/>
          <w:lang w:val="en-US" w:eastAsia="zh-CN"/>
        </w:rPr>
        <w:t>4.1.5项目主要生产设备</w:t>
      </w:r>
      <w:r>
        <w:tab/>
      </w:r>
      <w:r>
        <w:fldChar w:fldCharType="begin"/>
      </w:r>
      <w:r>
        <w:instrText xml:space="preserve"> PAGEREF _Toc939 \h </w:instrText>
      </w:r>
      <w:r>
        <w:fldChar w:fldCharType="separate"/>
      </w:r>
      <w:r>
        <w:t>60</w:t>
      </w:r>
      <w:r>
        <w:fldChar w:fldCharType="end"/>
      </w:r>
      <w:r>
        <w:rPr>
          <w:rFonts w:hint="default" w:ascii="Times New Roman" w:hAnsi="Times New Roman" w:cs="Times New Roman"/>
          <w:color w:val="auto"/>
          <w:szCs w:val="24"/>
          <w:u w:val="none" w:color="auto"/>
        </w:rPr>
        <w:fldChar w:fldCharType="end"/>
      </w:r>
    </w:p>
    <w:p w14:paraId="5C5DF06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_Toc21057 </w:instrText>
      </w:r>
      <w:r>
        <w:rPr>
          <w:rFonts w:hint="default" w:ascii="Times New Roman" w:hAnsi="Times New Roman" w:cs="Times New Roman"/>
          <w:szCs w:val="24"/>
        </w:rPr>
        <w:fldChar w:fldCharType="separate"/>
      </w:r>
      <w:r>
        <w:rPr>
          <w:rFonts w:hint="eastAsia"/>
          <w:lang w:val="en-US" w:eastAsia="zh-CN"/>
        </w:rPr>
        <w:t>4.1.6公用工程</w:t>
      </w:r>
      <w:r>
        <w:tab/>
      </w:r>
      <w:r>
        <w:fldChar w:fldCharType="begin"/>
      </w:r>
      <w:r>
        <w:instrText xml:space="preserve"> PAGEREF _Toc21057 \h </w:instrText>
      </w:r>
      <w:r>
        <w:fldChar w:fldCharType="separate"/>
      </w:r>
      <w:r>
        <w:t>61</w:t>
      </w:r>
      <w:r>
        <w:fldChar w:fldCharType="end"/>
      </w:r>
      <w:r>
        <w:rPr>
          <w:rFonts w:hint="default" w:ascii="Times New Roman" w:hAnsi="Times New Roman" w:cs="Times New Roman"/>
          <w:color w:val="auto"/>
          <w:szCs w:val="24"/>
          <w:u w:val="none" w:color="auto"/>
        </w:rPr>
        <w:fldChar w:fldCharType="end"/>
      </w:r>
    </w:p>
    <w:p w14:paraId="27DBA1C0">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_Toc30897 </w:instrText>
      </w:r>
      <w:r>
        <w:rPr>
          <w:rFonts w:hint="default" w:ascii="Times New Roman" w:hAnsi="Times New Roman" w:cs="Times New Roman"/>
          <w:szCs w:val="24"/>
        </w:rPr>
        <w:fldChar w:fldCharType="separate"/>
      </w:r>
      <w:r>
        <w:rPr>
          <w:rFonts w:hint="eastAsia"/>
          <w:lang w:val="en-US" w:eastAsia="zh-CN"/>
        </w:rPr>
        <w:t>4.2工艺流程</w:t>
      </w:r>
      <w:r>
        <w:tab/>
      </w:r>
      <w:r>
        <w:fldChar w:fldCharType="begin"/>
      </w:r>
      <w:r>
        <w:instrText xml:space="preserve"> PAGEREF _Toc30897 \h </w:instrText>
      </w:r>
      <w:r>
        <w:fldChar w:fldCharType="separate"/>
      </w:r>
      <w:r>
        <w:t>62</w:t>
      </w:r>
      <w:r>
        <w:fldChar w:fldCharType="end"/>
      </w:r>
      <w:r>
        <w:rPr>
          <w:rFonts w:hint="default" w:ascii="Times New Roman" w:hAnsi="Times New Roman" w:cs="Times New Roman"/>
          <w:color w:val="auto"/>
          <w:szCs w:val="24"/>
          <w:u w:val="none" w:color="auto"/>
        </w:rPr>
        <w:fldChar w:fldCharType="end"/>
      </w:r>
    </w:p>
    <w:p w14:paraId="13DCCE4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_Toc22581 </w:instrText>
      </w:r>
      <w:r>
        <w:rPr>
          <w:rFonts w:hint="default" w:ascii="Times New Roman" w:hAnsi="Times New Roman" w:cs="Times New Roman"/>
          <w:szCs w:val="24"/>
        </w:rPr>
        <w:fldChar w:fldCharType="separate"/>
      </w:r>
      <w:r>
        <w:rPr>
          <w:rFonts w:hint="eastAsia"/>
          <w:lang w:val="en-US" w:eastAsia="zh-CN"/>
        </w:rPr>
        <w:t>4.3相关工程平衡</w:t>
      </w:r>
      <w:r>
        <w:tab/>
      </w:r>
      <w:r>
        <w:fldChar w:fldCharType="begin"/>
      </w:r>
      <w:r>
        <w:instrText xml:space="preserve"> PAGEREF _Toc22581 \h </w:instrText>
      </w:r>
      <w:r>
        <w:fldChar w:fldCharType="separate"/>
      </w:r>
      <w:r>
        <w:t>67</w:t>
      </w:r>
      <w:r>
        <w:fldChar w:fldCharType="end"/>
      </w:r>
      <w:r>
        <w:rPr>
          <w:rFonts w:hint="default" w:ascii="Times New Roman" w:hAnsi="Times New Roman" w:cs="Times New Roman"/>
          <w:color w:val="auto"/>
          <w:szCs w:val="24"/>
          <w:u w:val="none" w:color="auto"/>
        </w:rPr>
        <w:fldChar w:fldCharType="end"/>
      </w:r>
    </w:p>
    <w:p w14:paraId="0F1D38D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_Toc25819 </w:instrText>
      </w:r>
      <w:r>
        <w:rPr>
          <w:rFonts w:hint="default" w:ascii="Times New Roman" w:hAnsi="Times New Roman" w:cs="Times New Roman"/>
          <w:szCs w:val="24"/>
        </w:rPr>
        <w:fldChar w:fldCharType="separate"/>
      </w:r>
      <w:r>
        <w:rPr>
          <w:rFonts w:hint="eastAsia"/>
          <w:lang w:val="en-US" w:eastAsia="zh-CN"/>
        </w:rPr>
        <w:t>4.3.1水平衡</w:t>
      </w:r>
      <w:r>
        <w:tab/>
      </w:r>
      <w:r>
        <w:fldChar w:fldCharType="begin"/>
      </w:r>
      <w:r>
        <w:instrText xml:space="preserve"> PAGEREF _Toc25819 \h </w:instrText>
      </w:r>
      <w:r>
        <w:fldChar w:fldCharType="separate"/>
      </w:r>
      <w:r>
        <w:t>67</w:t>
      </w:r>
      <w:r>
        <w:fldChar w:fldCharType="end"/>
      </w:r>
      <w:r>
        <w:rPr>
          <w:rFonts w:hint="default" w:ascii="Times New Roman" w:hAnsi="Times New Roman" w:cs="Times New Roman"/>
          <w:color w:val="auto"/>
          <w:szCs w:val="24"/>
          <w:u w:val="none" w:color="auto"/>
        </w:rPr>
        <w:fldChar w:fldCharType="end"/>
      </w:r>
    </w:p>
    <w:p w14:paraId="3B0B343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_Toc4681 </w:instrText>
      </w:r>
      <w:r>
        <w:rPr>
          <w:rFonts w:hint="default" w:ascii="Times New Roman" w:hAnsi="Times New Roman" w:cs="Times New Roman"/>
          <w:szCs w:val="24"/>
        </w:rPr>
        <w:fldChar w:fldCharType="separate"/>
      </w:r>
      <w:r>
        <w:rPr>
          <w:rFonts w:hint="eastAsia"/>
          <w:lang w:val="en-US" w:eastAsia="zh-CN"/>
        </w:rPr>
        <w:t>4.3.2物料平衡</w:t>
      </w:r>
      <w:r>
        <w:tab/>
      </w:r>
      <w:r>
        <w:fldChar w:fldCharType="begin"/>
      </w:r>
      <w:r>
        <w:instrText xml:space="preserve"> PAGEREF _Toc4681 \h </w:instrText>
      </w:r>
      <w:r>
        <w:fldChar w:fldCharType="separate"/>
      </w:r>
      <w:r>
        <w:t>68</w:t>
      </w:r>
      <w:r>
        <w:fldChar w:fldCharType="end"/>
      </w:r>
      <w:r>
        <w:rPr>
          <w:rFonts w:hint="default" w:ascii="Times New Roman" w:hAnsi="Times New Roman" w:cs="Times New Roman"/>
          <w:color w:val="auto"/>
          <w:szCs w:val="24"/>
          <w:u w:val="none" w:color="auto"/>
        </w:rPr>
        <w:fldChar w:fldCharType="end"/>
      </w:r>
    </w:p>
    <w:p w14:paraId="6DA9D042">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_Toc20754 </w:instrText>
      </w:r>
      <w:r>
        <w:rPr>
          <w:rFonts w:hint="default" w:ascii="Times New Roman" w:hAnsi="Times New Roman" w:cs="Times New Roman"/>
          <w:szCs w:val="24"/>
        </w:rPr>
        <w:fldChar w:fldCharType="separate"/>
      </w:r>
      <w:r>
        <w:rPr>
          <w:rFonts w:hint="eastAsia"/>
          <w:lang w:val="en-US" w:eastAsia="zh-CN"/>
        </w:rPr>
        <w:t>4.4工程污染源分析</w:t>
      </w:r>
      <w:r>
        <w:tab/>
      </w:r>
      <w:r>
        <w:fldChar w:fldCharType="begin"/>
      </w:r>
      <w:r>
        <w:instrText xml:space="preserve"> PAGEREF _Toc20754 \h </w:instrText>
      </w:r>
      <w:r>
        <w:fldChar w:fldCharType="separate"/>
      </w:r>
      <w:r>
        <w:t>70</w:t>
      </w:r>
      <w:r>
        <w:fldChar w:fldCharType="end"/>
      </w:r>
      <w:r>
        <w:rPr>
          <w:rFonts w:hint="default" w:ascii="Times New Roman" w:hAnsi="Times New Roman" w:cs="Times New Roman"/>
          <w:color w:val="auto"/>
          <w:szCs w:val="24"/>
          <w:u w:val="none" w:color="auto"/>
        </w:rPr>
        <w:fldChar w:fldCharType="end"/>
      </w:r>
    </w:p>
    <w:p w14:paraId="2FF43DE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_Toc15339 </w:instrText>
      </w:r>
      <w:r>
        <w:rPr>
          <w:rFonts w:hint="default" w:ascii="Times New Roman" w:hAnsi="Times New Roman" w:cs="Times New Roman"/>
          <w:szCs w:val="24"/>
        </w:rPr>
        <w:fldChar w:fldCharType="separate"/>
      </w:r>
      <w:r>
        <w:rPr>
          <w:rFonts w:hint="eastAsia"/>
          <w:lang w:val="en-US" w:eastAsia="zh-CN"/>
        </w:rPr>
        <w:t>4.4.1施工期污染源分析</w:t>
      </w:r>
      <w:r>
        <w:tab/>
      </w:r>
      <w:r>
        <w:fldChar w:fldCharType="begin"/>
      </w:r>
      <w:r>
        <w:instrText xml:space="preserve"> PAGEREF _Toc15339 \h </w:instrText>
      </w:r>
      <w:r>
        <w:fldChar w:fldCharType="separate"/>
      </w:r>
      <w:r>
        <w:t>70</w:t>
      </w:r>
      <w:r>
        <w:fldChar w:fldCharType="end"/>
      </w:r>
      <w:r>
        <w:rPr>
          <w:rFonts w:hint="default" w:ascii="Times New Roman" w:hAnsi="Times New Roman" w:cs="Times New Roman"/>
          <w:color w:val="auto"/>
          <w:szCs w:val="24"/>
          <w:u w:val="none" w:color="auto"/>
        </w:rPr>
        <w:fldChar w:fldCharType="end"/>
      </w:r>
    </w:p>
    <w:p w14:paraId="1EE7D1D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_Toc20598 </w:instrText>
      </w:r>
      <w:r>
        <w:rPr>
          <w:rFonts w:hint="default" w:ascii="Times New Roman" w:hAnsi="Times New Roman" w:cs="Times New Roman"/>
          <w:szCs w:val="24"/>
        </w:rPr>
        <w:fldChar w:fldCharType="separate"/>
      </w:r>
      <w:r>
        <w:rPr>
          <w:rFonts w:hint="eastAsia"/>
          <w:lang w:val="en-US" w:eastAsia="zh-CN"/>
        </w:rPr>
        <w:t>4.4.2营运期污染源分析</w:t>
      </w:r>
      <w:r>
        <w:tab/>
      </w:r>
      <w:r>
        <w:fldChar w:fldCharType="begin"/>
      </w:r>
      <w:r>
        <w:instrText xml:space="preserve"> PAGEREF _Toc20598 \h </w:instrText>
      </w:r>
      <w:r>
        <w:fldChar w:fldCharType="separate"/>
      </w:r>
      <w:r>
        <w:t>73</w:t>
      </w:r>
      <w:r>
        <w:fldChar w:fldCharType="end"/>
      </w:r>
      <w:r>
        <w:rPr>
          <w:rFonts w:hint="default" w:ascii="Times New Roman" w:hAnsi="Times New Roman" w:cs="Times New Roman"/>
          <w:color w:val="auto"/>
          <w:szCs w:val="24"/>
          <w:u w:val="none" w:color="auto"/>
        </w:rPr>
        <w:fldChar w:fldCharType="end"/>
      </w:r>
    </w:p>
    <w:p w14:paraId="6F157502">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_Toc29568 </w:instrText>
      </w:r>
      <w:r>
        <w:rPr>
          <w:rFonts w:hint="default" w:ascii="Times New Roman" w:hAnsi="Times New Roman" w:cs="Times New Roman"/>
          <w:szCs w:val="24"/>
        </w:rPr>
        <w:fldChar w:fldCharType="separate"/>
      </w:r>
      <w:r>
        <w:rPr>
          <w:rFonts w:hint="eastAsia"/>
          <w:lang w:val="en-US" w:eastAsia="zh-CN"/>
        </w:rPr>
        <w:t>4.5</w:t>
      </w:r>
      <w:r>
        <w:rPr>
          <w:rFonts w:hint="default"/>
        </w:rPr>
        <w:t>污染物排放量汇总</w:t>
      </w:r>
      <w:r>
        <w:tab/>
      </w:r>
      <w:r>
        <w:fldChar w:fldCharType="begin"/>
      </w:r>
      <w:r>
        <w:instrText xml:space="preserve"> PAGEREF _Toc29568 \h </w:instrText>
      </w:r>
      <w:r>
        <w:fldChar w:fldCharType="separate"/>
      </w:r>
      <w:r>
        <w:t>83</w:t>
      </w:r>
      <w:r>
        <w:fldChar w:fldCharType="end"/>
      </w:r>
      <w:r>
        <w:rPr>
          <w:rFonts w:hint="default" w:ascii="Times New Roman" w:hAnsi="Times New Roman" w:cs="Times New Roman"/>
          <w:color w:val="auto"/>
          <w:szCs w:val="24"/>
          <w:u w:val="none" w:color="auto"/>
        </w:rPr>
        <w:fldChar w:fldCharType="end"/>
      </w:r>
    </w:p>
    <w:p w14:paraId="039A7209">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_Toc2194 </w:instrText>
      </w:r>
      <w:r>
        <w:rPr>
          <w:rFonts w:hint="default" w:ascii="Times New Roman" w:hAnsi="Times New Roman" w:cs="Times New Roman"/>
          <w:szCs w:val="24"/>
        </w:rPr>
        <w:fldChar w:fldCharType="separate"/>
      </w:r>
      <w:r>
        <w:rPr>
          <w:rFonts w:hint="eastAsia"/>
          <w:lang w:val="en-US" w:eastAsia="zh-CN"/>
        </w:rPr>
        <w:t>5</w:t>
      </w:r>
      <w:r>
        <w:rPr>
          <w:rFonts w:hint="default"/>
        </w:rPr>
        <w:t>、建设项目区域环境概况</w:t>
      </w:r>
      <w:r>
        <w:tab/>
      </w:r>
      <w:r>
        <w:fldChar w:fldCharType="begin"/>
      </w:r>
      <w:r>
        <w:instrText xml:space="preserve"> PAGEREF _Toc2194 \h </w:instrText>
      </w:r>
      <w:r>
        <w:fldChar w:fldCharType="separate"/>
      </w:r>
      <w:r>
        <w:t>86</w:t>
      </w:r>
      <w:r>
        <w:fldChar w:fldCharType="end"/>
      </w:r>
      <w:r>
        <w:rPr>
          <w:rFonts w:hint="default" w:ascii="Times New Roman" w:hAnsi="Times New Roman" w:cs="Times New Roman"/>
          <w:color w:val="auto"/>
          <w:szCs w:val="24"/>
          <w:u w:val="none" w:color="auto"/>
        </w:rPr>
        <w:fldChar w:fldCharType="end"/>
      </w:r>
    </w:p>
    <w:p w14:paraId="0B1412C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_Toc11832 </w:instrText>
      </w:r>
      <w:r>
        <w:rPr>
          <w:rFonts w:hint="default" w:ascii="Times New Roman" w:hAnsi="Times New Roman" w:cs="Times New Roman"/>
          <w:szCs w:val="24"/>
        </w:rPr>
        <w:fldChar w:fldCharType="separate"/>
      </w:r>
      <w:r>
        <w:rPr>
          <w:rFonts w:hint="eastAsia"/>
          <w:lang w:val="en-US" w:eastAsia="zh-CN"/>
        </w:rPr>
        <w:t>5</w:t>
      </w:r>
      <w:r>
        <w:rPr>
          <w:rFonts w:hint="default"/>
          <w:lang w:val="en-US" w:eastAsia="zh-CN"/>
        </w:rPr>
        <w:t>.1</w:t>
      </w:r>
      <w:r>
        <w:rPr>
          <w:rFonts w:hint="default"/>
        </w:rPr>
        <w:t>自然环境概况</w:t>
      </w:r>
      <w:r>
        <w:tab/>
      </w:r>
      <w:r>
        <w:fldChar w:fldCharType="begin"/>
      </w:r>
      <w:r>
        <w:instrText xml:space="preserve"> PAGEREF _Toc11832 \h </w:instrText>
      </w:r>
      <w:r>
        <w:fldChar w:fldCharType="separate"/>
      </w:r>
      <w:r>
        <w:t>86</w:t>
      </w:r>
      <w:r>
        <w:fldChar w:fldCharType="end"/>
      </w:r>
      <w:r>
        <w:rPr>
          <w:rFonts w:hint="default" w:ascii="Times New Roman" w:hAnsi="Times New Roman" w:cs="Times New Roman"/>
          <w:color w:val="auto"/>
          <w:szCs w:val="24"/>
          <w:u w:val="none" w:color="auto"/>
        </w:rPr>
        <w:fldChar w:fldCharType="end"/>
      </w:r>
    </w:p>
    <w:p w14:paraId="76A4421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_Toc12385 </w:instrText>
      </w:r>
      <w:r>
        <w:rPr>
          <w:rFonts w:hint="default" w:ascii="Times New Roman" w:hAnsi="Times New Roman" w:cs="Times New Roman"/>
          <w:szCs w:val="24"/>
        </w:rPr>
        <w:fldChar w:fldCharType="separate"/>
      </w:r>
      <w:r>
        <w:rPr>
          <w:rFonts w:hint="eastAsia"/>
          <w:lang w:val="en-US" w:eastAsia="zh-CN"/>
        </w:rPr>
        <w:t>5</w:t>
      </w:r>
      <w:r>
        <w:rPr>
          <w:rFonts w:hint="default"/>
          <w:lang w:val="en-US" w:eastAsia="zh-CN"/>
        </w:rPr>
        <w:t>.1</w:t>
      </w:r>
      <w:r>
        <w:rPr>
          <w:rFonts w:hint="default"/>
        </w:rPr>
        <w:t>.1地理位置</w:t>
      </w:r>
      <w:r>
        <w:tab/>
      </w:r>
      <w:r>
        <w:fldChar w:fldCharType="begin"/>
      </w:r>
      <w:r>
        <w:instrText xml:space="preserve"> PAGEREF _Toc12385 \h </w:instrText>
      </w:r>
      <w:r>
        <w:fldChar w:fldCharType="separate"/>
      </w:r>
      <w:r>
        <w:t>86</w:t>
      </w:r>
      <w:r>
        <w:fldChar w:fldCharType="end"/>
      </w:r>
      <w:r>
        <w:rPr>
          <w:rFonts w:hint="default" w:ascii="Times New Roman" w:hAnsi="Times New Roman" w:cs="Times New Roman"/>
          <w:color w:val="auto"/>
          <w:szCs w:val="24"/>
          <w:u w:val="none" w:color="auto"/>
        </w:rPr>
        <w:fldChar w:fldCharType="end"/>
      </w:r>
    </w:p>
    <w:p w14:paraId="6D148E2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_Toc11144 </w:instrText>
      </w:r>
      <w:r>
        <w:rPr>
          <w:rFonts w:hint="default" w:ascii="Times New Roman" w:hAnsi="Times New Roman" w:cs="Times New Roman"/>
          <w:szCs w:val="24"/>
        </w:rPr>
        <w:fldChar w:fldCharType="separate"/>
      </w:r>
      <w:r>
        <w:rPr>
          <w:rFonts w:hint="eastAsia"/>
          <w:lang w:val="en-US" w:eastAsia="zh-CN"/>
        </w:rPr>
        <w:t>5</w:t>
      </w:r>
      <w:r>
        <w:rPr>
          <w:rFonts w:hint="default"/>
          <w:lang w:val="en-US" w:eastAsia="zh-CN"/>
        </w:rPr>
        <w:t>.1</w:t>
      </w:r>
      <w:r>
        <w:rPr>
          <w:rFonts w:hint="default"/>
        </w:rPr>
        <w:t>.2地形、地质地貌</w:t>
      </w:r>
      <w:r>
        <w:tab/>
      </w:r>
      <w:r>
        <w:fldChar w:fldCharType="begin"/>
      </w:r>
      <w:r>
        <w:instrText xml:space="preserve"> PAGEREF _Toc11144 \h </w:instrText>
      </w:r>
      <w:r>
        <w:fldChar w:fldCharType="separate"/>
      </w:r>
      <w:r>
        <w:t>86</w:t>
      </w:r>
      <w:r>
        <w:fldChar w:fldCharType="end"/>
      </w:r>
      <w:r>
        <w:rPr>
          <w:rFonts w:hint="default" w:ascii="Times New Roman" w:hAnsi="Times New Roman" w:cs="Times New Roman"/>
          <w:color w:val="auto"/>
          <w:szCs w:val="24"/>
          <w:u w:val="none" w:color="auto"/>
        </w:rPr>
        <w:fldChar w:fldCharType="end"/>
      </w:r>
    </w:p>
    <w:p w14:paraId="084B8B2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_Toc25693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5</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.3气候、气象</w:t>
      </w:r>
      <w:r>
        <w:tab/>
      </w:r>
      <w:r>
        <w:fldChar w:fldCharType="begin"/>
      </w:r>
      <w:r>
        <w:instrText xml:space="preserve"> PAGEREF _Toc25693 \h </w:instrText>
      </w:r>
      <w:r>
        <w:fldChar w:fldCharType="separate"/>
      </w:r>
      <w:r>
        <w:t>87</w:t>
      </w:r>
      <w:r>
        <w:fldChar w:fldCharType="end"/>
      </w:r>
      <w:r>
        <w:rPr>
          <w:rFonts w:hint="default" w:ascii="Times New Roman" w:hAnsi="Times New Roman" w:cs="Times New Roman"/>
          <w:color w:val="auto"/>
          <w:szCs w:val="24"/>
          <w:u w:val="none" w:color="auto"/>
        </w:rPr>
        <w:fldChar w:fldCharType="end"/>
      </w:r>
    </w:p>
    <w:p w14:paraId="62CA306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_Toc28016 </w:instrText>
      </w:r>
      <w:r>
        <w:rPr>
          <w:rFonts w:hint="default" w:ascii="Times New Roman" w:hAnsi="Times New Roman" w:cs="Times New Roman"/>
          <w:szCs w:val="24"/>
        </w:rPr>
        <w:fldChar w:fldCharType="separate"/>
      </w:r>
      <w:r>
        <w:rPr>
          <w:rFonts w:hint="eastAsia"/>
          <w:lang w:val="en-US" w:eastAsia="zh-CN"/>
        </w:rPr>
        <w:t>5</w:t>
      </w:r>
      <w:r>
        <w:rPr>
          <w:rFonts w:hint="default"/>
          <w:lang w:val="en-US" w:eastAsia="zh-CN"/>
        </w:rPr>
        <w:t>.1</w:t>
      </w:r>
      <w:r>
        <w:rPr>
          <w:rFonts w:hint="default"/>
        </w:rPr>
        <w:t>.4水文条件</w:t>
      </w:r>
      <w:r>
        <w:tab/>
      </w:r>
      <w:r>
        <w:fldChar w:fldCharType="begin"/>
      </w:r>
      <w:r>
        <w:instrText xml:space="preserve"> PAGEREF _Toc28016 \h </w:instrText>
      </w:r>
      <w:r>
        <w:fldChar w:fldCharType="separate"/>
      </w:r>
      <w:r>
        <w:t>87</w:t>
      </w:r>
      <w:r>
        <w:fldChar w:fldCharType="end"/>
      </w:r>
      <w:r>
        <w:rPr>
          <w:rFonts w:hint="default" w:ascii="Times New Roman" w:hAnsi="Times New Roman" w:cs="Times New Roman"/>
          <w:color w:val="auto"/>
          <w:szCs w:val="24"/>
          <w:u w:val="none" w:color="auto"/>
        </w:rPr>
        <w:fldChar w:fldCharType="end"/>
      </w:r>
    </w:p>
    <w:p w14:paraId="12C9873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_Toc24623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5</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.5生物资源</w:t>
      </w:r>
      <w:r>
        <w:tab/>
      </w:r>
      <w:r>
        <w:fldChar w:fldCharType="begin"/>
      </w:r>
      <w:r>
        <w:instrText xml:space="preserve"> PAGEREF _Toc24623 \h </w:instrText>
      </w:r>
      <w:r>
        <w:fldChar w:fldCharType="separate"/>
      </w:r>
      <w:r>
        <w:t>88</w:t>
      </w:r>
      <w:r>
        <w:fldChar w:fldCharType="end"/>
      </w:r>
      <w:r>
        <w:rPr>
          <w:rFonts w:hint="default" w:ascii="Times New Roman" w:hAnsi="Times New Roman" w:cs="Times New Roman"/>
          <w:color w:val="auto"/>
          <w:szCs w:val="24"/>
          <w:u w:val="none" w:color="auto"/>
        </w:rPr>
        <w:fldChar w:fldCharType="end"/>
      </w:r>
    </w:p>
    <w:p w14:paraId="32D4F6F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_Toc9209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5</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.6土地资源</w:t>
      </w:r>
      <w:r>
        <w:tab/>
      </w:r>
      <w:r>
        <w:fldChar w:fldCharType="begin"/>
      </w:r>
      <w:r>
        <w:instrText xml:space="preserve"> PAGEREF _Toc9209 \h </w:instrText>
      </w:r>
      <w:r>
        <w:fldChar w:fldCharType="separate"/>
      </w:r>
      <w:r>
        <w:t>89</w:t>
      </w:r>
      <w:r>
        <w:fldChar w:fldCharType="end"/>
      </w:r>
      <w:r>
        <w:rPr>
          <w:rFonts w:hint="default" w:ascii="Times New Roman" w:hAnsi="Times New Roman" w:cs="Times New Roman"/>
          <w:color w:val="auto"/>
          <w:szCs w:val="24"/>
          <w:u w:val="none" w:color="auto"/>
        </w:rPr>
        <w:fldChar w:fldCharType="end"/>
      </w:r>
    </w:p>
    <w:p w14:paraId="43DCF7F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_Toc29371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5</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.7矿产资源</w:t>
      </w:r>
      <w:r>
        <w:tab/>
      </w:r>
      <w:r>
        <w:fldChar w:fldCharType="begin"/>
      </w:r>
      <w:r>
        <w:instrText xml:space="preserve"> PAGEREF _Toc29371 \h </w:instrText>
      </w:r>
      <w:r>
        <w:fldChar w:fldCharType="separate"/>
      </w:r>
      <w:r>
        <w:t>89</w:t>
      </w:r>
      <w:r>
        <w:fldChar w:fldCharType="end"/>
      </w:r>
      <w:r>
        <w:rPr>
          <w:rFonts w:hint="default" w:ascii="Times New Roman" w:hAnsi="Times New Roman" w:cs="Times New Roman"/>
          <w:color w:val="auto"/>
          <w:szCs w:val="24"/>
          <w:u w:val="none" w:color="auto"/>
        </w:rPr>
        <w:fldChar w:fldCharType="end"/>
      </w:r>
    </w:p>
    <w:p w14:paraId="25D736A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_Toc11656 </w:instrText>
      </w:r>
      <w:r>
        <w:rPr>
          <w:rFonts w:hint="default" w:ascii="Times New Roman" w:hAnsi="Times New Roman" w:cs="Times New Roman"/>
          <w:szCs w:val="24"/>
        </w:rPr>
        <w:fldChar w:fldCharType="separate"/>
      </w:r>
      <w:r>
        <w:rPr>
          <w:rFonts w:hint="eastAsia" w:ascii="Times New Roman" w:hAnsi="Times New Roman" w:cs="Times New Roman"/>
          <w:shd w:val="clear" w:color="auto" w:fill="auto"/>
          <w:lang w:val="en-US" w:eastAsia="zh-CN"/>
        </w:rPr>
        <w:t>5</w:t>
      </w:r>
      <w:r>
        <w:rPr>
          <w:rFonts w:hint="default" w:ascii="Times New Roman" w:hAnsi="Times New Roman" w:cs="Times New Roman"/>
          <w:shd w:val="clear" w:color="auto" w:fill="auto"/>
          <w:lang w:val="en-US" w:eastAsia="zh-CN"/>
        </w:rPr>
        <w:t>.1</w:t>
      </w:r>
      <w:r>
        <w:rPr>
          <w:rFonts w:hint="default" w:ascii="Times New Roman" w:hAnsi="Times New Roman" w:cs="Times New Roman"/>
          <w:shd w:val="clear" w:color="auto" w:fill="auto"/>
        </w:rPr>
        <w:t>.8植被生态</w:t>
      </w:r>
      <w:r>
        <w:tab/>
      </w:r>
      <w:r>
        <w:fldChar w:fldCharType="begin"/>
      </w:r>
      <w:r>
        <w:instrText xml:space="preserve"> PAGEREF _Toc11656 \h </w:instrText>
      </w:r>
      <w:r>
        <w:fldChar w:fldCharType="separate"/>
      </w:r>
      <w:r>
        <w:t>89</w:t>
      </w:r>
      <w:r>
        <w:fldChar w:fldCharType="end"/>
      </w:r>
      <w:r>
        <w:rPr>
          <w:rFonts w:hint="default" w:ascii="Times New Roman" w:hAnsi="Times New Roman" w:cs="Times New Roman"/>
          <w:color w:val="auto"/>
          <w:szCs w:val="24"/>
          <w:u w:val="none" w:color="auto"/>
        </w:rPr>
        <w:fldChar w:fldCharType="end"/>
      </w:r>
    </w:p>
    <w:p w14:paraId="2594D332">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_Toc26517 </w:instrText>
      </w:r>
      <w:r>
        <w:rPr>
          <w:rFonts w:hint="default" w:ascii="Times New Roman" w:hAnsi="Times New Roman" w:cs="Times New Roman"/>
          <w:szCs w:val="24"/>
        </w:rPr>
        <w:fldChar w:fldCharType="separate"/>
      </w:r>
      <w:r>
        <w:rPr>
          <w:rFonts w:hint="eastAsia"/>
          <w:lang w:val="en-US" w:eastAsia="zh-CN"/>
        </w:rPr>
        <w:t>5.2汨罗高新技术产业开发区概况</w:t>
      </w:r>
      <w:r>
        <w:tab/>
      </w:r>
      <w:r>
        <w:fldChar w:fldCharType="begin"/>
      </w:r>
      <w:r>
        <w:instrText xml:space="preserve"> PAGEREF _Toc26517 \h </w:instrText>
      </w:r>
      <w:r>
        <w:fldChar w:fldCharType="separate"/>
      </w:r>
      <w:r>
        <w:t>90</w:t>
      </w:r>
      <w:r>
        <w:fldChar w:fldCharType="end"/>
      </w:r>
      <w:r>
        <w:rPr>
          <w:rFonts w:hint="default" w:ascii="Times New Roman" w:hAnsi="Times New Roman" w:cs="Times New Roman"/>
          <w:color w:val="auto"/>
          <w:szCs w:val="24"/>
          <w:u w:val="none" w:color="auto"/>
        </w:rPr>
        <w:fldChar w:fldCharType="end"/>
      </w:r>
    </w:p>
    <w:p w14:paraId="54ACEA8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_Toc6914 </w:instrText>
      </w:r>
      <w:r>
        <w:rPr>
          <w:rFonts w:hint="default" w:ascii="Times New Roman" w:hAnsi="Times New Roman" w:cs="Times New Roman"/>
          <w:szCs w:val="24"/>
        </w:rPr>
        <w:fldChar w:fldCharType="separate"/>
      </w:r>
      <w:r>
        <w:rPr>
          <w:rFonts w:hint="eastAsia"/>
          <w:lang w:val="en-US" w:eastAsia="zh-CN"/>
        </w:rPr>
        <w:t>5.2.1园区发展背景</w:t>
      </w:r>
      <w:r>
        <w:tab/>
      </w:r>
      <w:r>
        <w:fldChar w:fldCharType="begin"/>
      </w:r>
      <w:r>
        <w:instrText xml:space="preserve"> PAGEREF _Toc6914 \h </w:instrText>
      </w:r>
      <w:r>
        <w:fldChar w:fldCharType="separate"/>
      </w:r>
      <w:r>
        <w:t>90</w:t>
      </w:r>
      <w:r>
        <w:fldChar w:fldCharType="end"/>
      </w:r>
      <w:r>
        <w:rPr>
          <w:rFonts w:hint="default" w:ascii="Times New Roman" w:hAnsi="Times New Roman" w:cs="Times New Roman"/>
          <w:color w:val="auto"/>
          <w:szCs w:val="24"/>
          <w:u w:val="none" w:color="auto"/>
        </w:rPr>
        <w:fldChar w:fldCharType="end"/>
      </w:r>
    </w:p>
    <w:p w14:paraId="5C3D49B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_Toc14634 </w:instrText>
      </w:r>
      <w:r>
        <w:rPr>
          <w:rFonts w:hint="default" w:ascii="Times New Roman" w:hAnsi="Times New Roman" w:cs="Times New Roman"/>
          <w:szCs w:val="24"/>
        </w:rPr>
        <w:fldChar w:fldCharType="separate"/>
      </w:r>
      <w:r>
        <w:rPr>
          <w:rFonts w:hint="eastAsia"/>
          <w:lang w:val="en-US" w:eastAsia="zh-CN"/>
        </w:rPr>
        <w:t>5.2.2园区规划概况</w:t>
      </w:r>
      <w:r>
        <w:tab/>
      </w:r>
      <w:r>
        <w:fldChar w:fldCharType="begin"/>
      </w:r>
      <w:r>
        <w:instrText xml:space="preserve"> PAGEREF _Toc14634 \h </w:instrText>
      </w:r>
      <w:r>
        <w:fldChar w:fldCharType="separate"/>
      </w:r>
      <w:r>
        <w:t>92</w:t>
      </w:r>
      <w:r>
        <w:fldChar w:fldCharType="end"/>
      </w:r>
      <w:r>
        <w:rPr>
          <w:rFonts w:hint="default" w:ascii="Times New Roman" w:hAnsi="Times New Roman" w:cs="Times New Roman"/>
          <w:color w:val="auto"/>
          <w:szCs w:val="24"/>
          <w:u w:val="none" w:color="auto"/>
        </w:rPr>
        <w:fldChar w:fldCharType="end"/>
      </w:r>
    </w:p>
    <w:p w14:paraId="7E3F14F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_Toc24021 </w:instrText>
      </w:r>
      <w:r>
        <w:rPr>
          <w:rFonts w:hint="default" w:ascii="Times New Roman" w:hAnsi="Times New Roman" w:cs="Times New Roman"/>
          <w:szCs w:val="24"/>
        </w:rPr>
        <w:fldChar w:fldCharType="separate"/>
      </w:r>
      <w:r>
        <w:rPr>
          <w:rFonts w:hint="eastAsia"/>
          <w:lang w:val="en-US" w:eastAsia="zh-CN"/>
        </w:rPr>
        <w:t>5.2.3园区总体规划</w:t>
      </w:r>
      <w:r>
        <w:tab/>
      </w:r>
      <w:r>
        <w:fldChar w:fldCharType="begin"/>
      </w:r>
      <w:r>
        <w:instrText xml:space="preserve"> PAGEREF _Toc24021 \h </w:instrText>
      </w:r>
      <w:r>
        <w:fldChar w:fldCharType="separate"/>
      </w:r>
      <w:r>
        <w:t>93</w:t>
      </w:r>
      <w:r>
        <w:fldChar w:fldCharType="end"/>
      </w:r>
      <w:r>
        <w:rPr>
          <w:rFonts w:hint="default" w:ascii="Times New Roman" w:hAnsi="Times New Roman" w:cs="Times New Roman"/>
          <w:color w:val="auto"/>
          <w:szCs w:val="24"/>
          <w:u w:val="none" w:color="auto"/>
        </w:rPr>
        <w:fldChar w:fldCharType="end"/>
      </w:r>
    </w:p>
    <w:p w14:paraId="0FB0300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_Toc14622 </w:instrText>
      </w:r>
      <w:r>
        <w:rPr>
          <w:rFonts w:hint="default" w:ascii="Times New Roman" w:hAnsi="Times New Roman" w:cs="Times New Roman"/>
          <w:szCs w:val="24"/>
        </w:rPr>
        <w:fldChar w:fldCharType="separate"/>
      </w:r>
      <w:r>
        <w:rPr>
          <w:rFonts w:hint="eastAsia"/>
          <w:lang w:val="en-US" w:eastAsia="zh-CN"/>
        </w:rPr>
        <w:t>5.2.4基础设施规划</w:t>
      </w:r>
      <w:r>
        <w:tab/>
      </w:r>
      <w:r>
        <w:fldChar w:fldCharType="begin"/>
      </w:r>
      <w:r>
        <w:instrText xml:space="preserve"> PAGEREF _Toc14622 \h </w:instrText>
      </w:r>
      <w:r>
        <w:fldChar w:fldCharType="separate"/>
      </w:r>
      <w:r>
        <w:t>94</w:t>
      </w:r>
      <w:r>
        <w:fldChar w:fldCharType="end"/>
      </w:r>
      <w:r>
        <w:rPr>
          <w:rFonts w:hint="default" w:ascii="Times New Roman" w:hAnsi="Times New Roman" w:cs="Times New Roman"/>
          <w:color w:val="auto"/>
          <w:szCs w:val="24"/>
          <w:u w:val="none" w:color="auto"/>
        </w:rPr>
        <w:fldChar w:fldCharType="end"/>
      </w:r>
    </w:p>
    <w:p w14:paraId="0CA5D23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_Toc14164 </w:instrText>
      </w:r>
      <w:r>
        <w:rPr>
          <w:rFonts w:hint="default" w:ascii="Times New Roman" w:hAnsi="Times New Roman" w:cs="Times New Roman"/>
          <w:szCs w:val="24"/>
        </w:rPr>
        <w:fldChar w:fldCharType="separate"/>
      </w:r>
      <w:r>
        <w:rPr>
          <w:rFonts w:hint="eastAsia"/>
          <w:lang w:val="en-US" w:eastAsia="zh-CN"/>
        </w:rPr>
        <w:t>5.2.5环境保护规划</w:t>
      </w:r>
      <w:r>
        <w:tab/>
      </w:r>
      <w:r>
        <w:fldChar w:fldCharType="begin"/>
      </w:r>
      <w:r>
        <w:instrText xml:space="preserve"> PAGEREF _Toc14164 \h </w:instrText>
      </w:r>
      <w:r>
        <w:fldChar w:fldCharType="separate"/>
      </w:r>
      <w:r>
        <w:t>96</w:t>
      </w:r>
      <w:r>
        <w:fldChar w:fldCharType="end"/>
      </w:r>
      <w:r>
        <w:rPr>
          <w:rFonts w:hint="default" w:ascii="Times New Roman" w:hAnsi="Times New Roman" w:cs="Times New Roman"/>
          <w:color w:val="auto"/>
          <w:szCs w:val="24"/>
          <w:u w:val="none" w:color="auto"/>
        </w:rPr>
        <w:fldChar w:fldCharType="end"/>
      </w:r>
    </w:p>
    <w:p w14:paraId="053EE0B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_Toc2224 </w:instrText>
      </w:r>
      <w:r>
        <w:rPr>
          <w:rFonts w:hint="default" w:ascii="Times New Roman" w:hAnsi="Times New Roman" w:cs="Times New Roman"/>
          <w:szCs w:val="24"/>
        </w:rPr>
        <w:fldChar w:fldCharType="separate"/>
      </w:r>
      <w:r>
        <w:rPr>
          <w:rFonts w:hint="eastAsia"/>
          <w:lang w:val="en-US" w:eastAsia="zh-CN"/>
        </w:rPr>
        <w:t>5.2.6 园区环境影响评价情况及批复</w:t>
      </w:r>
      <w:r>
        <w:tab/>
      </w:r>
      <w:r>
        <w:fldChar w:fldCharType="begin"/>
      </w:r>
      <w:r>
        <w:instrText xml:space="preserve"> PAGEREF _Toc2224 \h </w:instrText>
      </w:r>
      <w:r>
        <w:fldChar w:fldCharType="separate"/>
      </w:r>
      <w:r>
        <w:t>96</w:t>
      </w:r>
      <w:r>
        <w:fldChar w:fldCharType="end"/>
      </w:r>
      <w:r>
        <w:rPr>
          <w:rFonts w:hint="default" w:ascii="Times New Roman" w:hAnsi="Times New Roman" w:cs="Times New Roman"/>
          <w:color w:val="auto"/>
          <w:szCs w:val="24"/>
          <w:u w:val="none" w:color="auto"/>
        </w:rPr>
        <w:fldChar w:fldCharType="end"/>
      </w:r>
    </w:p>
    <w:p w14:paraId="3CF9113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_Toc31766 </w:instrText>
      </w:r>
      <w:r>
        <w:rPr>
          <w:rFonts w:hint="default" w:ascii="Times New Roman" w:hAnsi="Times New Roman" w:cs="Times New Roman"/>
          <w:szCs w:val="24"/>
        </w:rPr>
        <w:fldChar w:fldCharType="separate"/>
      </w:r>
      <w:r>
        <w:rPr>
          <w:rFonts w:hint="eastAsia"/>
          <w:lang w:val="en-US" w:eastAsia="zh-CN"/>
        </w:rPr>
        <w:t>5.2.7 项目与园区的依托关系</w:t>
      </w:r>
      <w:r>
        <w:tab/>
      </w:r>
      <w:r>
        <w:fldChar w:fldCharType="begin"/>
      </w:r>
      <w:r>
        <w:instrText xml:space="preserve"> PAGEREF _Toc31766 \h </w:instrText>
      </w:r>
      <w:r>
        <w:fldChar w:fldCharType="separate"/>
      </w:r>
      <w:r>
        <w:t>97</w:t>
      </w:r>
      <w:r>
        <w:fldChar w:fldCharType="end"/>
      </w:r>
      <w:r>
        <w:rPr>
          <w:rFonts w:hint="default" w:ascii="Times New Roman" w:hAnsi="Times New Roman" w:cs="Times New Roman"/>
          <w:color w:val="auto"/>
          <w:szCs w:val="24"/>
          <w:u w:val="none" w:color="auto"/>
        </w:rPr>
        <w:fldChar w:fldCharType="end"/>
      </w:r>
    </w:p>
    <w:p w14:paraId="28DC3C3B">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_Toc18720 </w:instrText>
      </w:r>
      <w:r>
        <w:rPr>
          <w:rFonts w:hint="default" w:ascii="Times New Roman" w:hAnsi="Times New Roman" w:cs="Times New Roman"/>
          <w:szCs w:val="24"/>
        </w:rPr>
        <w:fldChar w:fldCharType="separate"/>
      </w:r>
      <w:r>
        <w:rPr>
          <w:rFonts w:hint="eastAsia"/>
          <w:lang w:val="en-US" w:eastAsia="zh-CN"/>
        </w:rPr>
        <w:t>5</w:t>
      </w:r>
      <w:r>
        <w:rPr>
          <w:rFonts w:hint="default"/>
          <w:lang w:val="en-US" w:eastAsia="zh-CN"/>
        </w:rPr>
        <w:t>.</w:t>
      </w:r>
      <w:r>
        <w:rPr>
          <w:rFonts w:hint="eastAsia"/>
          <w:lang w:val="en-US" w:eastAsia="zh-CN"/>
        </w:rPr>
        <w:t>3</w:t>
      </w:r>
      <w:r>
        <w:rPr>
          <w:rFonts w:hint="default"/>
        </w:rPr>
        <w:t>区域环境质量现状评价</w:t>
      </w:r>
      <w:r>
        <w:tab/>
      </w:r>
      <w:r>
        <w:fldChar w:fldCharType="begin"/>
      </w:r>
      <w:r>
        <w:instrText xml:space="preserve"> PAGEREF _Toc18720 \h </w:instrText>
      </w:r>
      <w:r>
        <w:fldChar w:fldCharType="separate"/>
      </w:r>
      <w:r>
        <w:t>97</w:t>
      </w:r>
      <w:r>
        <w:fldChar w:fldCharType="end"/>
      </w:r>
      <w:r>
        <w:rPr>
          <w:rFonts w:hint="default" w:ascii="Times New Roman" w:hAnsi="Times New Roman" w:cs="Times New Roman"/>
          <w:color w:val="auto"/>
          <w:szCs w:val="24"/>
          <w:u w:val="none" w:color="auto"/>
        </w:rPr>
        <w:fldChar w:fldCharType="end"/>
      </w:r>
    </w:p>
    <w:p w14:paraId="771BEDF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_Toc4923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cs="Times New Roman"/>
          <w:lang w:val="en-US" w:eastAsia="zh-CN"/>
        </w:rPr>
        <w:t>3</w:t>
      </w:r>
      <w:r>
        <w:rPr>
          <w:rFonts w:hint="default" w:ascii="Times New Roman" w:hAnsi="Times New Roman" w:cs="Times New Roman"/>
        </w:rPr>
        <w:t>.1环境空气现状调查与评价</w:t>
      </w:r>
      <w:r>
        <w:tab/>
      </w:r>
      <w:r>
        <w:fldChar w:fldCharType="begin"/>
      </w:r>
      <w:r>
        <w:instrText xml:space="preserve"> PAGEREF _Toc4923 \h </w:instrText>
      </w:r>
      <w:r>
        <w:fldChar w:fldCharType="separate"/>
      </w:r>
      <w:r>
        <w:t>97</w:t>
      </w:r>
      <w:r>
        <w:fldChar w:fldCharType="end"/>
      </w:r>
      <w:r>
        <w:rPr>
          <w:rFonts w:hint="default" w:ascii="Times New Roman" w:hAnsi="Times New Roman" w:cs="Times New Roman"/>
          <w:color w:val="auto"/>
          <w:szCs w:val="24"/>
          <w:u w:val="none" w:color="auto"/>
        </w:rPr>
        <w:fldChar w:fldCharType="end"/>
      </w:r>
    </w:p>
    <w:p w14:paraId="7A47596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_Toc27759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cs="Times New Roman"/>
          <w:lang w:val="en-US" w:eastAsia="zh-CN"/>
        </w:rPr>
        <w:t>3</w:t>
      </w:r>
      <w:r>
        <w:rPr>
          <w:rFonts w:hint="default" w:ascii="Times New Roman" w:hAnsi="Times New Roman" w:cs="Times New Roman"/>
        </w:rPr>
        <w:t>.2地表水环境现状监测与评价</w:t>
      </w:r>
      <w:r>
        <w:tab/>
      </w:r>
      <w:r>
        <w:fldChar w:fldCharType="begin"/>
      </w:r>
      <w:r>
        <w:instrText xml:space="preserve"> PAGEREF _Toc27759 \h </w:instrText>
      </w:r>
      <w:r>
        <w:fldChar w:fldCharType="separate"/>
      </w:r>
      <w:r>
        <w:t>100</w:t>
      </w:r>
      <w:r>
        <w:fldChar w:fldCharType="end"/>
      </w:r>
      <w:r>
        <w:rPr>
          <w:rFonts w:hint="default" w:ascii="Times New Roman" w:hAnsi="Times New Roman" w:cs="Times New Roman"/>
          <w:color w:val="auto"/>
          <w:szCs w:val="24"/>
          <w:u w:val="none" w:color="auto"/>
        </w:rPr>
        <w:fldChar w:fldCharType="end"/>
      </w:r>
    </w:p>
    <w:p w14:paraId="45C7AB80">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_Toc6325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cs="Times New Roman"/>
          <w:lang w:val="en-US" w:eastAsia="zh-CN"/>
        </w:rPr>
        <w:t>3</w:t>
      </w:r>
      <w:r>
        <w:rPr>
          <w:rFonts w:hint="default" w:ascii="Times New Roman" w:hAnsi="Times New Roman" w:cs="Times New Roman"/>
        </w:rPr>
        <w:t>.3地下水环境现状监测与评价</w:t>
      </w:r>
      <w:r>
        <w:tab/>
      </w:r>
      <w:r>
        <w:fldChar w:fldCharType="begin"/>
      </w:r>
      <w:r>
        <w:instrText xml:space="preserve"> PAGEREF _Toc6325 \h </w:instrText>
      </w:r>
      <w:r>
        <w:fldChar w:fldCharType="separate"/>
      </w:r>
      <w:r>
        <w:t>103</w:t>
      </w:r>
      <w:r>
        <w:fldChar w:fldCharType="end"/>
      </w:r>
      <w:r>
        <w:rPr>
          <w:rFonts w:hint="default" w:ascii="Times New Roman" w:hAnsi="Times New Roman" w:cs="Times New Roman"/>
          <w:color w:val="auto"/>
          <w:szCs w:val="24"/>
          <w:u w:val="none" w:color="auto"/>
        </w:rPr>
        <w:fldChar w:fldCharType="end"/>
      </w:r>
    </w:p>
    <w:p w14:paraId="1108A62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_Toc4335 </w:instrText>
      </w:r>
      <w:r>
        <w:rPr>
          <w:rFonts w:hint="default" w:ascii="Times New Roman" w:hAnsi="Times New Roman" w:cs="Times New Roman"/>
          <w:szCs w:val="24"/>
        </w:rPr>
        <w:fldChar w:fldCharType="separate"/>
      </w:r>
      <w:r>
        <w:rPr>
          <w:rFonts w:hint="eastAsia"/>
          <w:lang w:val="en-US" w:eastAsia="zh-CN"/>
        </w:rPr>
        <w:t>5</w:t>
      </w:r>
      <w:r>
        <w:rPr>
          <w:rFonts w:hint="default"/>
          <w:lang w:val="en-US" w:eastAsia="zh-CN"/>
        </w:rPr>
        <w:t>.</w:t>
      </w:r>
      <w:r>
        <w:rPr>
          <w:rFonts w:hint="eastAsia"/>
          <w:lang w:val="en-US" w:eastAsia="zh-CN"/>
        </w:rPr>
        <w:t>3</w:t>
      </w:r>
      <w:r>
        <w:rPr>
          <w:rFonts w:hint="default"/>
        </w:rPr>
        <w:t>.4声环境现状监测与评价</w:t>
      </w:r>
      <w:r>
        <w:tab/>
      </w:r>
      <w:r>
        <w:fldChar w:fldCharType="begin"/>
      </w:r>
      <w:r>
        <w:instrText xml:space="preserve"> PAGEREF _Toc4335 \h </w:instrText>
      </w:r>
      <w:r>
        <w:fldChar w:fldCharType="separate"/>
      </w:r>
      <w:r>
        <w:t>104</w:t>
      </w:r>
      <w:r>
        <w:fldChar w:fldCharType="end"/>
      </w:r>
      <w:r>
        <w:rPr>
          <w:rFonts w:hint="default" w:ascii="Times New Roman" w:hAnsi="Times New Roman" w:cs="Times New Roman"/>
          <w:color w:val="auto"/>
          <w:szCs w:val="24"/>
          <w:u w:val="none" w:color="auto"/>
        </w:rPr>
        <w:fldChar w:fldCharType="end"/>
      </w:r>
    </w:p>
    <w:p w14:paraId="3C1068A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_Toc782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rPr>
        <w:t>.5土壤环境现状监测与评价</w:t>
      </w:r>
      <w:r>
        <w:tab/>
      </w:r>
      <w:r>
        <w:fldChar w:fldCharType="begin"/>
      </w:r>
      <w:r>
        <w:instrText xml:space="preserve"> PAGEREF _Toc782 \h </w:instrText>
      </w:r>
      <w:r>
        <w:fldChar w:fldCharType="separate"/>
      </w:r>
      <w:r>
        <w:t>105</w:t>
      </w:r>
      <w:r>
        <w:fldChar w:fldCharType="end"/>
      </w:r>
      <w:r>
        <w:rPr>
          <w:rFonts w:hint="default" w:ascii="Times New Roman" w:hAnsi="Times New Roman" w:cs="Times New Roman"/>
          <w:color w:val="auto"/>
          <w:szCs w:val="24"/>
          <w:u w:val="none" w:color="auto"/>
        </w:rPr>
        <w:fldChar w:fldCharType="end"/>
      </w:r>
    </w:p>
    <w:p w14:paraId="5DF7264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_Toc26234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5</w:t>
      </w:r>
      <w:r>
        <w:rPr>
          <w:rFonts w:hint="default" w:ascii="Times New Roman" w:hAnsi="Times New Roman" w:cs="Times New Roman"/>
          <w:lang w:val="en-US" w:eastAsia="zh-CN"/>
        </w:rPr>
        <w:t>.</w:t>
      </w:r>
      <w:r>
        <w:rPr>
          <w:rFonts w:hint="eastAsia" w:ascii="Times New Roman" w:hAnsi="Times New Roman" w:cs="Times New Roman"/>
          <w:lang w:val="en-US" w:eastAsia="zh-CN"/>
        </w:rPr>
        <w:t>3</w:t>
      </w:r>
      <w:r>
        <w:rPr>
          <w:rFonts w:hint="default" w:ascii="Times New Roman" w:hAnsi="Times New Roman" w:cs="Times New Roman"/>
        </w:rPr>
        <w:t>.</w:t>
      </w:r>
      <w:r>
        <w:rPr>
          <w:rFonts w:hint="eastAsia" w:cs="Times New Roman"/>
          <w:lang w:val="en-US" w:eastAsia="zh-CN"/>
        </w:rPr>
        <w:t>6</w:t>
      </w:r>
      <w:r>
        <w:rPr>
          <w:rFonts w:hint="default" w:ascii="Times New Roman" w:hAnsi="Times New Roman" w:cs="Times New Roman"/>
          <w:lang w:val="en-US" w:eastAsia="zh-CN"/>
        </w:rPr>
        <w:t>生态</w:t>
      </w:r>
      <w:r>
        <w:rPr>
          <w:rFonts w:hint="default" w:ascii="Times New Roman" w:hAnsi="Times New Roman" w:cs="Times New Roman"/>
        </w:rPr>
        <w:t>环境现状监测与评价</w:t>
      </w:r>
      <w:r>
        <w:tab/>
      </w:r>
      <w:r>
        <w:fldChar w:fldCharType="begin"/>
      </w:r>
      <w:r>
        <w:instrText xml:space="preserve"> PAGEREF _Toc26234 \h </w:instrText>
      </w:r>
      <w:r>
        <w:fldChar w:fldCharType="separate"/>
      </w:r>
      <w:r>
        <w:t>105</w:t>
      </w:r>
      <w:r>
        <w:fldChar w:fldCharType="end"/>
      </w:r>
      <w:r>
        <w:rPr>
          <w:rFonts w:hint="default" w:ascii="Times New Roman" w:hAnsi="Times New Roman" w:cs="Times New Roman"/>
          <w:color w:val="auto"/>
          <w:szCs w:val="24"/>
          <w:u w:val="none" w:color="auto"/>
        </w:rPr>
        <w:fldChar w:fldCharType="end"/>
      </w:r>
    </w:p>
    <w:p w14:paraId="2F2CD30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_Toc28746 </w:instrText>
      </w:r>
      <w:r>
        <w:rPr>
          <w:rFonts w:hint="default" w:ascii="Times New Roman" w:hAnsi="Times New Roman" w:cs="Times New Roman"/>
          <w:szCs w:val="24"/>
        </w:rPr>
        <w:fldChar w:fldCharType="separate"/>
      </w:r>
      <w:r>
        <w:rPr>
          <w:rFonts w:hint="eastAsia"/>
          <w:lang w:val="en-US" w:eastAsia="zh-CN"/>
        </w:rPr>
        <w:t>5.4区域污染源调查</w:t>
      </w:r>
      <w:r>
        <w:tab/>
      </w:r>
      <w:r>
        <w:fldChar w:fldCharType="begin"/>
      </w:r>
      <w:r>
        <w:instrText xml:space="preserve"> PAGEREF _Toc28746 \h </w:instrText>
      </w:r>
      <w:r>
        <w:fldChar w:fldCharType="separate"/>
      </w:r>
      <w:r>
        <w:t>106</w:t>
      </w:r>
      <w:r>
        <w:fldChar w:fldCharType="end"/>
      </w:r>
      <w:r>
        <w:rPr>
          <w:rFonts w:hint="default" w:ascii="Times New Roman" w:hAnsi="Times New Roman" w:cs="Times New Roman"/>
          <w:color w:val="auto"/>
          <w:szCs w:val="24"/>
          <w:u w:val="none" w:color="auto"/>
        </w:rPr>
        <w:fldChar w:fldCharType="end"/>
      </w:r>
    </w:p>
    <w:p w14:paraId="0E64BBB6">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_Toc21072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rPr>
        <w:t>、环境影响预测与评价</w:t>
      </w:r>
      <w:r>
        <w:tab/>
      </w:r>
      <w:r>
        <w:fldChar w:fldCharType="begin"/>
      </w:r>
      <w:r>
        <w:instrText xml:space="preserve"> PAGEREF _Toc21072 \h </w:instrText>
      </w:r>
      <w:r>
        <w:fldChar w:fldCharType="separate"/>
      </w:r>
      <w:r>
        <w:t>124</w:t>
      </w:r>
      <w:r>
        <w:fldChar w:fldCharType="end"/>
      </w:r>
      <w:r>
        <w:rPr>
          <w:rFonts w:hint="default" w:ascii="Times New Roman" w:hAnsi="Times New Roman" w:cs="Times New Roman"/>
          <w:color w:val="auto"/>
          <w:szCs w:val="24"/>
          <w:u w:val="none" w:color="auto"/>
        </w:rPr>
        <w:fldChar w:fldCharType="end"/>
      </w:r>
    </w:p>
    <w:p w14:paraId="1083B5FC">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_Toc6858 </w:instrText>
      </w:r>
      <w:r>
        <w:rPr>
          <w:rFonts w:hint="default" w:ascii="Times New Roman" w:hAnsi="Times New Roman" w:cs="Times New Roman"/>
          <w:szCs w:val="24"/>
        </w:rPr>
        <w:fldChar w:fldCharType="separate"/>
      </w:r>
      <w:r>
        <w:rPr>
          <w:rFonts w:hint="eastAsia"/>
          <w:lang w:val="en-US" w:eastAsia="zh-CN"/>
        </w:rPr>
        <w:t>6</w:t>
      </w:r>
      <w:r>
        <w:rPr>
          <w:rFonts w:hint="default"/>
          <w:lang w:val="en-US" w:eastAsia="zh-CN"/>
        </w:rPr>
        <w:t>.1</w:t>
      </w:r>
      <w:r>
        <w:rPr>
          <w:rFonts w:hint="default"/>
        </w:rPr>
        <w:t>施工期环境影响分析</w:t>
      </w:r>
      <w:r>
        <w:tab/>
      </w:r>
      <w:r>
        <w:fldChar w:fldCharType="begin"/>
      </w:r>
      <w:r>
        <w:instrText xml:space="preserve"> PAGEREF _Toc6858 \h </w:instrText>
      </w:r>
      <w:r>
        <w:fldChar w:fldCharType="separate"/>
      </w:r>
      <w:r>
        <w:t>124</w:t>
      </w:r>
      <w:r>
        <w:fldChar w:fldCharType="end"/>
      </w:r>
      <w:r>
        <w:rPr>
          <w:rFonts w:hint="default" w:ascii="Times New Roman" w:hAnsi="Times New Roman" w:cs="Times New Roman"/>
          <w:color w:val="auto"/>
          <w:szCs w:val="24"/>
          <w:u w:val="none" w:color="auto"/>
        </w:rPr>
        <w:fldChar w:fldCharType="end"/>
      </w:r>
    </w:p>
    <w:p w14:paraId="46D41DA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_Toc28391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.1.1</w:t>
      </w:r>
      <w:r>
        <w:rPr>
          <w:rFonts w:hint="default" w:ascii="Times New Roman" w:hAnsi="Times New Roman" w:eastAsia="宋体" w:cs="Times New Roman"/>
          <w:lang w:eastAsia="zh-CN"/>
        </w:rPr>
        <w:t>水环境影响评价</w:t>
      </w:r>
      <w:r>
        <w:tab/>
      </w:r>
      <w:r>
        <w:fldChar w:fldCharType="begin"/>
      </w:r>
      <w:r>
        <w:instrText xml:space="preserve"> PAGEREF _Toc28391 \h </w:instrText>
      </w:r>
      <w:r>
        <w:fldChar w:fldCharType="separate"/>
      </w:r>
      <w:r>
        <w:t>124</w:t>
      </w:r>
      <w:r>
        <w:fldChar w:fldCharType="end"/>
      </w:r>
      <w:r>
        <w:rPr>
          <w:rFonts w:hint="default" w:ascii="Times New Roman" w:hAnsi="Times New Roman" w:cs="Times New Roman"/>
          <w:color w:val="auto"/>
          <w:szCs w:val="24"/>
          <w:u w:val="none" w:color="auto"/>
        </w:rPr>
        <w:fldChar w:fldCharType="end"/>
      </w:r>
    </w:p>
    <w:p w14:paraId="7BF78E5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_Toc15969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.1.2</w:t>
      </w:r>
      <w:r>
        <w:rPr>
          <w:rFonts w:hint="default" w:ascii="Times New Roman" w:hAnsi="Times New Roman" w:eastAsia="宋体" w:cs="Times New Roman"/>
          <w:lang w:eastAsia="zh-CN"/>
        </w:rPr>
        <w:t>大气环境影响评价</w:t>
      </w:r>
      <w:r>
        <w:tab/>
      </w:r>
      <w:r>
        <w:fldChar w:fldCharType="begin"/>
      </w:r>
      <w:r>
        <w:instrText xml:space="preserve"> PAGEREF _Toc15969 \h </w:instrText>
      </w:r>
      <w:r>
        <w:fldChar w:fldCharType="separate"/>
      </w:r>
      <w:r>
        <w:t>124</w:t>
      </w:r>
      <w:r>
        <w:fldChar w:fldCharType="end"/>
      </w:r>
      <w:r>
        <w:rPr>
          <w:rFonts w:hint="default" w:ascii="Times New Roman" w:hAnsi="Times New Roman" w:cs="Times New Roman"/>
          <w:color w:val="auto"/>
          <w:szCs w:val="24"/>
          <w:u w:val="none" w:color="auto"/>
        </w:rPr>
        <w:fldChar w:fldCharType="end"/>
      </w:r>
    </w:p>
    <w:p w14:paraId="5D1CE99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_Toc12081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.1.3</w:t>
      </w:r>
      <w:r>
        <w:rPr>
          <w:rFonts w:hint="default" w:ascii="Times New Roman" w:hAnsi="Times New Roman" w:eastAsia="宋体" w:cs="Times New Roman"/>
          <w:lang w:eastAsia="zh-CN"/>
        </w:rPr>
        <w:t>声环境影响评价</w:t>
      </w:r>
      <w:r>
        <w:tab/>
      </w:r>
      <w:r>
        <w:fldChar w:fldCharType="begin"/>
      </w:r>
      <w:r>
        <w:instrText xml:space="preserve"> PAGEREF _Toc12081 \h </w:instrText>
      </w:r>
      <w:r>
        <w:fldChar w:fldCharType="separate"/>
      </w:r>
      <w:r>
        <w:t>125</w:t>
      </w:r>
      <w:r>
        <w:fldChar w:fldCharType="end"/>
      </w:r>
      <w:r>
        <w:rPr>
          <w:rFonts w:hint="default" w:ascii="Times New Roman" w:hAnsi="Times New Roman" w:cs="Times New Roman"/>
          <w:color w:val="auto"/>
          <w:szCs w:val="24"/>
          <w:u w:val="none" w:color="auto"/>
        </w:rPr>
        <w:fldChar w:fldCharType="end"/>
      </w:r>
    </w:p>
    <w:p w14:paraId="50ABF88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_Toc14074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6</w:t>
      </w:r>
      <w:r>
        <w:rPr>
          <w:rFonts w:hint="default" w:ascii="Times New Roman" w:hAnsi="Times New Roman" w:eastAsia="宋体" w:cs="Times New Roman"/>
          <w:lang w:val="en-US" w:eastAsia="zh-CN"/>
        </w:rPr>
        <w:t>.1.4</w:t>
      </w:r>
      <w:r>
        <w:rPr>
          <w:rFonts w:hint="default" w:ascii="Times New Roman" w:hAnsi="Times New Roman" w:eastAsia="宋体" w:cs="Times New Roman"/>
          <w:lang w:eastAsia="zh-CN"/>
        </w:rPr>
        <w:t>固废环境影响评价</w:t>
      </w:r>
      <w:r>
        <w:tab/>
      </w:r>
      <w:r>
        <w:fldChar w:fldCharType="begin"/>
      </w:r>
      <w:r>
        <w:instrText xml:space="preserve"> PAGEREF _Toc14074 \h </w:instrText>
      </w:r>
      <w:r>
        <w:fldChar w:fldCharType="separate"/>
      </w:r>
      <w:r>
        <w:t>125</w:t>
      </w:r>
      <w:r>
        <w:fldChar w:fldCharType="end"/>
      </w:r>
      <w:r>
        <w:rPr>
          <w:rFonts w:hint="default" w:ascii="Times New Roman" w:hAnsi="Times New Roman" w:cs="Times New Roman"/>
          <w:color w:val="auto"/>
          <w:szCs w:val="24"/>
          <w:u w:val="none" w:color="auto"/>
        </w:rPr>
        <w:fldChar w:fldCharType="end"/>
      </w:r>
    </w:p>
    <w:p w14:paraId="7BA288D8">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_Toc26918 </w:instrText>
      </w:r>
      <w:r>
        <w:rPr>
          <w:rFonts w:hint="default" w:ascii="Times New Roman" w:hAnsi="Times New Roman" w:cs="Times New Roman"/>
          <w:szCs w:val="24"/>
        </w:rPr>
        <w:fldChar w:fldCharType="separate"/>
      </w:r>
      <w:r>
        <w:rPr>
          <w:rFonts w:hint="eastAsia"/>
          <w:lang w:val="en-US" w:eastAsia="zh-CN"/>
        </w:rPr>
        <w:t>6</w:t>
      </w:r>
      <w:r>
        <w:rPr>
          <w:rFonts w:hint="default"/>
          <w:lang w:val="en-US" w:eastAsia="zh-CN"/>
        </w:rPr>
        <w:t>.2</w:t>
      </w:r>
      <w:r>
        <w:rPr>
          <w:rFonts w:hint="default"/>
        </w:rPr>
        <w:t>营运期环境影响预测与评价</w:t>
      </w:r>
      <w:r>
        <w:tab/>
      </w:r>
      <w:r>
        <w:fldChar w:fldCharType="begin"/>
      </w:r>
      <w:r>
        <w:instrText xml:space="preserve"> PAGEREF _Toc26918 \h </w:instrText>
      </w:r>
      <w:r>
        <w:fldChar w:fldCharType="separate"/>
      </w:r>
      <w:r>
        <w:t>126</w:t>
      </w:r>
      <w:r>
        <w:fldChar w:fldCharType="end"/>
      </w:r>
      <w:r>
        <w:rPr>
          <w:rFonts w:hint="default" w:ascii="Times New Roman" w:hAnsi="Times New Roman" w:cs="Times New Roman"/>
          <w:color w:val="auto"/>
          <w:szCs w:val="24"/>
          <w:u w:val="none" w:color="auto"/>
        </w:rPr>
        <w:fldChar w:fldCharType="end"/>
      </w:r>
    </w:p>
    <w:p w14:paraId="4385679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_Toc11645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.1大气环境影响预测与评价</w:t>
      </w:r>
      <w:r>
        <w:tab/>
      </w:r>
      <w:r>
        <w:fldChar w:fldCharType="begin"/>
      </w:r>
      <w:r>
        <w:instrText xml:space="preserve"> PAGEREF _Toc11645 \h </w:instrText>
      </w:r>
      <w:r>
        <w:fldChar w:fldCharType="separate"/>
      </w:r>
      <w:r>
        <w:t>126</w:t>
      </w:r>
      <w:r>
        <w:fldChar w:fldCharType="end"/>
      </w:r>
      <w:r>
        <w:rPr>
          <w:rFonts w:hint="default" w:ascii="Times New Roman" w:hAnsi="Times New Roman" w:cs="Times New Roman"/>
          <w:color w:val="auto"/>
          <w:szCs w:val="24"/>
          <w:u w:val="none" w:color="auto"/>
        </w:rPr>
        <w:fldChar w:fldCharType="end"/>
      </w:r>
    </w:p>
    <w:p w14:paraId="519FCE5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_Toc27031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.2地表水环境影响分析</w:t>
      </w:r>
      <w:r>
        <w:tab/>
      </w:r>
      <w:r>
        <w:fldChar w:fldCharType="begin"/>
      </w:r>
      <w:r>
        <w:instrText xml:space="preserve"> PAGEREF _Toc27031 \h </w:instrText>
      </w:r>
      <w:r>
        <w:fldChar w:fldCharType="separate"/>
      </w:r>
      <w:r>
        <w:t>134</w:t>
      </w:r>
      <w:r>
        <w:fldChar w:fldCharType="end"/>
      </w:r>
      <w:r>
        <w:rPr>
          <w:rFonts w:hint="default" w:ascii="Times New Roman" w:hAnsi="Times New Roman" w:cs="Times New Roman"/>
          <w:color w:val="auto"/>
          <w:szCs w:val="24"/>
          <w:u w:val="none" w:color="auto"/>
        </w:rPr>
        <w:fldChar w:fldCharType="end"/>
      </w:r>
    </w:p>
    <w:p w14:paraId="43F9187A">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_Toc3290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.3地下水环境影响</w:t>
      </w:r>
      <w:r>
        <w:rPr>
          <w:rFonts w:hint="eastAsia" w:cs="Times New Roman"/>
          <w:lang w:val="en-US" w:eastAsia="zh-CN"/>
        </w:rPr>
        <w:t>分析</w:t>
      </w:r>
      <w:r>
        <w:tab/>
      </w:r>
      <w:r>
        <w:fldChar w:fldCharType="begin"/>
      </w:r>
      <w:r>
        <w:instrText xml:space="preserve"> PAGEREF _Toc3290 \h </w:instrText>
      </w:r>
      <w:r>
        <w:fldChar w:fldCharType="separate"/>
      </w:r>
      <w:r>
        <w:t>138</w:t>
      </w:r>
      <w:r>
        <w:fldChar w:fldCharType="end"/>
      </w:r>
      <w:r>
        <w:rPr>
          <w:rFonts w:hint="default" w:ascii="Times New Roman" w:hAnsi="Times New Roman" w:cs="Times New Roman"/>
          <w:color w:val="auto"/>
          <w:szCs w:val="24"/>
          <w:u w:val="none" w:color="auto"/>
        </w:rPr>
        <w:fldChar w:fldCharType="end"/>
      </w:r>
    </w:p>
    <w:p w14:paraId="5430BBC0">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_Toc913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.4声环境影响预测与评价</w:t>
      </w:r>
      <w:r>
        <w:tab/>
      </w:r>
      <w:r>
        <w:fldChar w:fldCharType="begin"/>
      </w:r>
      <w:r>
        <w:instrText xml:space="preserve"> PAGEREF _Toc913 \h </w:instrText>
      </w:r>
      <w:r>
        <w:fldChar w:fldCharType="separate"/>
      </w:r>
      <w:r>
        <w:t>141</w:t>
      </w:r>
      <w:r>
        <w:fldChar w:fldCharType="end"/>
      </w:r>
      <w:r>
        <w:rPr>
          <w:rFonts w:hint="default" w:ascii="Times New Roman" w:hAnsi="Times New Roman" w:cs="Times New Roman"/>
          <w:color w:val="auto"/>
          <w:szCs w:val="24"/>
          <w:u w:val="none" w:color="auto"/>
        </w:rPr>
        <w:fldChar w:fldCharType="end"/>
      </w:r>
    </w:p>
    <w:p w14:paraId="2B023E44">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_Toc2141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.5固体废物环境影响评价</w:t>
      </w:r>
      <w:r>
        <w:tab/>
      </w:r>
      <w:r>
        <w:fldChar w:fldCharType="begin"/>
      </w:r>
      <w:r>
        <w:instrText xml:space="preserve"> PAGEREF _Toc2141 \h </w:instrText>
      </w:r>
      <w:r>
        <w:fldChar w:fldCharType="separate"/>
      </w:r>
      <w:r>
        <w:t>146</w:t>
      </w:r>
      <w:r>
        <w:fldChar w:fldCharType="end"/>
      </w:r>
      <w:r>
        <w:rPr>
          <w:rFonts w:hint="default" w:ascii="Times New Roman" w:hAnsi="Times New Roman" w:cs="Times New Roman"/>
          <w:color w:val="auto"/>
          <w:szCs w:val="24"/>
          <w:u w:val="none" w:color="auto"/>
        </w:rPr>
        <w:fldChar w:fldCharType="end"/>
      </w:r>
    </w:p>
    <w:p w14:paraId="41411DD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_Toc24535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.6生态环境影响分析</w:t>
      </w:r>
      <w:r>
        <w:tab/>
      </w:r>
      <w:r>
        <w:fldChar w:fldCharType="begin"/>
      </w:r>
      <w:r>
        <w:instrText xml:space="preserve"> PAGEREF _Toc24535 \h </w:instrText>
      </w:r>
      <w:r>
        <w:fldChar w:fldCharType="separate"/>
      </w:r>
      <w:r>
        <w:t>147</w:t>
      </w:r>
      <w:r>
        <w:fldChar w:fldCharType="end"/>
      </w:r>
      <w:r>
        <w:rPr>
          <w:rFonts w:hint="default" w:ascii="Times New Roman" w:hAnsi="Times New Roman" w:cs="Times New Roman"/>
          <w:color w:val="auto"/>
          <w:szCs w:val="24"/>
          <w:u w:val="none" w:color="auto"/>
        </w:rPr>
        <w:fldChar w:fldCharType="end"/>
      </w:r>
    </w:p>
    <w:p w14:paraId="72441500">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_Toc1467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.2</w:t>
      </w:r>
      <w:r>
        <w:rPr>
          <w:rFonts w:hint="default" w:ascii="Times New Roman" w:hAnsi="Times New Roman" w:cs="Times New Roman"/>
        </w:rPr>
        <w:t>.7土壤环境影响分析</w:t>
      </w:r>
      <w:r>
        <w:tab/>
      </w:r>
      <w:r>
        <w:fldChar w:fldCharType="begin"/>
      </w:r>
      <w:r>
        <w:instrText xml:space="preserve"> PAGEREF _Toc1467 \h </w:instrText>
      </w:r>
      <w:r>
        <w:fldChar w:fldCharType="separate"/>
      </w:r>
      <w:r>
        <w:t>148</w:t>
      </w:r>
      <w:r>
        <w:fldChar w:fldCharType="end"/>
      </w:r>
      <w:r>
        <w:rPr>
          <w:rFonts w:hint="default" w:ascii="Times New Roman" w:hAnsi="Times New Roman" w:cs="Times New Roman"/>
          <w:color w:val="auto"/>
          <w:szCs w:val="24"/>
          <w:u w:val="none" w:color="auto"/>
        </w:rPr>
        <w:fldChar w:fldCharType="end"/>
      </w:r>
    </w:p>
    <w:p w14:paraId="0FACD08C">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_Toc13635 </w:instrText>
      </w:r>
      <w:r>
        <w:rPr>
          <w:rFonts w:hint="default" w:ascii="Times New Roman" w:hAnsi="Times New Roman" w:cs="Times New Roman"/>
          <w:szCs w:val="24"/>
        </w:rPr>
        <w:fldChar w:fldCharType="separate"/>
      </w:r>
      <w:r>
        <w:rPr>
          <w:rFonts w:hint="eastAsia"/>
          <w:lang w:val="en-US" w:eastAsia="zh-CN"/>
        </w:rPr>
        <w:t>6</w:t>
      </w:r>
      <w:r>
        <w:rPr>
          <w:rFonts w:hint="default"/>
          <w:lang w:val="en-US" w:eastAsia="zh-CN"/>
        </w:rPr>
        <w:t>.3</w:t>
      </w:r>
      <w:r>
        <w:rPr>
          <w:rFonts w:hint="default"/>
          <w:lang w:eastAsia="zh-CN"/>
        </w:rPr>
        <w:t>环境风险评价</w:t>
      </w:r>
      <w:r>
        <w:tab/>
      </w:r>
      <w:r>
        <w:fldChar w:fldCharType="begin"/>
      </w:r>
      <w:r>
        <w:instrText xml:space="preserve"> PAGEREF _Toc13635 \h </w:instrText>
      </w:r>
      <w:r>
        <w:fldChar w:fldCharType="separate"/>
      </w:r>
      <w:r>
        <w:t>148</w:t>
      </w:r>
      <w:r>
        <w:fldChar w:fldCharType="end"/>
      </w:r>
      <w:r>
        <w:rPr>
          <w:rFonts w:hint="default" w:ascii="Times New Roman" w:hAnsi="Times New Roman" w:cs="Times New Roman"/>
          <w:color w:val="auto"/>
          <w:szCs w:val="24"/>
          <w:u w:val="none" w:color="auto"/>
        </w:rPr>
        <w:fldChar w:fldCharType="end"/>
      </w:r>
    </w:p>
    <w:p w14:paraId="0C202DD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_Toc4221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.3.</w:t>
      </w:r>
      <w:r>
        <w:rPr>
          <w:rFonts w:hint="eastAsia" w:ascii="Times New Roman" w:hAnsi="Times New Roman" w:cs="Times New Roman"/>
          <w:lang w:val="en-US" w:eastAsia="zh-CN"/>
        </w:rPr>
        <w:t>1风险调查</w:t>
      </w:r>
      <w:r>
        <w:tab/>
      </w:r>
      <w:r>
        <w:fldChar w:fldCharType="begin"/>
      </w:r>
      <w:r>
        <w:instrText xml:space="preserve"> PAGEREF _Toc4221 \h </w:instrText>
      </w:r>
      <w:r>
        <w:fldChar w:fldCharType="separate"/>
      </w:r>
      <w:r>
        <w:t>149</w:t>
      </w:r>
      <w:r>
        <w:fldChar w:fldCharType="end"/>
      </w:r>
      <w:r>
        <w:rPr>
          <w:rFonts w:hint="default" w:ascii="Times New Roman" w:hAnsi="Times New Roman" w:cs="Times New Roman"/>
          <w:color w:val="auto"/>
          <w:szCs w:val="24"/>
          <w:u w:val="none" w:color="auto"/>
        </w:rPr>
        <w:fldChar w:fldCharType="end"/>
      </w:r>
    </w:p>
    <w:p w14:paraId="4B1DAEC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_Toc6409 </w:instrText>
      </w:r>
      <w:r>
        <w:rPr>
          <w:rFonts w:hint="default" w:ascii="Times New Roman" w:hAnsi="Times New Roman" w:cs="Times New Roman"/>
          <w:szCs w:val="24"/>
        </w:rPr>
        <w:fldChar w:fldCharType="separate"/>
      </w:r>
      <w:r>
        <w:rPr>
          <w:rFonts w:hint="eastAsia"/>
          <w:lang w:val="en-US" w:eastAsia="zh-CN"/>
        </w:rPr>
        <w:t>6.3.2环境风险潜势初判</w:t>
      </w:r>
      <w:r>
        <w:tab/>
      </w:r>
      <w:r>
        <w:fldChar w:fldCharType="begin"/>
      </w:r>
      <w:r>
        <w:instrText xml:space="preserve"> PAGEREF _Toc6409 \h </w:instrText>
      </w:r>
      <w:r>
        <w:fldChar w:fldCharType="separate"/>
      </w:r>
      <w:r>
        <w:t>152</w:t>
      </w:r>
      <w:r>
        <w:fldChar w:fldCharType="end"/>
      </w:r>
      <w:r>
        <w:rPr>
          <w:rFonts w:hint="default" w:ascii="Times New Roman" w:hAnsi="Times New Roman" w:cs="Times New Roman"/>
          <w:color w:val="auto"/>
          <w:szCs w:val="24"/>
          <w:u w:val="none" w:color="auto"/>
        </w:rPr>
        <w:fldChar w:fldCharType="end"/>
      </w:r>
    </w:p>
    <w:p w14:paraId="530D2AC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_Toc27049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.3.3</w:t>
      </w:r>
      <w:r>
        <w:rPr>
          <w:rFonts w:hint="eastAsia" w:ascii="Times New Roman" w:hAnsi="Times New Roman" w:cs="Times New Roman"/>
          <w:lang w:val="en-US" w:eastAsia="zh-CN"/>
        </w:rPr>
        <w:t>环境</w:t>
      </w:r>
      <w:r>
        <w:rPr>
          <w:rFonts w:hint="default" w:ascii="Times New Roman" w:hAnsi="Times New Roman" w:cs="Times New Roman"/>
          <w:lang w:val="en-US" w:eastAsia="zh-CN"/>
        </w:rPr>
        <w:t>风险识别</w:t>
      </w:r>
      <w:r>
        <w:tab/>
      </w:r>
      <w:r>
        <w:fldChar w:fldCharType="begin"/>
      </w:r>
      <w:r>
        <w:instrText xml:space="preserve"> PAGEREF _Toc27049 \h </w:instrText>
      </w:r>
      <w:r>
        <w:fldChar w:fldCharType="separate"/>
      </w:r>
      <w:r>
        <w:t>153</w:t>
      </w:r>
      <w:r>
        <w:fldChar w:fldCharType="end"/>
      </w:r>
      <w:r>
        <w:rPr>
          <w:rFonts w:hint="default" w:ascii="Times New Roman" w:hAnsi="Times New Roman" w:cs="Times New Roman"/>
          <w:color w:val="auto"/>
          <w:szCs w:val="24"/>
          <w:u w:val="none" w:color="auto"/>
        </w:rPr>
        <w:fldChar w:fldCharType="end"/>
      </w:r>
    </w:p>
    <w:p w14:paraId="410A042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_Toc20014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6.3.4风险事件影响分析</w:t>
      </w:r>
      <w:r>
        <w:tab/>
      </w:r>
      <w:r>
        <w:fldChar w:fldCharType="begin"/>
      </w:r>
      <w:r>
        <w:instrText xml:space="preserve"> PAGEREF _Toc20014 \h </w:instrText>
      </w:r>
      <w:r>
        <w:fldChar w:fldCharType="separate"/>
      </w:r>
      <w:r>
        <w:t>155</w:t>
      </w:r>
      <w:r>
        <w:fldChar w:fldCharType="end"/>
      </w:r>
      <w:r>
        <w:rPr>
          <w:rFonts w:hint="default" w:ascii="Times New Roman" w:hAnsi="Times New Roman" w:cs="Times New Roman"/>
          <w:color w:val="auto"/>
          <w:szCs w:val="24"/>
          <w:u w:val="none" w:color="auto"/>
        </w:rPr>
        <w:fldChar w:fldCharType="end"/>
      </w:r>
    </w:p>
    <w:p w14:paraId="17F447D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_Toc7648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.3.</w:t>
      </w:r>
      <w:r>
        <w:rPr>
          <w:rFonts w:hint="eastAsia" w:ascii="Times New Roman" w:hAnsi="Times New Roman" w:cs="Times New Roman"/>
          <w:lang w:val="en-US" w:eastAsia="zh-CN"/>
        </w:rPr>
        <w:t>5</w:t>
      </w:r>
      <w:r>
        <w:rPr>
          <w:rFonts w:hint="default" w:ascii="Times New Roman" w:hAnsi="Times New Roman" w:cs="Times New Roman"/>
          <w:lang w:val="en-US" w:eastAsia="zh-CN"/>
        </w:rPr>
        <w:t>事故风险防范措施</w:t>
      </w:r>
      <w:r>
        <w:tab/>
      </w:r>
      <w:r>
        <w:fldChar w:fldCharType="begin"/>
      </w:r>
      <w:r>
        <w:instrText xml:space="preserve"> PAGEREF _Toc7648 \h </w:instrText>
      </w:r>
      <w:r>
        <w:fldChar w:fldCharType="separate"/>
      </w:r>
      <w:r>
        <w:t>157</w:t>
      </w:r>
      <w:r>
        <w:fldChar w:fldCharType="end"/>
      </w:r>
      <w:r>
        <w:rPr>
          <w:rFonts w:hint="default" w:ascii="Times New Roman" w:hAnsi="Times New Roman" w:cs="Times New Roman"/>
          <w:color w:val="auto"/>
          <w:szCs w:val="24"/>
          <w:u w:val="none" w:color="auto"/>
        </w:rPr>
        <w:fldChar w:fldCharType="end"/>
      </w:r>
    </w:p>
    <w:p w14:paraId="31E1DED1">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_Toc30138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.3.</w:t>
      </w:r>
      <w:r>
        <w:rPr>
          <w:rFonts w:hint="eastAsia" w:ascii="Times New Roman" w:hAnsi="Times New Roman" w:cs="Times New Roman"/>
          <w:lang w:val="en-US" w:eastAsia="zh-CN"/>
        </w:rPr>
        <w:t>6</w:t>
      </w:r>
      <w:r>
        <w:rPr>
          <w:rFonts w:hint="default" w:ascii="Times New Roman" w:hAnsi="Times New Roman" w:cs="Times New Roman"/>
          <w:lang w:val="en-US" w:eastAsia="zh-CN"/>
        </w:rPr>
        <w:t>应急预案</w:t>
      </w:r>
      <w:r>
        <w:tab/>
      </w:r>
      <w:r>
        <w:fldChar w:fldCharType="begin"/>
      </w:r>
      <w:r>
        <w:instrText xml:space="preserve"> PAGEREF _Toc30138 \h </w:instrText>
      </w:r>
      <w:r>
        <w:fldChar w:fldCharType="separate"/>
      </w:r>
      <w:r>
        <w:t>160</w:t>
      </w:r>
      <w:r>
        <w:fldChar w:fldCharType="end"/>
      </w:r>
      <w:r>
        <w:rPr>
          <w:rFonts w:hint="default" w:ascii="Times New Roman" w:hAnsi="Times New Roman" w:cs="Times New Roman"/>
          <w:color w:val="auto"/>
          <w:szCs w:val="24"/>
          <w:u w:val="none" w:color="auto"/>
        </w:rPr>
        <w:fldChar w:fldCharType="end"/>
      </w:r>
    </w:p>
    <w:p w14:paraId="484A57E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_Toc7500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6</w:t>
      </w:r>
      <w:r>
        <w:rPr>
          <w:rFonts w:hint="default" w:ascii="Times New Roman" w:hAnsi="Times New Roman" w:cs="Times New Roman"/>
          <w:lang w:val="en-US" w:eastAsia="zh-CN"/>
        </w:rPr>
        <w:t>.3.</w:t>
      </w:r>
      <w:r>
        <w:rPr>
          <w:rFonts w:hint="eastAsia" w:ascii="Times New Roman" w:hAnsi="Times New Roman" w:cs="Times New Roman"/>
          <w:lang w:val="en-US" w:eastAsia="zh-CN"/>
        </w:rPr>
        <w:t>7</w:t>
      </w:r>
      <w:r>
        <w:rPr>
          <w:rFonts w:hint="default" w:ascii="Times New Roman" w:hAnsi="Times New Roman" w:cs="Times New Roman"/>
          <w:lang w:val="en-US" w:eastAsia="zh-CN"/>
        </w:rPr>
        <w:t>环境风险评价结论</w:t>
      </w:r>
      <w:r>
        <w:tab/>
      </w:r>
      <w:r>
        <w:fldChar w:fldCharType="begin"/>
      </w:r>
      <w:r>
        <w:instrText xml:space="preserve"> PAGEREF _Toc7500 \h </w:instrText>
      </w:r>
      <w:r>
        <w:fldChar w:fldCharType="separate"/>
      </w:r>
      <w:r>
        <w:t>161</w:t>
      </w:r>
      <w:r>
        <w:fldChar w:fldCharType="end"/>
      </w:r>
      <w:r>
        <w:rPr>
          <w:rFonts w:hint="default" w:ascii="Times New Roman" w:hAnsi="Times New Roman" w:cs="Times New Roman"/>
          <w:color w:val="auto"/>
          <w:szCs w:val="24"/>
          <w:u w:val="none" w:color="auto"/>
        </w:rPr>
        <w:fldChar w:fldCharType="end"/>
      </w:r>
    </w:p>
    <w:p w14:paraId="1AE92FDF">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_Toc19816 </w:instrText>
      </w:r>
      <w:r>
        <w:rPr>
          <w:rFonts w:hint="default" w:ascii="Times New Roman" w:hAnsi="Times New Roman" w:cs="Times New Roman"/>
          <w:szCs w:val="24"/>
        </w:rPr>
        <w:fldChar w:fldCharType="separate"/>
      </w:r>
      <w:r>
        <w:rPr>
          <w:rFonts w:hint="eastAsia"/>
          <w:lang w:val="en-US" w:eastAsia="zh-CN"/>
        </w:rPr>
        <w:t>7</w:t>
      </w:r>
      <w:r>
        <w:rPr>
          <w:rFonts w:hint="default"/>
        </w:rPr>
        <w:t>、环境保护措施及其可行性论证</w:t>
      </w:r>
      <w:r>
        <w:tab/>
      </w:r>
      <w:r>
        <w:fldChar w:fldCharType="begin"/>
      </w:r>
      <w:r>
        <w:instrText xml:space="preserve"> PAGEREF _Toc19816 \h </w:instrText>
      </w:r>
      <w:r>
        <w:fldChar w:fldCharType="separate"/>
      </w:r>
      <w:r>
        <w:t>163</w:t>
      </w:r>
      <w:r>
        <w:fldChar w:fldCharType="end"/>
      </w:r>
      <w:r>
        <w:rPr>
          <w:rFonts w:hint="default" w:ascii="Times New Roman" w:hAnsi="Times New Roman" w:cs="Times New Roman"/>
          <w:color w:val="auto"/>
          <w:szCs w:val="24"/>
          <w:u w:val="none" w:color="auto"/>
        </w:rPr>
        <w:fldChar w:fldCharType="end"/>
      </w:r>
    </w:p>
    <w:p w14:paraId="661790CD">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_Toc27661 </w:instrText>
      </w:r>
      <w:r>
        <w:rPr>
          <w:rFonts w:hint="default" w:ascii="Times New Roman" w:hAnsi="Times New Roman" w:cs="Times New Roman"/>
          <w:szCs w:val="24"/>
        </w:rPr>
        <w:fldChar w:fldCharType="separate"/>
      </w:r>
      <w:r>
        <w:rPr>
          <w:rFonts w:hint="eastAsia"/>
          <w:lang w:val="en-US" w:eastAsia="zh-CN"/>
        </w:rPr>
        <w:t>7</w:t>
      </w:r>
      <w:r>
        <w:rPr>
          <w:rFonts w:hint="default"/>
          <w:lang w:val="en-US" w:eastAsia="zh-CN"/>
        </w:rPr>
        <w:t>.1</w:t>
      </w:r>
      <w:r>
        <w:rPr>
          <w:rFonts w:hint="default"/>
        </w:rPr>
        <w:t>施工期污染防治措施</w:t>
      </w:r>
      <w:r>
        <w:tab/>
      </w:r>
      <w:r>
        <w:fldChar w:fldCharType="begin"/>
      </w:r>
      <w:r>
        <w:instrText xml:space="preserve"> PAGEREF _Toc27661 \h </w:instrText>
      </w:r>
      <w:r>
        <w:fldChar w:fldCharType="separate"/>
      </w:r>
      <w:r>
        <w:t>163</w:t>
      </w:r>
      <w:r>
        <w:fldChar w:fldCharType="end"/>
      </w:r>
      <w:r>
        <w:rPr>
          <w:rFonts w:hint="default" w:ascii="Times New Roman" w:hAnsi="Times New Roman" w:cs="Times New Roman"/>
          <w:color w:val="auto"/>
          <w:szCs w:val="24"/>
          <w:u w:val="none" w:color="auto"/>
        </w:rPr>
        <w:fldChar w:fldCharType="end"/>
      </w:r>
    </w:p>
    <w:p w14:paraId="68A994ED">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_Toc22753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7</w:t>
      </w:r>
      <w:r>
        <w:rPr>
          <w:rFonts w:hint="default" w:ascii="Times New Roman" w:hAnsi="Times New Roman" w:eastAsia="宋体" w:cs="Times New Roman"/>
        </w:rPr>
        <w:t>.1.1废气防治措施</w:t>
      </w:r>
      <w:r>
        <w:tab/>
      </w:r>
      <w:r>
        <w:fldChar w:fldCharType="begin"/>
      </w:r>
      <w:r>
        <w:instrText xml:space="preserve"> PAGEREF _Toc22753 \h </w:instrText>
      </w:r>
      <w:r>
        <w:fldChar w:fldCharType="separate"/>
      </w:r>
      <w:r>
        <w:t>163</w:t>
      </w:r>
      <w:r>
        <w:fldChar w:fldCharType="end"/>
      </w:r>
      <w:r>
        <w:rPr>
          <w:rFonts w:hint="default" w:ascii="Times New Roman" w:hAnsi="Times New Roman" w:cs="Times New Roman"/>
          <w:color w:val="auto"/>
          <w:szCs w:val="24"/>
          <w:u w:val="none" w:color="auto"/>
        </w:rPr>
        <w:fldChar w:fldCharType="end"/>
      </w:r>
    </w:p>
    <w:p w14:paraId="6FDB0E0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_Toc30476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7</w:t>
      </w:r>
      <w:r>
        <w:rPr>
          <w:rFonts w:hint="default" w:ascii="Times New Roman" w:hAnsi="Times New Roman" w:eastAsia="宋体" w:cs="Times New Roman"/>
        </w:rPr>
        <w:t>.1.2废水防治措施</w:t>
      </w:r>
      <w:r>
        <w:tab/>
      </w:r>
      <w:r>
        <w:fldChar w:fldCharType="begin"/>
      </w:r>
      <w:r>
        <w:instrText xml:space="preserve"> PAGEREF _Toc30476 \h </w:instrText>
      </w:r>
      <w:r>
        <w:fldChar w:fldCharType="separate"/>
      </w:r>
      <w:r>
        <w:t>163</w:t>
      </w:r>
      <w:r>
        <w:fldChar w:fldCharType="end"/>
      </w:r>
      <w:r>
        <w:rPr>
          <w:rFonts w:hint="default" w:ascii="Times New Roman" w:hAnsi="Times New Roman" w:cs="Times New Roman"/>
          <w:color w:val="auto"/>
          <w:szCs w:val="24"/>
          <w:u w:val="none" w:color="auto"/>
        </w:rPr>
        <w:fldChar w:fldCharType="end"/>
      </w:r>
    </w:p>
    <w:p w14:paraId="44B0E80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_Toc29126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7</w:t>
      </w:r>
      <w:r>
        <w:rPr>
          <w:rFonts w:hint="default" w:ascii="Times New Roman" w:hAnsi="Times New Roman" w:eastAsia="宋体" w:cs="Times New Roman"/>
        </w:rPr>
        <w:t>.1.3固体废物防治措施</w:t>
      </w:r>
      <w:r>
        <w:tab/>
      </w:r>
      <w:r>
        <w:fldChar w:fldCharType="begin"/>
      </w:r>
      <w:r>
        <w:instrText xml:space="preserve"> PAGEREF _Toc29126 \h </w:instrText>
      </w:r>
      <w:r>
        <w:fldChar w:fldCharType="separate"/>
      </w:r>
      <w:r>
        <w:t>164</w:t>
      </w:r>
      <w:r>
        <w:fldChar w:fldCharType="end"/>
      </w:r>
      <w:r>
        <w:rPr>
          <w:rFonts w:hint="default" w:ascii="Times New Roman" w:hAnsi="Times New Roman" w:cs="Times New Roman"/>
          <w:color w:val="auto"/>
          <w:szCs w:val="24"/>
          <w:u w:val="none" w:color="auto"/>
        </w:rPr>
        <w:fldChar w:fldCharType="end"/>
      </w:r>
    </w:p>
    <w:p w14:paraId="62DB390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_Toc14424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7</w:t>
      </w:r>
      <w:r>
        <w:rPr>
          <w:rFonts w:hint="default" w:ascii="Times New Roman" w:hAnsi="Times New Roman" w:eastAsia="宋体" w:cs="Times New Roman"/>
        </w:rPr>
        <w:t>.1.4噪声污染防治措施</w:t>
      </w:r>
      <w:r>
        <w:tab/>
      </w:r>
      <w:r>
        <w:fldChar w:fldCharType="begin"/>
      </w:r>
      <w:r>
        <w:instrText xml:space="preserve"> PAGEREF _Toc14424 \h </w:instrText>
      </w:r>
      <w:r>
        <w:fldChar w:fldCharType="separate"/>
      </w:r>
      <w:r>
        <w:t>164</w:t>
      </w:r>
      <w:r>
        <w:fldChar w:fldCharType="end"/>
      </w:r>
      <w:r>
        <w:rPr>
          <w:rFonts w:hint="default" w:ascii="Times New Roman" w:hAnsi="Times New Roman" w:cs="Times New Roman"/>
          <w:color w:val="auto"/>
          <w:szCs w:val="24"/>
          <w:u w:val="none" w:color="auto"/>
        </w:rPr>
        <w:fldChar w:fldCharType="end"/>
      </w:r>
    </w:p>
    <w:p w14:paraId="4D7845D3">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_Toc23828 </w:instrText>
      </w:r>
      <w:r>
        <w:rPr>
          <w:rFonts w:hint="default" w:ascii="Times New Roman" w:hAnsi="Times New Roman" w:cs="Times New Roman"/>
          <w:szCs w:val="24"/>
        </w:rPr>
        <w:fldChar w:fldCharType="separate"/>
      </w:r>
      <w:r>
        <w:rPr>
          <w:rFonts w:hint="eastAsia" w:ascii="Times New Roman" w:hAnsi="Times New Roman" w:eastAsia="宋体" w:cs="Times New Roman"/>
          <w:lang w:val="en-US" w:eastAsia="zh-CN"/>
        </w:rPr>
        <w:t>7</w:t>
      </w:r>
      <w:r>
        <w:rPr>
          <w:rFonts w:hint="default" w:ascii="Times New Roman" w:hAnsi="Times New Roman" w:eastAsia="宋体" w:cs="Times New Roman"/>
        </w:rPr>
        <w:t>.1.5施工生态影响缓解措施</w:t>
      </w:r>
      <w:r>
        <w:tab/>
      </w:r>
      <w:r>
        <w:fldChar w:fldCharType="begin"/>
      </w:r>
      <w:r>
        <w:instrText xml:space="preserve"> PAGEREF _Toc23828 \h </w:instrText>
      </w:r>
      <w:r>
        <w:fldChar w:fldCharType="separate"/>
      </w:r>
      <w:r>
        <w:t>165</w:t>
      </w:r>
      <w:r>
        <w:fldChar w:fldCharType="end"/>
      </w:r>
      <w:r>
        <w:rPr>
          <w:rFonts w:hint="default" w:ascii="Times New Roman" w:hAnsi="Times New Roman" w:cs="Times New Roman"/>
          <w:color w:val="auto"/>
          <w:szCs w:val="24"/>
          <w:u w:val="none" w:color="auto"/>
        </w:rPr>
        <w:fldChar w:fldCharType="end"/>
      </w:r>
    </w:p>
    <w:p w14:paraId="13E0F7D7">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_Toc28536 </w:instrText>
      </w:r>
      <w:r>
        <w:rPr>
          <w:rFonts w:hint="default" w:ascii="Times New Roman" w:hAnsi="Times New Roman" w:cs="Times New Roman"/>
          <w:szCs w:val="24"/>
        </w:rPr>
        <w:fldChar w:fldCharType="separate"/>
      </w:r>
      <w:r>
        <w:rPr>
          <w:rFonts w:hint="eastAsia"/>
          <w:lang w:val="en-US" w:eastAsia="zh-CN"/>
        </w:rPr>
        <w:t>7</w:t>
      </w:r>
      <w:r>
        <w:rPr>
          <w:rFonts w:hint="default"/>
          <w:lang w:val="en-US" w:eastAsia="zh-CN"/>
        </w:rPr>
        <w:t>.2</w:t>
      </w:r>
      <w:r>
        <w:rPr>
          <w:rFonts w:hint="default"/>
        </w:rPr>
        <w:t>运营期污染防治措施</w:t>
      </w:r>
      <w:r>
        <w:tab/>
      </w:r>
      <w:r>
        <w:fldChar w:fldCharType="begin"/>
      </w:r>
      <w:r>
        <w:instrText xml:space="preserve"> PAGEREF _Toc28536 \h </w:instrText>
      </w:r>
      <w:r>
        <w:fldChar w:fldCharType="separate"/>
      </w:r>
      <w:r>
        <w:t>165</w:t>
      </w:r>
      <w:r>
        <w:fldChar w:fldCharType="end"/>
      </w:r>
      <w:r>
        <w:rPr>
          <w:rFonts w:hint="default" w:ascii="Times New Roman" w:hAnsi="Times New Roman" w:cs="Times New Roman"/>
          <w:color w:val="auto"/>
          <w:szCs w:val="24"/>
          <w:u w:val="none" w:color="auto"/>
        </w:rPr>
        <w:fldChar w:fldCharType="end"/>
      </w:r>
    </w:p>
    <w:p w14:paraId="7A727EB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_Toc14508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.2</w:t>
      </w:r>
      <w:r>
        <w:rPr>
          <w:rFonts w:hint="default" w:ascii="Times New Roman" w:hAnsi="Times New Roman" w:cs="Times New Roman"/>
        </w:rPr>
        <w:t>.1废气治理措施及达标可行性分析</w:t>
      </w:r>
      <w:r>
        <w:tab/>
      </w:r>
      <w:r>
        <w:fldChar w:fldCharType="begin"/>
      </w:r>
      <w:r>
        <w:instrText xml:space="preserve"> PAGEREF _Toc14508 \h </w:instrText>
      </w:r>
      <w:r>
        <w:fldChar w:fldCharType="separate"/>
      </w:r>
      <w:r>
        <w:t>165</w:t>
      </w:r>
      <w:r>
        <w:fldChar w:fldCharType="end"/>
      </w:r>
      <w:r>
        <w:rPr>
          <w:rFonts w:hint="default" w:ascii="Times New Roman" w:hAnsi="Times New Roman" w:cs="Times New Roman"/>
          <w:color w:val="auto"/>
          <w:szCs w:val="24"/>
          <w:u w:val="none" w:color="auto"/>
        </w:rPr>
        <w:fldChar w:fldCharType="end"/>
      </w:r>
    </w:p>
    <w:p w14:paraId="741F5E8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_Toc5474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.2</w:t>
      </w:r>
      <w:r>
        <w:rPr>
          <w:rFonts w:hint="default" w:ascii="Times New Roman" w:hAnsi="Times New Roman" w:cs="Times New Roman"/>
        </w:rPr>
        <w:t>.2废水治理措施及达标可行性分析</w:t>
      </w:r>
      <w:r>
        <w:tab/>
      </w:r>
      <w:r>
        <w:fldChar w:fldCharType="begin"/>
      </w:r>
      <w:r>
        <w:instrText xml:space="preserve"> PAGEREF _Toc5474 \h </w:instrText>
      </w:r>
      <w:r>
        <w:fldChar w:fldCharType="separate"/>
      </w:r>
      <w:r>
        <w:t>174</w:t>
      </w:r>
      <w:r>
        <w:fldChar w:fldCharType="end"/>
      </w:r>
      <w:r>
        <w:rPr>
          <w:rFonts w:hint="default" w:ascii="Times New Roman" w:hAnsi="Times New Roman" w:cs="Times New Roman"/>
          <w:color w:val="auto"/>
          <w:szCs w:val="24"/>
          <w:u w:val="none" w:color="auto"/>
        </w:rPr>
        <w:fldChar w:fldCharType="end"/>
      </w:r>
    </w:p>
    <w:p w14:paraId="1100D1C8">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_Toc27132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.2</w:t>
      </w:r>
      <w:r>
        <w:rPr>
          <w:rFonts w:hint="default" w:ascii="Times New Roman" w:hAnsi="Times New Roman" w:cs="Times New Roman"/>
        </w:rPr>
        <w:t>.3地下水的环境保护措施可行性分析</w:t>
      </w:r>
      <w:r>
        <w:tab/>
      </w:r>
      <w:r>
        <w:fldChar w:fldCharType="begin"/>
      </w:r>
      <w:r>
        <w:instrText xml:space="preserve"> PAGEREF _Toc27132 \h </w:instrText>
      </w:r>
      <w:r>
        <w:fldChar w:fldCharType="separate"/>
      </w:r>
      <w:r>
        <w:t>175</w:t>
      </w:r>
      <w:r>
        <w:fldChar w:fldCharType="end"/>
      </w:r>
      <w:r>
        <w:rPr>
          <w:rFonts w:hint="default" w:ascii="Times New Roman" w:hAnsi="Times New Roman" w:cs="Times New Roman"/>
          <w:color w:val="auto"/>
          <w:szCs w:val="24"/>
          <w:u w:val="none" w:color="auto"/>
        </w:rPr>
        <w:fldChar w:fldCharType="end"/>
      </w:r>
    </w:p>
    <w:p w14:paraId="37ED78F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_Toc12521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.2</w:t>
      </w:r>
      <w:r>
        <w:rPr>
          <w:rFonts w:hint="default" w:ascii="Times New Roman" w:hAnsi="Times New Roman" w:cs="Times New Roman"/>
        </w:rPr>
        <w:t>.4噪声治理措施及达标可行性分析</w:t>
      </w:r>
      <w:r>
        <w:tab/>
      </w:r>
      <w:r>
        <w:fldChar w:fldCharType="begin"/>
      </w:r>
      <w:r>
        <w:instrText xml:space="preserve"> PAGEREF _Toc12521 \h </w:instrText>
      </w:r>
      <w:r>
        <w:fldChar w:fldCharType="separate"/>
      </w:r>
      <w:r>
        <w:t>179</w:t>
      </w:r>
      <w:r>
        <w:fldChar w:fldCharType="end"/>
      </w:r>
      <w:r>
        <w:rPr>
          <w:rFonts w:hint="default" w:ascii="Times New Roman" w:hAnsi="Times New Roman" w:cs="Times New Roman"/>
          <w:color w:val="auto"/>
          <w:szCs w:val="24"/>
          <w:u w:val="none" w:color="auto"/>
        </w:rPr>
        <w:fldChar w:fldCharType="end"/>
      </w:r>
    </w:p>
    <w:p w14:paraId="3751B31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_Toc16163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.2</w:t>
      </w:r>
      <w:r>
        <w:rPr>
          <w:rFonts w:hint="default" w:ascii="Times New Roman" w:hAnsi="Times New Roman" w:cs="Times New Roman"/>
        </w:rPr>
        <w:t>.5固体废物治理措施及达标可行性分析</w:t>
      </w:r>
      <w:r>
        <w:tab/>
      </w:r>
      <w:r>
        <w:fldChar w:fldCharType="begin"/>
      </w:r>
      <w:r>
        <w:instrText xml:space="preserve"> PAGEREF _Toc16163 \h </w:instrText>
      </w:r>
      <w:r>
        <w:fldChar w:fldCharType="separate"/>
      </w:r>
      <w:r>
        <w:t>180</w:t>
      </w:r>
      <w:r>
        <w:fldChar w:fldCharType="end"/>
      </w:r>
      <w:r>
        <w:rPr>
          <w:rFonts w:hint="default" w:ascii="Times New Roman" w:hAnsi="Times New Roman" w:cs="Times New Roman"/>
          <w:color w:val="auto"/>
          <w:szCs w:val="24"/>
          <w:u w:val="none" w:color="auto"/>
        </w:rPr>
        <w:fldChar w:fldCharType="end"/>
      </w:r>
    </w:p>
    <w:p w14:paraId="66DDAE4C">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_Toc6115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.2</w:t>
      </w:r>
      <w:r>
        <w:rPr>
          <w:rFonts w:hint="default" w:ascii="Times New Roman" w:hAnsi="Times New Roman" w:eastAsia="宋体" w:cs="Times New Roman"/>
          <w:lang w:val="en-US" w:eastAsia="zh-CN"/>
        </w:rPr>
        <w:t>.6土壤防治措施分析</w:t>
      </w:r>
      <w:r>
        <w:tab/>
      </w:r>
      <w:r>
        <w:fldChar w:fldCharType="begin"/>
      </w:r>
      <w:r>
        <w:instrText xml:space="preserve"> PAGEREF _Toc6115 \h </w:instrText>
      </w:r>
      <w:r>
        <w:fldChar w:fldCharType="separate"/>
      </w:r>
      <w:r>
        <w:t>182</w:t>
      </w:r>
      <w:r>
        <w:fldChar w:fldCharType="end"/>
      </w:r>
      <w:r>
        <w:rPr>
          <w:rFonts w:hint="default" w:ascii="Times New Roman" w:hAnsi="Times New Roman" w:cs="Times New Roman"/>
          <w:color w:val="auto"/>
          <w:szCs w:val="24"/>
          <w:u w:val="none" w:color="auto"/>
        </w:rPr>
        <w:fldChar w:fldCharType="end"/>
      </w:r>
    </w:p>
    <w:p w14:paraId="10C85C05">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_Toc15879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7</w:t>
      </w:r>
      <w:r>
        <w:rPr>
          <w:rFonts w:hint="default" w:ascii="Times New Roman" w:hAnsi="Times New Roman" w:cs="Times New Roman"/>
          <w:lang w:val="en-US" w:eastAsia="zh-CN"/>
        </w:rPr>
        <w:t>.2.7</w:t>
      </w:r>
      <w:r>
        <w:rPr>
          <w:rFonts w:hint="default" w:ascii="Times New Roman" w:hAnsi="Times New Roman" w:cs="Times New Roman"/>
          <w:lang w:eastAsia="zh-CN"/>
        </w:rPr>
        <w:t>环保措施及投资估算</w:t>
      </w:r>
      <w:r>
        <w:tab/>
      </w:r>
      <w:r>
        <w:fldChar w:fldCharType="begin"/>
      </w:r>
      <w:r>
        <w:instrText xml:space="preserve"> PAGEREF _Toc15879 \h </w:instrText>
      </w:r>
      <w:r>
        <w:fldChar w:fldCharType="separate"/>
      </w:r>
      <w:r>
        <w:t>182</w:t>
      </w:r>
      <w:r>
        <w:fldChar w:fldCharType="end"/>
      </w:r>
      <w:r>
        <w:rPr>
          <w:rFonts w:hint="default" w:ascii="Times New Roman" w:hAnsi="Times New Roman" w:cs="Times New Roman"/>
          <w:color w:val="auto"/>
          <w:szCs w:val="24"/>
          <w:u w:val="none" w:color="auto"/>
        </w:rPr>
        <w:fldChar w:fldCharType="end"/>
      </w:r>
    </w:p>
    <w:p w14:paraId="4A8C8AB5">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_Toc19042 </w:instrText>
      </w:r>
      <w:r>
        <w:rPr>
          <w:rFonts w:hint="default" w:ascii="Times New Roman" w:hAnsi="Times New Roman" w:cs="Times New Roman"/>
          <w:szCs w:val="24"/>
        </w:rPr>
        <w:fldChar w:fldCharType="separate"/>
      </w:r>
      <w:r>
        <w:rPr>
          <w:rFonts w:hint="eastAsia"/>
          <w:lang w:val="en-US" w:eastAsia="zh-CN"/>
        </w:rPr>
        <w:t>8</w:t>
      </w:r>
      <w:r>
        <w:rPr>
          <w:rFonts w:hint="default"/>
          <w:lang w:val="en-US" w:eastAsia="zh-CN"/>
        </w:rPr>
        <w:t>、</w:t>
      </w:r>
      <w:r>
        <w:rPr>
          <w:rFonts w:hint="default"/>
        </w:rPr>
        <w:t>环境效益分析</w:t>
      </w:r>
      <w:r>
        <w:tab/>
      </w:r>
      <w:r>
        <w:fldChar w:fldCharType="begin"/>
      </w:r>
      <w:r>
        <w:instrText xml:space="preserve"> PAGEREF _Toc19042 \h </w:instrText>
      </w:r>
      <w:r>
        <w:fldChar w:fldCharType="separate"/>
      </w:r>
      <w:r>
        <w:t>184</w:t>
      </w:r>
      <w:r>
        <w:fldChar w:fldCharType="end"/>
      </w:r>
      <w:r>
        <w:rPr>
          <w:rFonts w:hint="default" w:ascii="Times New Roman" w:hAnsi="Times New Roman" w:cs="Times New Roman"/>
          <w:color w:val="auto"/>
          <w:szCs w:val="24"/>
          <w:u w:val="none" w:color="auto"/>
        </w:rPr>
        <w:fldChar w:fldCharType="end"/>
      </w:r>
    </w:p>
    <w:p w14:paraId="6DE6F4B1">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_Toc16551 </w:instrText>
      </w:r>
      <w:r>
        <w:rPr>
          <w:rFonts w:hint="default" w:ascii="Times New Roman" w:hAnsi="Times New Roman" w:cs="Times New Roman"/>
          <w:szCs w:val="24"/>
        </w:rPr>
        <w:fldChar w:fldCharType="separate"/>
      </w:r>
      <w:r>
        <w:rPr>
          <w:rFonts w:hint="eastAsia"/>
          <w:lang w:val="en-US" w:eastAsia="zh-CN"/>
        </w:rPr>
        <w:t>8.1环境效益分析</w:t>
      </w:r>
      <w:r>
        <w:tab/>
      </w:r>
      <w:r>
        <w:fldChar w:fldCharType="begin"/>
      </w:r>
      <w:r>
        <w:instrText xml:space="preserve"> PAGEREF _Toc16551 \h </w:instrText>
      </w:r>
      <w:r>
        <w:fldChar w:fldCharType="separate"/>
      </w:r>
      <w:r>
        <w:t>184</w:t>
      </w:r>
      <w:r>
        <w:fldChar w:fldCharType="end"/>
      </w:r>
      <w:r>
        <w:rPr>
          <w:rFonts w:hint="default" w:ascii="Times New Roman" w:hAnsi="Times New Roman" w:cs="Times New Roman"/>
          <w:color w:val="auto"/>
          <w:szCs w:val="24"/>
          <w:u w:val="none" w:color="auto"/>
        </w:rPr>
        <w:fldChar w:fldCharType="end"/>
      </w:r>
    </w:p>
    <w:p w14:paraId="0D3B3A3B">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_Toc16476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.1.1环境成本</w:t>
      </w:r>
      <w:r>
        <w:tab/>
      </w:r>
      <w:r>
        <w:fldChar w:fldCharType="begin"/>
      </w:r>
      <w:r>
        <w:instrText xml:space="preserve"> PAGEREF _Toc16476 \h </w:instrText>
      </w:r>
      <w:r>
        <w:fldChar w:fldCharType="separate"/>
      </w:r>
      <w:r>
        <w:t>184</w:t>
      </w:r>
      <w:r>
        <w:fldChar w:fldCharType="end"/>
      </w:r>
      <w:r>
        <w:rPr>
          <w:rFonts w:hint="default" w:ascii="Times New Roman" w:hAnsi="Times New Roman" w:cs="Times New Roman"/>
          <w:color w:val="auto"/>
          <w:szCs w:val="24"/>
          <w:u w:val="none" w:color="auto"/>
        </w:rPr>
        <w:fldChar w:fldCharType="end"/>
      </w:r>
    </w:p>
    <w:p w14:paraId="00FE06A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_Toc2491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.1.2环境收益</w:t>
      </w:r>
      <w:r>
        <w:tab/>
      </w:r>
      <w:r>
        <w:fldChar w:fldCharType="begin"/>
      </w:r>
      <w:r>
        <w:instrText xml:space="preserve"> PAGEREF _Toc2491 \h </w:instrText>
      </w:r>
      <w:r>
        <w:fldChar w:fldCharType="separate"/>
      </w:r>
      <w:r>
        <w:t>184</w:t>
      </w:r>
      <w:r>
        <w:fldChar w:fldCharType="end"/>
      </w:r>
      <w:r>
        <w:rPr>
          <w:rFonts w:hint="default" w:ascii="Times New Roman" w:hAnsi="Times New Roman" w:cs="Times New Roman"/>
          <w:color w:val="auto"/>
          <w:szCs w:val="24"/>
          <w:u w:val="none" w:color="auto"/>
        </w:rPr>
        <w:fldChar w:fldCharType="end"/>
      </w:r>
    </w:p>
    <w:p w14:paraId="3F22FC1E">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_Toc29525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8</w:t>
      </w:r>
      <w:r>
        <w:rPr>
          <w:rFonts w:hint="default" w:ascii="Times New Roman" w:hAnsi="Times New Roman" w:cs="Times New Roman"/>
          <w:lang w:val="en-US" w:eastAsia="zh-CN"/>
        </w:rPr>
        <w:t>.1.3经济损益分析</w:t>
      </w:r>
      <w:r>
        <w:tab/>
      </w:r>
      <w:r>
        <w:fldChar w:fldCharType="begin"/>
      </w:r>
      <w:r>
        <w:instrText xml:space="preserve"> PAGEREF _Toc29525 \h </w:instrText>
      </w:r>
      <w:r>
        <w:fldChar w:fldCharType="separate"/>
      </w:r>
      <w:r>
        <w:t>185</w:t>
      </w:r>
      <w:r>
        <w:fldChar w:fldCharType="end"/>
      </w:r>
      <w:r>
        <w:rPr>
          <w:rFonts w:hint="default" w:ascii="Times New Roman" w:hAnsi="Times New Roman" w:cs="Times New Roman"/>
          <w:color w:val="auto"/>
          <w:szCs w:val="24"/>
          <w:u w:val="none" w:color="auto"/>
        </w:rPr>
        <w:fldChar w:fldCharType="end"/>
      </w:r>
    </w:p>
    <w:p w14:paraId="5487AB46">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_Toc18391 </w:instrText>
      </w:r>
      <w:r>
        <w:rPr>
          <w:rFonts w:hint="default" w:ascii="Times New Roman" w:hAnsi="Times New Roman" w:cs="Times New Roman"/>
          <w:szCs w:val="24"/>
        </w:rPr>
        <w:fldChar w:fldCharType="separate"/>
      </w:r>
      <w:r>
        <w:rPr>
          <w:rFonts w:hint="eastAsia"/>
          <w:lang w:val="en-US" w:eastAsia="zh-CN"/>
        </w:rPr>
        <w:t>8</w:t>
      </w:r>
      <w:r>
        <w:rPr>
          <w:rFonts w:hint="default"/>
        </w:rPr>
        <w:t>.</w:t>
      </w:r>
      <w:r>
        <w:rPr>
          <w:rFonts w:hint="default"/>
          <w:lang w:val="en-US" w:eastAsia="zh-CN"/>
        </w:rPr>
        <w:t>2</w:t>
      </w:r>
      <w:r>
        <w:rPr>
          <w:rFonts w:hint="default"/>
        </w:rPr>
        <w:t>社会效益分析</w:t>
      </w:r>
      <w:r>
        <w:tab/>
      </w:r>
      <w:r>
        <w:fldChar w:fldCharType="begin"/>
      </w:r>
      <w:r>
        <w:instrText xml:space="preserve"> PAGEREF _Toc18391 \h </w:instrText>
      </w:r>
      <w:r>
        <w:fldChar w:fldCharType="separate"/>
      </w:r>
      <w:r>
        <w:t>186</w:t>
      </w:r>
      <w:r>
        <w:fldChar w:fldCharType="end"/>
      </w:r>
      <w:r>
        <w:rPr>
          <w:rFonts w:hint="default" w:ascii="Times New Roman" w:hAnsi="Times New Roman" w:cs="Times New Roman"/>
          <w:color w:val="auto"/>
          <w:szCs w:val="24"/>
          <w:u w:val="none" w:color="auto"/>
        </w:rPr>
        <w:fldChar w:fldCharType="end"/>
      </w:r>
    </w:p>
    <w:p w14:paraId="685D7937">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_Toc12052 </w:instrText>
      </w:r>
      <w:r>
        <w:rPr>
          <w:rFonts w:hint="default" w:ascii="Times New Roman" w:hAnsi="Times New Roman" w:cs="Times New Roman"/>
          <w:szCs w:val="24"/>
        </w:rPr>
        <w:fldChar w:fldCharType="separate"/>
      </w:r>
      <w:r>
        <w:rPr>
          <w:rFonts w:hint="eastAsia"/>
          <w:lang w:val="en-US" w:eastAsia="zh-CN"/>
        </w:rPr>
        <w:t>8</w:t>
      </w:r>
      <w:r>
        <w:rPr>
          <w:rFonts w:hint="default"/>
        </w:rPr>
        <w:t>.</w:t>
      </w:r>
      <w:r>
        <w:rPr>
          <w:rFonts w:hint="default"/>
          <w:lang w:val="en-US" w:eastAsia="zh-CN"/>
        </w:rPr>
        <w:t>3</w:t>
      </w:r>
      <w:r>
        <w:rPr>
          <w:rFonts w:hint="default"/>
        </w:rPr>
        <w:t>综合分析</w:t>
      </w:r>
      <w:r>
        <w:tab/>
      </w:r>
      <w:r>
        <w:fldChar w:fldCharType="begin"/>
      </w:r>
      <w:r>
        <w:instrText xml:space="preserve"> PAGEREF _Toc12052 \h </w:instrText>
      </w:r>
      <w:r>
        <w:fldChar w:fldCharType="separate"/>
      </w:r>
      <w:r>
        <w:t>186</w:t>
      </w:r>
      <w:r>
        <w:fldChar w:fldCharType="end"/>
      </w:r>
      <w:r>
        <w:rPr>
          <w:rFonts w:hint="default" w:ascii="Times New Roman" w:hAnsi="Times New Roman" w:cs="Times New Roman"/>
          <w:color w:val="auto"/>
          <w:szCs w:val="24"/>
          <w:u w:val="none" w:color="auto"/>
        </w:rPr>
        <w:fldChar w:fldCharType="end"/>
      </w:r>
    </w:p>
    <w:p w14:paraId="11DC07E1">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_Toc16639 </w:instrText>
      </w:r>
      <w:r>
        <w:rPr>
          <w:rFonts w:hint="default" w:ascii="Times New Roman" w:hAnsi="Times New Roman" w:cs="Times New Roman"/>
          <w:szCs w:val="24"/>
        </w:rPr>
        <w:fldChar w:fldCharType="separate"/>
      </w:r>
      <w:r>
        <w:rPr>
          <w:rFonts w:hint="eastAsia" w:ascii="Times New Roman" w:hAnsi="Times New Roman" w:eastAsia="宋体" w:cs="Times New Roman"/>
          <w:szCs w:val="36"/>
          <w:lang w:val="en-US" w:eastAsia="zh-CN"/>
        </w:rPr>
        <w:t>9</w:t>
      </w:r>
      <w:r>
        <w:rPr>
          <w:rFonts w:hint="default"/>
        </w:rPr>
        <w:t>、环境管理与监测</w:t>
      </w:r>
      <w:r>
        <w:rPr>
          <w:rFonts w:hint="default"/>
          <w:lang w:eastAsia="zh-CN"/>
        </w:rPr>
        <w:t>计划</w:t>
      </w:r>
      <w:r>
        <w:tab/>
      </w:r>
      <w:r>
        <w:fldChar w:fldCharType="begin"/>
      </w:r>
      <w:r>
        <w:instrText xml:space="preserve"> PAGEREF _Toc16639 \h </w:instrText>
      </w:r>
      <w:r>
        <w:fldChar w:fldCharType="separate"/>
      </w:r>
      <w:r>
        <w:t>187</w:t>
      </w:r>
      <w:r>
        <w:fldChar w:fldCharType="end"/>
      </w:r>
      <w:r>
        <w:rPr>
          <w:rFonts w:hint="default" w:ascii="Times New Roman" w:hAnsi="Times New Roman" w:cs="Times New Roman"/>
          <w:color w:val="auto"/>
          <w:szCs w:val="24"/>
          <w:u w:val="none" w:color="auto"/>
        </w:rPr>
        <w:fldChar w:fldCharType="end"/>
      </w:r>
    </w:p>
    <w:p w14:paraId="7053E8C5">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_Toc4745 </w:instrText>
      </w:r>
      <w:r>
        <w:rPr>
          <w:rFonts w:hint="default" w:ascii="Times New Roman" w:hAnsi="Times New Roman" w:cs="Times New Roman"/>
          <w:szCs w:val="24"/>
        </w:rPr>
        <w:fldChar w:fldCharType="separate"/>
      </w:r>
      <w:r>
        <w:rPr>
          <w:rFonts w:hint="eastAsia"/>
          <w:lang w:val="en-US" w:eastAsia="zh-CN"/>
        </w:rPr>
        <w:t>9</w:t>
      </w:r>
      <w:r>
        <w:rPr>
          <w:rFonts w:hint="default"/>
        </w:rPr>
        <w:t>.1环境管理</w:t>
      </w:r>
      <w:r>
        <w:tab/>
      </w:r>
      <w:r>
        <w:fldChar w:fldCharType="begin"/>
      </w:r>
      <w:r>
        <w:instrText xml:space="preserve"> PAGEREF _Toc4745 \h </w:instrText>
      </w:r>
      <w:r>
        <w:fldChar w:fldCharType="separate"/>
      </w:r>
      <w:r>
        <w:t>187</w:t>
      </w:r>
      <w:r>
        <w:fldChar w:fldCharType="end"/>
      </w:r>
      <w:r>
        <w:rPr>
          <w:rFonts w:hint="default" w:ascii="Times New Roman" w:hAnsi="Times New Roman" w:cs="Times New Roman"/>
          <w:color w:val="auto"/>
          <w:szCs w:val="24"/>
          <w:u w:val="none" w:color="auto"/>
        </w:rPr>
        <w:fldChar w:fldCharType="end"/>
      </w:r>
    </w:p>
    <w:p w14:paraId="2615BC26">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_Toc11642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9</w:t>
      </w:r>
      <w:r>
        <w:rPr>
          <w:rFonts w:hint="default" w:ascii="Times New Roman" w:hAnsi="Times New Roman" w:cs="Times New Roman"/>
          <w:lang w:val="en-US" w:eastAsia="zh-CN"/>
        </w:rPr>
        <w:t>.1.1环境保护管理目标</w:t>
      </w:r>
      <w:r>
        <w:tab/>
      </w:r>
      <w:r>
        <w:fldChar w:fldCharType="begin"/>
      </w:r>
      <w:r>
        <w:instrText xml:space="preserve"> PAGEREF _Toc11642 \h </w:instrText>
      </w:r>
      <w:r>
        <w:fldChar w:fldCharType="separate"/>
      </w:r>
      <w:r>
        <w:t>187</w:t>
      </w:r>
      <w:r>
        <w:fldChar w:fldCharType="end"/>
      </w:r>
      <w:r>
        <w:rPr>
          <w:rFonts w:hint="default" w:ascii="Times New Roman" w:hAnsi="Times New Roman" w:cs="Times New Roman"/>
          <w:color w:val="auto"/>
          <w:szCs w:val="24"/>
          <w:u w:val="none" w:color="auto"/>
        </w:rPr>
        <w:fldChar w:fldCharType="end"/>
      </w:r>
    </w:p>
    <w:p w14:paraId="59B98C50">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_Toc32167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9</w:t>
      </w:r>
      <w:r>
        <w:rPr>
          <w:rFonts w:hint="default" w:ascii="Times New Roman" w:hAnsi="Times New Roman" w:cs="Times New Roman"/>
          <w:lang w:val="en-US" w:eastAsia="zh-CN"/>
        </w:rPr>
        <w:t>.1.2环境管理机构设置</w:t>
      </w:r>
      <w:r>
        <w:tab/>
      </w:r>
      <w:r>
        <w:fldChar w:fldCharType="begin"/>
      </w:r>
      <w:r>
        <w:instrText xml:space="preserve"> PAGEREF _Toc32167 \h </w:instrText>
      </w:r>
      <w:r>
        <w:fldChar w:fldCharType="separate"/>
      </w:r>
      <w:r>
        <w:t>187</w:t>
      </w:r>
      <w:r>
        <w:fldChar w:fldCharType="end"/>
      </w:r>
      <w:r>
        <w:rPr>
          <w:rFonts w:hint="default" w:ascii="Times New Roman" w:hAnsi="Times New Roman" w:cs="Times New Roman"/>
          <w:color w:val="auto"/>
          <w:szCs w:val="24"/>
          <w:u w:val="none" w:color="auto"/>
        </w:rPr>
        <w:fldChar w:fldCharType="end"/>
      </w:r>
    </w:p>
    <w:p w14:paraId="5206EB3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_Toc31506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9</w:t>
      </w:r>
      <w:r>
        <w:rPr>
          <w:rFonts w:hint="default" w:ascii="Times New Roman" w:hAnsi="Times New Roman" w:cs="Times New Roman"/>
          <w:lang w:val="en-US" w:eastAsia="zh-CN"/>
        </w:rPr>
        <w:t>.1.3环境管理机构的职责</w:t>
      </w:r>
      <w:r>
        <w:tab/>
      </w:r>
      <w:r>
        <w:fldChar w:fldCharType="begin"/>
      </w:r>
      <w:r>
        <w:instrText xml:space="preserve"> PAGEREF _Toc31506 \h </w:instrText>
      </w:r>
      <w:r>
        <w:fldChar w:fldCharType="separate"/>
      </w:r>
      <w:r>
        <w:t>187</w:t>
      </w:r>
      <w:r>
        <w:fldChar w:fldCharType="end"/>
      </w:r>
      <w:r>
        <w:rPr>
          <w:rFonts w:hint="default" w:ascii="Times New Roman" w:hAnsi="Times New Roman" w:cs="Times New Roman"/>
          <w:color w:val="auto"/>
          <w:szCs w:val="24"/>
          <w:u w:val="none" w:color="auto"/>
        </w:rPr>
        <w:fldChar w:fldCharType="end"/>
      </w:r>
    </w:p>
    <w:p w14:paraId="55F306A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_Toc1580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9</w:t>
      </w:r>
      <w:r>
        <w:rPr>
          <w:rFonts w:hint="default" w:ascii="Times New Roman" w:hAnsi="Times New Roman" w:cs="Times New Roman"/>
          <w:lang w:val="en-US" w:eastAsia="zh-CN"/>
        </w:rPr>
        <w:t>.1.4环境管理规章制度</w:t>
      </w:r>
      <w:r>
        <w:tab/>
      </w:r>
      <w:r>
        <w:fldChar w:fldCharType="begin"/>
      </w:r>
      <w:r>
        <w:instrText xml:space="preserve"> PAGEREF _Toc1580 \h </w:instrText>
      </w:r>
      <w:r>
        <w:fldChar w:fldCharType="separate"/>
      </w:r>
      <w:r>
        <w:t>188</w:t>
      </w:r>
      <w:r>
        <w:fldChar w:fldCharType="end"/>
      </w:r>
      <w:r>
        <w:rPr>
          <w:rFonts w:hint="default" w:ascii="Times New Roman" w:hAnsi="Times New Roman" w:cs="Times New Roman"/>
          <w:color w:val="auto"/>
          <w:szCs w:val="24"/>
          <w:u w:val="none" w:color="auto"/>
        </w:rPr>
        <w:fldChar w:fldCharType="end"/>
      </w:r>
    </w:p>
    <w:p w14:paraId="56828189">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_Toc30628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9</w:t>
      </w:r>
      <w:r>
        <w:rPr>
          <w:rFonts w:hint="default" w:ascii="Times New Roman" w:hAnsi="Times New Roman" w:cs="Times New Roman"/>
          <w:lang w:val="en-US" w:eastAsia="zh-CN"/>
        </w:rPr>
        <w:t>.1.5环境管理计划</w:t>
      </w:r>
      <w:r>
        <w:tab/>
      </w:r>
      <w:r>
        <w:fldChar w:fldCharType="begin"/>
      </w:r>
      <w:r>
        <w:instrText xml:space="preserve"> PAGEREF _Toc30628 \h </w:instrText>
      </w:r>
      <w:r>
        <w:fldChar w:fldCharType="separate"/>
      </w:r>
      <w:r>
        <w:t>189</w:t>
      </w:r>
      <w:r>
        <w:fldChar w:fldCharType="end"/>
      </w:r>
      <w:r>
        <w:rPr>
          <w:rFonts w:hint="default" w:ascii="Times New Roman" w:hAnsi="Times New Roman" w:cs="Times New Roman"/>
          <w:color w:val="auto"/>
          <w:szCs w:val="24"/>
          <w:u w:val="none" w:color="auto"/>
        </w:rPr>
        <w:fldChar w:fldCharType="end"/>
      </w:r>
    </w:p>
    <w:p w14:paraId="188DD2EF">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_Toc25495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9</w:t>
      </w:r>
      <w:r>
        <w:rPr>
          <w:rFonts w:hint="default" w:ascii="Times New Roman" w:hAnsi="Times New Roman" w:cs="Times New Roman"/>
          <w:lang w:val="en-US" w:eastAsia="zh-CN"/>
        </w:rPr>
        <w:t>.1.6</w:t>
      </w:r>
      <w:r>
        <w:rPr>
          <w:rFonts w:hint="default" w:ascii="Times New Roman" w:hAnsi="Times New Roman" w:cs="Times New Roman"/>
        </w:rPr>
        <w:t>排污口管理</w:t>
      </w:r>
      <w:r>
        <w:tab/>
      </w:r>
      <w:r>
        <w:fldChar w:fldCharType="begin"/>
      </w:r>
      <w:r>
        <w:instrText xml:space="preserve"> PAGEREF _Toc25495 \h </w:instrText>
      </w:r>
      <w:r>
        <w:fldChar w:fldCharType="separate"/>
      </w:r>
      <w:r>
        <w:t>190</w:t>
      </w:r>
      <w:r>
        <w:fldChar w:fldCharType="end"/>
      </w:r>
      <w:r>
        <w:rPr>
          <w:rFonts w:hint="default" w:ascii="Times New Roman" w:hAnsi="Times New Roman" w:cs="Times New Roman"/>
          <w:color w:val="auto"/>
          <w:szCs w:val="24"/>
          <w:u w:val="none" w:color="auto"/>
        </w:rPr>
        <w:fldChar w:fldCharType="end"/>
      </w:r>
    </w:p>
    <w:p w14:paraId="345B60F1">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_Toc24680 </w:instrText>
      </w:r>
      <w:r>
        <w:rPr>
          <w:rFonts w:hint="default" w:ascii="Times New Roman" w:hAnsi="Times New Roman" w:cs="Times New Roman"/>
          <w:szCs w:val="24"/>
        </w:rPr>
        <w:fldChar w:fldCharType="separate"/>
      </w:r>
      <w:r>
        <w:rPr>
          <w:rFonts w:hint="eastAsia"/>
          <w:lang w:val="en-US" w:eastAsia="zh-CN"/>
        </w:rPr>
        <w:t>9</w:t>
      </w:r>
      <w:r>
        <w:rPr>
          <w:rFonts w:hint="default"/>
        </w:rPr>
        <w:t>.2环境监</w:t>
      </w:r>
      <w:r>
        <w:rPr>
          <w:rFonts w:hint="default"/>
          <w:lang w:eastAsia="zh-CN"/>
        </w:rPr>
        <w:t>测</w:t>
      </w:r>
      <w:r>
        <w:rPr>
          <w:rFonts w:hint="default"/>
        </w:rPr>
        <w:t>计划</w:t>
      </w:r>
      <w:r>
        <w:tab/>
      </w:r>
      <w:r>
        <w:fldChar w:fldCharType="begin"/>
      </w:r>
      <w:r>
        <w:instrText xml:space="preserve"> PAGEREF _Toc24680 \h </w:instrText>
      </w:r>
      <w:r>
        <w:fldChar w:fldCharType="separate"/>
      </w:r>
      <w:r>
        <w:t>193</w:t>
      </w:r>
      <w:r>
        <w:fldChar w:fldCharType="end"/>
      </w:r>
      <w:r>
        <w:rPr>
          <w:rFonts w:hint="default" w:ascii="Times New Roman" w:hAnsi="Times New Roman" w:cs="Times New Roman"/>
          <w:color w:val="auto"/>
          <w:szCs w:val="24"/>
          <w:u w:val="none" w:color="auto"/>
        </w:rPr>
        <w:fldChar w:fldCharType="end"/>
      </w:r>
    </w:p>
    <w:p w14:paraId="6C7F144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_Toc9069 </w:instrText>
      </w:r>
      <w:r>
        <w:rPr>
          <w:rFonts w:hint="default" w:ascii="Times New Roman" w:hAnsi="Times New Roman" w:cs="Times New Roman"/>
          <w:szCs w:val="24"/>
        </w:rPr>
        <w:fldChar w:fldCharType="separate"/>
      </w:r>
      <w:r>
        <w:rPr>
          <w:rFonts w:hint="eastAsia"/>
          <w:lang w:val="en-US" w:eastAsia="zh-CN"/>
        </w:rPr>
        <w:t>9</w:t>
      </w:r>
      <w:r>
        <w:rPr>
          <w:rFonts w:hint="default"/>
        </w:rPr>
        <w:t>.</w:t>
      </w:r>
      <w:r>
        <w:rPr>
          <w:rFonts w:hint="default"/>
          <w:lang w:val="en-US" w:eastAsia="zh-CN"/>
        </w:rPr>
        <w:t>3</w:t>
      </w:r>
      <w:r>
        <w:rPr>
          <w:rFonts w:hint="eastAsia"/>
          <w:lang w:val="en-US" w:eastAsia="zh-CN"/>
        </w:rPr>
        <w:t>污染物排放清单</w:t>
      </w:r>
      <w:r>
        <w:tab/>
      </w:r>
      <w:r>
        <w:fldChar w:fldCharType="begin"/>
      </w:r>
      <w:r>
        <w:instrText xml:space="preserve"> PAGEREF _Toc9069 \h </w:instrText>
      </w:r>
      <w:r>
        <w:fldChar w:fldCharType="separate"/>
      </w:r>
      <w:r>
        <w:t>194</w:t>
      </w:r>
      <w:r>
        <w:fldChar w:fldCharType="end"/>
      </w:r>
      <w:r>
        <w:rPr>
          <w:rFonts w:hint="default" w:ascii="Times New Roman" w:hAnsi="Times New Roman" w:cs="Times New Roman"/>
          <w:color w:val="auto"/>
          <w:szCs w:val="24"/>
          <w:u w:val="none" w:color="auto"/>
        </w:rPr>
        <w:fldChar w:fldCharType="end"/>
      </w:r>
    </w:p>
    <w:p w14:paraId="09907BCB">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_Toc31654 </w:instrText>
      </w:r>
      <w:r>
        <w:rPr>
          <w:rFonts w:hint="default" w:ascii="Times New Roman" w:hAnsi="Times New Roman" w:cs="Times New Roman"/>
          <w:szCs w:val="24"/>
        </w:rPr>
        <w:fldChar w:fldCharType="separate"/>
      </w:r>
      <w:r>
        <w:rPr>
          <w:rFonts w:hint="eastAsia"/>
          <w:lang w:val="en-US" w:eastAsia="zh-CN"/>
        </w:rPr>
        <w:t>9</w:t>
      </w:r>
      <w:r>
        <w:rPr>
          <w:rFonts w:hint="default"/>
        </w:rPr>
        <w:t>.</w:t>
      </w:r>
      <w:r>
        <w:rPr>
          <w:rFonts w:hint="eastAsia"/>
          <w:lang w:val="en-US" w:eastAsia="zh-CN"/>
        </w:rPr>
        <w:t>4</w:t>
      </w:r>
      <w:r>
        <w:rPr>
          <w:rFonts w:hint="default"/>
        </w:rPr>
        <w:t>环保设施竣工验收</w:t>
      </w:r>
      <w:r>
        <w:tab/>
      </w:r>
      <w:r>
        <w:fldChar w:fldCharType="begin"/>
      </w:r>
      <w:r>
        <w:instrText xml:space="preserve"> PAGEREF _Toc31654 \h </w:instrText>
      </w:r>
      <w:r>
        <w:fldChar w:fldCharType="separate"/>
      </w:r>
      <w:r>
        <w:t>197</w:t>
      </w:r>
      <w:r>
        <w:fldChar w:fldCharType="end"/>
      </w:r>
      <w:r>
        <w:rPr>
          <w:rFonts w:hint="default" w:ascii="Times New Roman" w:hAnsi="Times New Roman" w:cs="Times New Roman"/>
          <w:color w:val="auto"/>
          <w:szCs w:val="24"/>
          <w:u w:val="none" w:color="auto"/>
        </w:rPr>
        <w:fldChar w:fldCharType="end"/>
      </w:r>
    </w:p>
    <w:p w14:paraId="7924F215">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_Toc26128 </w:instrText>
      </w:r>
      <w:r>
        <w:rPr>
          <w:rFonts w:hint="default" w:ascii="Times New Roman" w:hAnsi="Times New Roman" w:cs="Times New Roman"/>
          <w:szCs w:val="24"/>
        </w:rPr>
        <w:fldChar w:fldCharType="separate"/>
      </w:r>
      <w:r>
        <w:rPr>
          <w:rFonts w:hint="eastAsia"/>
          <w:lang w:val="en-US" w:eastAsia="zh-CN"/>
        </w:rPr>
        <w:t>9</w:t>
      </w:r>
      <w:r>
        <w:rPr>
          <w:rFonts w:hint="default"/>
          <w:lang w:val="en-US" w:eastAsia="zh-CN"/>
        </w:rPr>
        <w:t>.</w:t>
      </w:r>
      <w:r>
        <w:rPr>
          <w:rFonts w:hint="eastAsia"/>
          <w:lang w:val="en-US" w:eastAsia="zh-CN"/>
        </w:rPr>
        <w:t>5</w:t>
      </w:r>
      <w:r>
        <w:rPr>
          <w:rFonts w:hint="default"/>
        </w:rPr>
        <w:t>总量控制</w:t>
      </w:r>
      <w:r>
        <w:tab/>
      </w:r>
      <w:r>
        <w:fldChar w:fldCharType="begin"/>
      </w:r>
      <w:r>
        <w:instrText xml:space="preserve"> PAGEREF _Toc26128 \h </w:instrText>
      </w:r>
      <w:r>
        <w:fldChar w:fldCharType="separate"/>
      </w:r>
      <w:r>
        <w:t>198</w:t>
      </w:r>
      <w:r>
        <w:fldChar w:fldCharType="end"/>
      </w:r>
      <w:r>
        <w:rPr>
          <w:rFonts w:hint="default" w:ascii="Times New Roman" w:hAnsi="Times New Roman" w:cs="Times New Roman"/>
          <w:color w:val="auto"/>
          <w:szCs w:val="24"/>
          <w:u w:val="none" w:color="auto"/>
        </w:rPr>
        <w:fldChar w:fldCharType="end"/>
      </w:r>
    </w:p>
    <w:p w14:paraId="38F122D7">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_Toc2241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9</w:t>
      </w:r>
      <w:r>
        <w:rPr>
          <w:rFonts w:hint="default" w:ascii="Times New Roman" w:hAnsi="Times New Roman" w:cs="Times New Roman"/>
          <w:lang w:val="en-US" w:eastAsia="zh-CN"/>
        </w:rPr>
        <w:t>.</w:t>
      </w:r>
      <w:r>
        <w:rPr>
          <w:rFonts w:hint="eastAsia" w:ascii="Times New Roman" w:hAnsi="Times New Roman" w:cs="Times New Roman"/>
          <w:lang w:val="en-US" w:eastAsia="zh-CN"/>
        </w:rPr>
        <w:t>5</w:t>
      </w:r>
      <w:r>
        <w:rPr>
          <w:rFonts w:hint="default" w:ascii="Times New Roman" w:hAnsi="Times New Roman" w:cs="Times New Roman"/>
          <w:lang w:val="en-US" w:eastAsia="zh-CN"/>
        </w:rPr>
        <w:t>.1</w:t>
      </w:r>
      <w:r>
        <w:rPr>
          <w:rFonts w:hint="default" w:ascii="Times New Roman" w:hAnsi="Times New Roman" w:cs="Times New Roman"/>
        </w:rPr>
        <w:t>总量控制指标的确定</w:t>
      </w:r>
      <w:r>
        <w:tab/>
      </w:r>
      <w:r>
        <w:fldChar w:fldCharType="begin"/>
      </w:r>
      <w:r>
        <w:instrText xml:space="preserve"> PAGEREF _Toc2241 \h </w:instrText>
      </w:r>
      <w:r>
        <w:fldChar w:fldCharType="separate"/>
      </w:r>
      <w:r>
        <w:t>198</w:t>
      </w:r>
      <w:r>
        <w:fldChar w:fldCharType="end"/>
      </w:r>
      <w:r>
        <w:rPr>
          <w:rFonts w:hint="default" w:ascii="Times New Roman" w:hAnsi="Times New Roman" w:cs="Times New Roman"/>
          <w:color w:val="auto"/>
          <w:szCs w:val="24"/>
          <w:u w:val="none" w:color="auto"/>
        </w:rPr>
        <w:fldChar w:fldCharType="end"/>
      </w:r>
    </w:p>
    <w:p w14:paraId="4A7AE992">
      <w:pPr>
        <w:pStyle w:val="11"/>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_Toc2380 </w:instrText>
      </w:r>
      <w:r>
        <w:rPr>
          <w:rFonts w:hint="default" w:ascii="Times New Roman" w:hAnsi="Times New Roman" w:cs="Times New Roman"/>
          <w:szCs w:val="24"/>
        </w:rPr>
        <w:fldChar w:fldCharType="separate"/>
      </w:r>
      <w:r>
        <w:rPr>
          <w:rFonts w:hint="eastAsia" w:ascii="Times New Roman" w:hAnsi="Times New Roman" w:cs="Times New Roman"/>
          <w:lang w:val="en-US" w:eastAsia="zh-CN"/>
        </w:rPr>
        <w:t>9</w:t>
      </w:r>
      <w:r>
        <w:rPr>
          <w:rFonts w:hint="default" w:ascii="Times New Roman" w:hAnsi="Times New Roman" w:cs="Times New Roman"/>
          <w:lang w:val="en-US" w:eastAsia="zh-CN"/>
        </w:rPr>
        <w:t>.</w:t>
      </w:r>
      <w:r>
        <w:rPr>
          <w:rFonts w:hint="eastAsia" w:ascii="Times New Roman" w:hAnsi="Times New Roman" w:cs="Times New Roman"/>
          <w:lang w:val="en-US" w:eastAsia="zh-CN"/>
        </w:rPr>
        <w:t>5</w:t>
      </w:r>
      <w:r>
        <w:rPr>
          <w:rFonts w:hint="default" w:ascii="Times New Roman" w:hAnsi="Times New Roman" w:cs="Times New Roman"/>
          <w:lang w:val="en-US" w:eastAsia="zh-CN"/>
        </w:rPr>
        <w:t>.2总量控制因子筛选</w:t>
      </w:r>
      <w:r>
        <w:tab/>
      </w:r>
      <w:r>
        <w:fldChar w:fldCharType="begin"/>
      </w:r>
      <w:r>
        <w:instrText xml:space="preserve"> PAGEREF _Toc2380 \h </w:instrText>
      </w:r>
      <w:r>
        <w:fldChar w:fldCharType="separate"/>
      </w:r>
      <w:r>
        <w:t>198</w:t>
      </w:r>
      <w:r>
        <w:fldChar w:fldCharType="end"/>
      </w:r>
      <w:r>
        <w:rPr>
          <w:rFonts w:hint="default" w:ascii="Times New Roman" w:hAnsi="Times New Roman" w:cs="Times New Roman"/>
          <w:color w:val="auto"/>
          <w:szCs w:val="24"/>
          <w:u w:val="none" w:color="auto"/>
        </w:rPr>
        <w:fldChar w:fldCharType="end"/>
      </w:r>
    </w:p>
    <w:p w14:paraId="575FF5BF">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_Toc25219 </w:instrText>
      </w:r>
      <w:r>
        <w:rPr>
          <w:rFonts w:hint="default" w:ascii="Times New Roman" w:hAnsi="Times New Roman" w:cs="Times New Roman"/>
          <w:szCs w:val="24"/>
        </w:rPr>
        <w:fldChar w:fldCharType="separate"/>
      </w:r>
      <w:r>
        <w:rPr>
          <w:rFonts w:hint="eastAsia"/>
          <w:lang w:val="en-US" w:eastAsia="zh-CN"/>
        </w:rPr>
        <w:t>10</w:t>
      </w:r>
      <w:r>
        <w:rPr>
          <w:rFonts w:hint="default"/>
        </w:rPr>
        <w:t>、结论</w:t>
      </w:r>
      <w:r>
        <w:rPr>
          <w:rFonts w:hint="eastAsia"/>
          <w:lang w:val="en-US" w:eastAsia="zh-CN"/>
        </w:rPr>
        <w:t>及建议</w:t>
      </w:r>
      <w:r>
        <w:tab/>
      </w:r>
      <w:r>
        <w:fldChar w:fldCharType="begin"/>
      </w:r>
      <w:r>
        <w:instrText xml:space="preserve"> PAGEREF _Toc25219 \h </w:instrText>
      </w:r>
      <w:r>
        <w:fldChar w:fldCharType="separate"/>
      </w:r>
      <w:r>
        <w:t>200</w:t>
      </w:r>
      <w:r>
        <w:fldChar w:fldCharType="end"/>
      </w:r>
      <w:r>
        <w:rPr>
          <w:rFonts w:hint="default" w:ascii="Times New Roman" w:hAnsi="Times New Roman" w:cs="Times New Roman"/>
          <w:color w:val="auto"/>
          <w:szCs w:val="24"/>
          <w:u w:val="none" w:color="auto"/>
        </w:rPr>
        <w:fldChar w:fldCharType="end"/>
      </w:r>
    </w:p>
    <w:p w14:paraId="66E2961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_Toc18503 </w:instrText>
      </w:r>
      <w:r>
        <w:rPr>
          <w:rFonts w:hint="default" w:ascii="Times New Roman" w:hAnsi="Times New Roman" w:cs="Times New Roman"/>
          <w:szCs w:val="24"/>
        </w:rPr>
        <w:fldChar w:fldCharType="separate"/>
      </w:r>
      <w:r>
        <w:rPr>
          <w:rFonts w:hint="eastAsia"/>
          <w:lang w:val="en-US" w:eastAsia="zh-CN"/>
        </w:rPr>
        <w:t>10</w:t>
      </w:r>
      <w:r>
        <w:rPr>
          <w:rFonts w:hint="default"/>
        </w:rPr>
        <w:t>.1项目概况</w:t>
      </w:r>
      <w:r>
        <w:tab/>
      </w:r>
      <w:r>
        <w:fldChar w:fldCharType="begin"/>
      </w:r>
      <w:r>
        <w:instrText xml:space="preserve"> PAGEREF _Toc18503 \h </w:instrText>
      </w:r>
      <w:r>
        <w:fldChar w:fldCharType="separate"/>
      </w:r>
      <w:r>
        <w:t>200</w:t>
      </w:r>
      <w:r>
        <w:fldChar w:fldCharType="end"/>
      </w:r>
      <w:r>
        <w:rPr>
          <w:rFonts w:hint="default" w:ascii="Times New Roman" w:hAnsi="Times New Roman" w:cs="Times New Roman"/>
          <w:color w:val="auto"/>
          <w:szCs w:val="24"/>
          <w:u w:val="none" w:color="auto"/>
        </w:rPr>
        <w:fldChar w:fldCharType="end"/>
      </w:r>
    </w:p>
    <w:p w14:paraId="72AB2680">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_Toc31984 </w:instrText>
      </w:r>
      <w:r>
        <w:rPr>
          <w:rFonts w:hint="default" w:ascii="Times New Roman" w:hAnsi="Times New Roman" w:cs="Times New Roman"/>
          <w:szCs w:val="24"/>
        </w:rPr>
        <w:fldChar w:fldCharType="separate"/>
      </w:r>
      <w:r>
        <w:rPr>
          <w:rFonts w:hint="eastAsia"/>
          <w:lang w:val="en-US" w:eastAsia="zh-CN"/>
        </w:rPr>
        <w:t>10</w:t>
      </w:r>
      <w:r>
        <w:rPr>
          <w:rFonts w:hint="default"/>
        </w:rPr>
        <w:t>.</w:t>
      </w:r>
      <w:r>
        <w:rPr>
          <w:rFonts w:hint="default"/>
          <w:lang w:val="en-US" w:eastAsia="zh-CN"/>
        </w:rPr>
        <w:t>2</w:t>
      </w:r>
      <w:r>
        <w:rPr>
          <w:rFonts w:hint="default"/>
        </w:rPr>
        <w:t>环境质量现状</w:t>
      </w:r>
      <w:r>
        <w:tab/>
      </w:r>
      <w:r>
        <w:fldChar w:fldCharType="begin"/>
      </w:r>
      <w:r>
        <w:instrText xml:space="preserve"> PAGEREF _Toc31984 \h </w:instrText>
      </w:r>
      <w:r>
        <w:fldChar w:fldCharType="separate"/>
      </w:r>
      <w:r>
        <w:t>200</w:t>
      </w:r>
      <w:r>
        <w:fldChar w:fldCharType="end"/>
      </w:r>
      <w:r>
        <w:rPr>
          <w:rFonts w:hint="default" w:ascii="Times New Roman" w:hAnsi="Times New Roman" w:cs="Times New Roman"/>
          <w:color w:val="auto"/>
          <w:szCs w:val="24"/>
          <w:u w:val="none" w:color="auto"/>
        </w:rPr>
        <w:fldChar w:fldCharType="end"/>
      </w:r>
    </w:p>
    <w:p w14:paraId="15ED9CC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_Toc16006 </w:instrText>
      </w:r>
      <w:r>
        <w:rPr>
          <w:rFonts w:hint="default" w:ascii="Times New Roman" w:hAnsi="Times New Roman" w:cs="Times New Roman"/>
          <w:szCs w:val="24"/>
        </w:rPr>
        <w:fldChar w:fldCharType="separate"/>
      </w:r>
      <w:r>
        <w:rPr>
          <w:rFonts w:hint="eastAsia"/>
          <w:lang w:val="en-US" w:eastAsia="zh-CN"/>
        </w:rPr>
        <w:t>10</w:t>
      </w:r>
      <w:r>
        <w:rPr>
          <w:rFonts w:hint="default"/>
        </w:rPr>
        <w:t>.</w:t>
      </w:r>
      <w:r>
        <w:rPr>
          <w:rFonts w:hint="default"/>
          <w:lang w:val="en-US" w:eastAsia="zh-CN"/>
        </w:rPr>
        <w:t>3</w:t>
      </w:r>
      <w:r>
        <w:rPr>
          <w:rFonts w:hint="default"/>
        </w:rPr>
        <w:t>环境影响结论</w:t>
      </w:r>
      <w:r>
        <w:tab/>
      </w:r>
      <w:r>
        <w:fldChar w:fldCharType="begin"/>
      </w:r>
      <w:r>
        <w:instrText xml:space="preserve"> PAGEREF _Toc16006 \h </w:instrText>
      </w:r>
      <w:r>
        <w:fldChar w:fldCharType="separate"/>
      </w:r>
      <w:r>
        <w:t>201</w:t>
      </w:r>
      <w:r>
        <w:fldChar w:fldCharType="end"/>
      </w:r>
      <w:r>
        <w:rPr>
          <w:rFonts w:hint="default" w:ascii="Times New Roman" w:hAnsi="Times New Roman" w:cs="Times New Roman"/>
          <w:color w:val="auto"/>
          <w:szCs w:val="24"/>
          <w:u w:val="none" w:color="auto"/>
        </w:rPr>
        <w:fldChar w:fldCharType="end"/>
      </w:r>
    </w:p>
    <w:p w14:paraId="54DF9396">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_Toc26310 </w:instrText>
      </w:r>
      <w:r>
        <w:rPr>
          <w:rFonts w:hint="default" w:ascii="Times New Roman" w:hAnsi="Times New Roman" w:cs="Times New Roman"/>
          <w:szCs w:val="24"/>
        </w:rPr>
        <w:fldChar w:fldCharType="separate"/>
      </w:r>
      <w:r>
        <w:rPr>
          <w:rFonts w:hint="eastAsia"/>
          <w:lang w:val="en-US" w:eastAsia="zh-CN"/>
        </w:rPr>
        <w:t>10</w:t>
      </w:r>
      <w:r>
        <w:rPr>
          <w:rFonts w:hint="default"/>
        </w:rPr>
        <w:t>.</w:t>
      </w:r>
      <w:r>
        <w:rPr>
          <w:rFonts w:hint="default"/>
          <w:lang w:val="en-US" w:eastAsia="zh-CN"/>
        </w:rPr>
        <w:t>4</w:t>
      </w:r>
      <w:r>
        <w:rPr>
          <w:rFonts w:hint="default"/>
        </w:rPr>
        <w:t>项目环境可行性</w:t>
      </w:r>
      <w:r>
        <w:tab/>
      </w:r>
      <w:r>
        <w:fldChar w:fldCharType="begin"/>
      </w:r>
      <w:r>
        <w:instrText xml:space="preserve"> PAGEREF _Toc26310 \h </w:instrText>
      </w:r>
      <w:r>
        <w:fldChar w:fldCharType="separate"/>
      </w:r>
      <w:r>
        <w:t>204</w:t>
      </w:r>
      <w:r>
        <w:fldChar w:fldCharType="end"/>
      </w:r>
      <w:r>
        <w:rPr>
          <w:rFonts w:hint="default" w:ascii="Times New Roman" w:hAnsi="Times New Roman" w:cs="Times New Roman"/>
          <w:color w:val="auto"/>
          <w:szCs w:val="24"/>
          <w:u w:val="none" w:color="auto"/>
        </w:rPr>
        <w:fldChar w:fldCharType="end"/>
      </w:r>
    </w:p>
    <w:p w14:paraId="09817FB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_Toc17390 </w:instrText>
      </w:r>
      <w:r>
        <w:rPr>
          <w:rFonts w:hint="default" w:ascii="Times New Roman" w:hAnsi="Times New Roman" w:cs="Times New Roman"/>
          <w:szCs w:val="24"/>
        </w:rPr>
        <w:fldChar w:fldCharType="separate"/>
      </w:r>
      <w:r>
        <w:rPr>
          <w:rFonts w:hint="eastAsia"/>
          <w:lang w:val="en-US" w:eastAsia="zh-CN"/>
        </w:rPr>
        <w:t>10</w:t>
      </w:r>
      <w:r>
        <w:rPr>
          <w:rFonts w:hint="default"/>
        </w:rPr>
        <w:t>.</w:t>
      </w:r>
      <w:r>
        <w:rPr>
          <w:rFonts w:hint="default"/>
          <w:lang w:val="en-US" w:eastAsia="zh-CN"/>
        </w:rPr>
        <w:t>5</w:t>
      </w:r>
      <w:r>
        <w:rPr>
          <w:rFonts w:hint="default"/>
        </w:rPr>
        <w:t>总结论</w:t>
      </w:r>
      <w:r>
        <w:tab/>
      </w:r>
      <w:r>
        <w:fldChar w:fldCharType="begin"/>
      </w:r>
      <w:r>
        <w:instrText xml:space="preserve"> PAGEREF _Toc17390 \h </w:instrText>
      </w:r>
      <w:r>
        <w:fldChar w:fldCharType="separate"/>
      </w:r>
      <w:r>
        <w:t>205</w:t>
      </w:r>
      <w:r>
        <w:fldChar w:fldCharType="end"/>
      </w:r>
      <w:r>
        <w:rPr>
          <w:rFonts w:hint="default" w:ascii="Times New Roman" w:hAnsi="Times New Roman" w:cs="Times New Roman"/>
          <w:color w:val="auto"/>
          <w:szCs w:val="24"/>
          <w:u w:val="none" w:color="auto"/>
        </w:rPr>
        <w:fldChar w:fldCharType="end"/>
      </w:r>
    </w:p>
    <w:p w14:paraId="5F5AA890">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_Toc5102 </w:instrText>
      </w:r>
      <w:r>
        <w:rPr>
          <w:rFonts w:hint="default" w:ascii="Times New Roman" w:hAnsi="Times New Roman" w:cs="Times New Roman"/>
          <w:szCs w:val="24"/>
        </w:rPr>
        <w:fldChar w:fldCharType="separate"/>
      </w:r>
      <w:r>
        <w:rPr>
          <w:rFonts w:hint="eastAsia"/>
          <w:lang w:val="en-US" w:eastAsia="zh-CN"/>
        </w:rPr>
        <w:t>10</w:t>
      </w:r>
      <w:r>
        <w:rPr>
          <w:rFonts w:hint="default"/>
        </w:rPr>
        <w:t>.</w:t>
      </w:r>
      <w:r>
        <w:rPr>
          <w:rFonts w:hint="default"/>
          <w:lang w:val="en-US" w:eastAsia="zh-CN"/>
        </w:rPr>
        <w:t>6</w:t>
      </w:r>
      <w:r>
        <w:rPr>
          <w:rFonts w:hint="default"/>
        </w:rPr>
        <w:t>建议</w:t>
      </w:r>
      <w:r>
        <w:tab/>
      </w:r>
      <w:r>
        <w:fldChar w:fldCharType="begin"/>
      </w:r>
      <w:r>
        <w:instrText xml:space="preserve"> PAGEREF _Toc5102 \h </w:instrText>
      </w:r>
      <w:r>
        <w:fldChar w:fldCharType="separate"/>
      </w:r>
      <w:r>
        <w:t>206</w:t>
      </w:r>
      <w:r>
        <w:fldChar w:fldCharType="end"/>
      </w:r>
      <w:r>
        <w:rPr>
          <w:rFonts w:hint="default" w:ascii="Times New Roman" w:hAnsi="Times New Roman" w:cs="Times New Roman"/>
          <w:color w:val="auto"/>
          <w:szCs w:val="24"/>
          <w:u w:val="none" w:color="auto"/>
        </w:rPr>
        <w:fldChar w:fldCharType="end"/>
      </w:r>
    </w:p>
    <w:p w14:paraId="7299C626">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_Toc29178 </w:instrText>
      </w:r>
      <w:r>
        <w:rPr>
          <w:rFonts w:hint="default" w:ascii="Times New Roman" w:hAnsi="Times New Roman" w:cs="Times New Roman"/>
          <w:szCs w:val="24"/>
        </w:rPr>
        <w:fldChar w:fldCharType="separate"/>
      </w:r>
      <w:r>
        <w:rPr>
          <w:rFonts w:hint="eastAsia" w:ascii="Times New Roman" w:hAnsi="Times New Roman" w:cs="Times New Roman"/>
          <w:szCs w:val="30"/>
          <w:highlight w:val="none"/>
          <w:lang w:val="en-US" w:eastAsia="zh-CN"/>
        </w:rPr>
        <w:t>附件</w:t>
      </w:r>
      <w:r>
        <w:tab/>
      </w:r>
      <w:r>
        <w:fldChar w:fldCharType="begin"/>
      </w:r>
      <w:r>
        <w:instrText xml:space="preserve"> PAGEREF _Toc29178 \h </w:instrText>
      </w:r>
      <w:r>
        <w:fldChar w:fldCharType="separate"/>
      </w:r>
      <w:r>
        <w:t>207</w:t>
      </w:r>
      <w:r>
        <w:fldChar w:fldCharType="end"/>
      </w:r>
      <w:r>
        <w:rPr>
          <w:rFonts w:hint="default" w:ascii="Times New Roman" w:hAnsi="Times New Roman" w:cs="Times New Roman"/>
          <w:color w:val="auto"/>
          <w:szCs w:val="24"/>
          <w:u w:val="none" w:color="auto"/>
        </w:rPr>
        <w:fldChar w:fldCharType="end"/>
      </w:r>
    </w:p>
    <w:p w14:paraId="1C353357">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_Toc8288 </w:instrText>
      </w:r>
      <w:r>
        <w:rPr>
          <w:rFonts w:hint="default" w:ascii="Times New Roman" w:hAnsi="Times New Roman" w:cs="Times New Roman"/>
          <w:szCs w:val="24"/>
        </w:rPr>
        <w:fldChar w:fldCharType="separate"/>
      </w:r>
      <w:r>
        <w:rPr>
          <w:rFonts w:hint="default" w:ascii="Times New Roman" w:hAnsi="Times New Roman" w:cs="Times New Roman"/>
          <w:szCs w:val="30"/>
          <w:highlight w:val="none"/>
          <w:lang w:val="en-US" w:eastAsia="zh-CN"/>
        </w:rPr>
        <w:t>附件1 环评委托书</w:t>
      </w:r>
      <w:r>
        <w:tab/>
      </w:r>
      <w:r>
        <w:fldChar w:fldCharType="begin"/>
      </w:r>
      <w:r>
        <w:instrText xml:space="preserve"> PAGEREF _Toc8288 \h </w:instrText>
      </w:r>
      <w:r>
        <w:fldChar w:fldCharType="separate"/>
      </w:r>
      <w:r>
        <w:t>207</w:t>
      </w:r>
      <w:r>
        <w:fldChar w:fldCharType="end"/>
      </w:r>
      <w:r>
        <w:rPr>
          <w:rFonts w:hint="default" w:ascii="Times New Roman" w:hAnsi="Times New Roman" w:cs="Times New Roman"/>
          <w:color w:val="auto"/>
          <w:szCs w:val="24"/>
          <w:u w:val="none" w:color="auto"/>
        </w:rPr>
        <w:fldChar w:fldCharType="end"/>
      </w:r>
    </w:p>
    <w:p w14:paraId="3BE172CC">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_Toc25474 </w:instrText>
      </w:r>
      <w:r>
        <w:rPr>
          <w:rFonts w:hint="default" w:ascii="Times New Roman" w:hAnsi="Times New Roman" w:cs="Times New Roman"/>
          <w:szCs w:val="24"/>
        </w:rPr>
        <w:fldChar w:fldCharType="separate"/>
      </w:r>
      <w:r>
        <w:rPr>
          <w:rFonts w:hint="default" w:ascii="Times New Roman" w:hAnsi="Times New Roman" w:cs="Times New Roman"/>
          <w:szCs w:val="30"/>
          <w:highlight w:val="none"/>
          <w:lang w:val="en-US" w:eastAsia="zh-CN"/>
        </w:rPr>
        <w:t>附件2 营业执照</w:t>
      </w:r>
      <w:r>
        <w:tab/>
      </w:r>
      <w:r>
        <w:fldChar w:fldCharType="begin"/>
      </w:r>
      <w:r>
        <w:instrText xml:space="preserve"> PAGEREF _Toc25474 \h </w:instrText>
      </w:r>
      <w:r>
        <w:fldChar w:fldCharType="separate"/>
      </w:r>
      <w:r>
        <w:t>208</w:t>
      </w:r>
      <w:r>
        <w:fldChar w:fldCharType="end"/>
      </w:r>
      <w:r>
        <w:rPr>
          <w:rFonts w:hint="default" w:ascii="Times New Roman" w:hAnsi="Times New Roman" w:cs="Times New Roman"/>
          <w:color w:val="auto"/>
          <w:szCs w:val="24"/>
          <w:u w:val="none" w:color="auto"/>
        </w:rPr>
        <w:fldChar w:fldCharType="end"/>
      </w:r>
    </w:p>
    <w:p w14:paraId="78FEF338">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_Toc30543 </w:instrText>
      </w:r>
      <w:r>
        <w:rPr>
          <w:rFonts w:hint="default" w:ascii="Times New Roman" w:hAnsi="Times New Roman" w:cs="Times New Roman"/>
          <w:szCs w:val="24"/>
        </w:rPr>
        <w:fldChar w:fldCharType="separate"/>
      </w:r>
      <w:r>
        <w:rPr>
          <w:rFonts w:hint="default" w:ascii="Times New Roman" w:hAnsi="Times New Roman" w:cs="Times New Roman"/>
          <w:szCs w:val="30"/>
          <w:lang w:val="en-US" w:eastAsia="zh-CN"/>
        </w:rPr>
        <w:t>附件</w:t>
      </w:r>
      <w:r>
        <w:rPr>
          <w:rFonts w:hint="eastAsia" w:cs="Times New Roman"/>
          <w:szCs w:val="30"/>
          <w:lang w:val="en-US" w:eastAsia="zh-CN"/>
        </w:rPr>
        <w:t>3</w:t>
      </w:r>
      <w:r>
        <w:rPr>
          <w:rFonts w:hint="default" w:ascii="Times New Roman" w:hAnsi="Times New Roman" w:cs="Times New Roman"/>
          <w:szCs w:val="30"/>
          <w:lang w:val="en-US" w:eastAsia="zh-CN"/>
        </w:rPr>
        <w:t xml:space="preserve"> </w:t>
      </w:r>
      <w:r>
        <w:rPr>
          <w:rFonts w:hint="eastAsia" w:cs="Times New Roman"/>
          <w:szCs w:val="30"/>
          <w:lang w:val="en-US" w:eastAsia="zh-CN"/>
        </w:rPr>
        <w:t>发改备案文件</w:t>
      </w:r>
      <w:r>
        <w:tab/>
      </w:r>
      <w:r>
        <w:fldChar w:fldCharType="begin"/>
      </w:r>
      <w:r>
        <w:instrText xml:space="preserve"> PAGEREF _Toc30543 \h </w:instrText>
      </w:r>
      <w:r>
        <w:fldChar w:fldCharType="separate"/>
      </w:r>
      <w:r>
        <w:t>209</w:t>
      </w:r>
      <w:r>
        <w:fldChar w:fldCharType="end"/>
      </w:r>
      <w:r>
        <w:rPr>
          <w:rFonts w:hint="default" w:ascii="Times New Roman" w:hAnsi="Times New Roman" w:cs="Times New Roman"/>
          <w:color w:val="auto"/>
          <w:szCs w:val="24"/>
          <w:u w:val="none" w:color="auto"/>
        </w:rPr>
        <w:fldChar w:fldCharType="end"/>
      </w:r>
    </w:p>
    <w:p w14:paraId="6A00E6F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_Toc3007 </w:instrText>
      </w:r>
      <w:r>
        <w:rPr>
          <w:rFonts w:hint="default" w:ascii="Times New Roman" w:hAnsi="Times New Roman" w:cs="Times New Roman"/>
          <w:szCs w:val="24"/>
        </w:rPr>
        <w:fldChar w:fldCharType="separate"/>
      </w:r>
      <w:r>
        <w:rPr>
          <w:rFonts w:hint="eastAsia"/>
          <w:lang w:val="en-US" w:eastAsia="zh-CN"/>
        </w:rPr>
        <w:t>附件5 现有项目批复</w:t>
      </w:r>
      <w:r>
        <w:tab/>
      </w:r>
      <w:r>
        <w:fldChar w:fldCharType="begin"/>
      </w:r>
      <w:r>
        <w:instrText xml:space="preserve"> PAGEREF _Toc3007 \h </w:instrText>
      </w:r>
      <w:r>
        <w:fldChar w:fldCharType="separate"/>
      </w:r>
      <w:r>
        <w:t>211</w:t>
      </w:r>
      <w:r>
        <w:fldChar w:fldCharType="end"/>
      </w:r>
      <w:r>
        <w:rPr>
          <w:rFonts w:hint="default" w:ascii="Times New Roman" w:hAnsi="Times New Roman" w:cs="Times New Roman"/>
          <w:color w:val="auto"/>
          <w:szCs w:val="24"/>
          <w:u w:val="none" w:color="auto"/>
        </w:rPr>
        <w:fldChar w:fldCharType="end"/>
      </w:r>
    </w:p>
    <w:p w14:paraId="11400CF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_Toc26778 </w:instrText>
      </w:r>
      <w:r>
        <w:rPr>
          <w:rFonts w:hint="default" w:ascii="Times New Roman" w:hAnsi="Times New Roman" w:cs="Times New Roman"/>
          <w:szCs w:val="24"/>
        </w:rPr>
        <w:fldChar w:fldCharType="separate"/>
      </w:r>
      <w:r>
        <w:rPr>
          <w:rFonts w:hint="eastAsia" w:ascii="Times New Roman" w:hAnsi="Times New Roman" w:cs="Times New Roman"/>
          <w:szCs w:val="30"/>
          <w:lang w:val="en-US" w:eastAsia="zh-CN"/>
        </w:rPr>
        <w:t>附件6 现有项目验收意见</w:t>
      </w:r>
      <w:r>
        <w:tab/>
      </w:r>
      <w:r>
        <w:fldChar w:fldCharType="begin"/>
      </w:r>
      <w:r>
        <w:instrText xml:space="preserve"> PAGEREF _Toc26778 \h </w:instrText>
      </w:r>
      <w:r>
        <w:fldChar w:fldCharType="separate"/>
      </w:r>
      <w:r>
        <w:t>214</w:t>
      </w:r>
      <w:r>
        <w:fldChar w:fldCharType="end"/>
      </w:r>
      <w:r>
        <w:rPr>
          <w:rFonts w:hint="default" w:ascii="Times New Roman" w:hAnsi="Times New Roman" w:cs="Times New Roman"/>
          <w:color w:val="auto"/>
          <w:szCs w:val="24"/>
          <w:u w:val="none" w:color="auto"/>
        </w:rPr>
        <w:fldChar w:fldCharType="end"/>
      </w:r>
    </w:p>
    <w:p w14:paraId="6CCF1C4B">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_Toc9845 </w:instrText>
      </w:r>
      <w:r>
        <w:rPr>
          <w:rFonts w:hint="default" w:ascii="Times New Roman" w:hAnsi="Times New Roman" w:cs="Times New Roman"/>
          <w:szCs w:val="24"/>
        </w:rPr>
        <w:fldChar w:fldCharType="separate"/>
      </w:r>
      <w:r>
        <w:rPr>
          <w:rFonts w:hint="eastAsia" w:cs="Times New Roman"/>
          <w:szCs w:val="30"/>
          <w:lang w:val="en-US" w:eastAsia="zh-CN"/>
        </w:rPr>
        <w:t>附件7 现有项目排污许可证</w:t>
      </w:r>
      <w:r>
        <w:tab/>
      </w:r>
      <w:r>
        <w:fldChar w:fldCharType="begin"/>
      </w:r>
      <w:r>
        <w:instrText xml:space="preserve"> PAGEREF _Toc9845 \h </w:instrText>
      </w:r>
      <w:r>
        <w:fldChar w:fldCharType="separate"/>
      </w:r>
      <w:r>
        <w:t>216</w:t>
      </w:r>
      <w:r>
        <w:fldChar w:fldCharType="end"/>
      </w:r>
      <w:r>
        <w:rPr>
          <w:rFonts w:hint="default" w:ascii="Times New Roman" w:hAnsi="Times New Roman" w:cs="Times New Roman"/>
          <w:color w:val="auto"/>
          <w:szCs w:val="24"/>
          <w:u w:val="none" w:color="auto"/>
        </w:rPr>
        <w:fldChar w:fldCharType="end"/>
      </w:r>
    </w:p>
    <w:p w14:paraId="67F2567B">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_Toc18129 </w:instrText>
      </w:r>
      <w:r>
        <w:rPr>
          <w:rFonts w:hint="default" w:ascii="Times New Roman" w:hAnsi="Times New Roman" w:cs="Times New Roman"/>
          <w:szCs w:val="24"/>
        </w:rPr>
        <w:fldChar w:fldCharType="separate"/>
      </w:r>
      <w:r>
        <w:rPr>
          <w:rFonts w:hint="eastAsia" w:eastAsia="宋体"/>
          <w:szCs w:val="30"/>
          <w:lang w:val="en-US" w:eastAsia="zh-CN"/>
        </w:rPr>
        <w:t>附件</w:t>
      </w:r>
      <w:r>
        <w:rPr>
          <w:rFonts w:hint="eastAsia"/>
          <w:szCs w:val="30"/>
          <w:lang w:val="en-US" w:eastAsia="zh-CN"/>
        </w:rPr>
        <w:t>8</w:t>
      </w:r>
      <w:r>
        <w:rPr>
          <w:rFonts w:hint="eastAsia" w:eastAsia="宋体"/>
          <w:szCs w:val="30"/>
          <w:lang w:val="en-US" w:eastAsia="zh-CN"/>
        </w:rPr>
        <w:t xml:space="preserve"> </w:t>
      </w:r>
      <w:r>
        <w:rPr>
          <w:rFonts w:hint="eastAsia"/>
          <w:szCs w:val="30"/>
          <w:lang w:val="en-US" w:eastAsia="zh-CN"/>
        </w:rPr>
        <w:t>园区规划环评批复</w:t>
      </w:r>
      <w:r>
        <w:tab/>
      </w:r>
      <w:r>
        <w:fldChar w:fldCharType="begin"/>
      </w:r>
      <w:r>
        <w:instrText xml:space="preserve"> PAGEREF _Toc18129 \h </w:instrText>
      </w:r>
      <w:r>
        <w:fldChar w:fldCharType="separate"/>
      </w:r>
      <w:r>
        <w:t>217</w:t>
      </w:r>
      <w:r>
        <w:fldChar w:fldCharType="end"/>
      </w:r>
      <w:r>
        <w:rPr>
          <w:rFonts w:hint="default" w:ascii="Times New Roman" w:hAnsi="Times New Roman" w:cs="Times New Roman"/>
          <w:color w:val="auto"/>
          <w:szCs w:val="24"/>
          <w:u w:val="none" w:color="auto"/>
        </w:rPr>
        <w:fldChar w:fldCharType="end"/>
      </w:r>
    </w:p>
    <w:p w14:paraId="4539E8EA">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_Toc4712 </w:instrText>
      </w:r>
      <w:r>
        <w:rPr>
          <w:rFonts w:hint="default" w:ascii="Times New Roman" w:hAnsi="Times New Roman" w:cs="Times New Roman"/>
          <w:szCs w:val="24"/>
        </w:rPr>
        <w:fldChar w:fldCharType="separate"/>
      </w:r>
      <w:r>
        <w:rPr>
          <w:rFonts w:hint="eastAsia"/>
          <w:szCs w:val="28"/>
          <w:lang w:val="en-US" w:eastAsia="zh-CN"/>
        </w:rPr>
        <w:t>附件9 入园审查表</w:t>
      </w:r>
      <w:r>
        <w:tab/>
      </w:r>
      <w:r>
        <w:fldChar w:fldCharType="begin"/>
      </w:r>
      <w:r>
        <w:instrText xml:space="preserve"> PAGEREF _Toc4712 \h </w:instrText>
      </w:r>
      <w:r>
        <w:fldChar w:fldCharType="separate"/>
      </w:r>
      <w:r>
        <w:t>222</w:t>
      </w:r>
      <w:r>
        <w:fldChar w:fldCharType="end"/>
      </w:r>
      <w:r>
        <w:rPr>
          <w:rFonts w:hint="default" w:ascii="Times New Roman" w:hAnsi="Times New Roman" w:cs="Times New Roman"/>
          <w:color w:val="auto"/>
          <w:szCs w:val="24"/>
          <w:u w:val="none" w:color="auto"/>
        </w:rPr>
        <w:fldChar w:fldCharType="end"/>
      </w:r>
    </w:p>
    <w:p w14:paraId="6C30C641">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_Toc14926 </w:instrText>
      </w:r>
      <w:r>
        <w:rPr>
          <w:rFonts w:hint="default" w:ascii="Times New Roman" w:hAnsi="Times New Roman" w:cs="Times New Roman"/>
          <w:szCs w:val="24"/>
        </w:rPr>
        <w:fldChar w:fldCharType="separate"/>
      </w:r>
      <w:r>
        <w:rPr>
          <w:rFonts w:hint="eastAsia" w:ascii="Times New Roman" w:hAnsi="Times New Roman" w:eastAsia="宋体" w:cs="Times New Roman"/>
          <w:szCs w:val="28"/>
          <w:lang w:val="en-US" w:eastAsia="zh-CN"/>
        </w:rPr>
        <w:t>附件10 上会申请表</w:t>
      </w:r>
      <w:r>
        <w:tab/>
      </w:r>
      <w:r>
        <w:fldChar w:fldCharType="begin"/>
      </w:r>
      <w:r>
        <w:instrText xml:space="preserve"> PAGEREF _Toc14926 \h </w:instrText>
      </w:r>
      <w:r>
        <w:fldChar w:fldCharType="separate"/>
      </w:r>
      <w:r>
        <w:t>225</w:t>
      </w:r>
      <w:r>
        <w:fldChar w:fldCharType="end"/>
      </w:r>
      <w:r>
        <w:rPr>
          <w:rFonts w:hint="default" w:ascii="Times New Roman" w:hAnsi="Times New Roman" w:cs="Times New Roman"/>
          <w:color w:val="auto"/>
          <w:szCs w:val="24"/>
          <w:u w:val="none" w:color="auto"/>
        </w:rPr>
        <w:fldChar w:fldCharType="end"/>
      </w:r>
    </w:p>
    <w:p w14:paraId="57E4DEE8">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_Toc12427 </w:instrText>
      </w:r>
      <w:r>
        <w:rPr>
          <w:rFonts w:hint="default" w:ascii="Times New Roman" w:hAnsi="Times New Roman" w:cs="Times New Roman"/>
          <w:szCs w:val="24"/>
        </w:rPr>
        <w:fldChar w:fldCharType="separate"/>
      </w:r>
      <w:r>
        <w:rPr>
          <w:rFonts w:hint="eastAsia" w:ascii="Times New Roman" w:hAnsi="Times New Roman" w:eastAsia="宋体" w:cs="Times New Roman"/>
          <w:szCs w:val="28"/>
          <w:lang w:val="en-US" w:eastAsia="zh-CN"/>
        </w:rPr>
        <w:t>附件11 现有项目常规监测报告</w:t>
      </w:r>
      <w:r>
        <w:tab/>
      </w:r>
      <w:r>
        <w:fldChar w:fldCharType="begin"/>
      </w:r>
      <w:r>
        <w:instrText xml:space="preserve"> PAGEREF _Toc12427 \h </w:instrText>
      </w:r>
      <w:r>
        <w:fldChar w:fldCharType="separate"/>
      </w:r>
      <w:r>
        <w:t>226</w:t>
      </w:r>
      <w:r>
        <w:fldChar w:fldCharType="end"/>
      </w:r>
      <w:r>
        <w:rPr>
          <w:rFonts w:hint="default" w:ascii="Times New Roman" w:hAnsi="Times New Roman" w:cs="Times New Roman"/>
          <w:color w:val="auto"/>
          <w:szCs w:val="24"/>
          <w:u w:val="none" w:color="auto"/>
        </w:rPr>
        <w:fldChar w:fldCharType="end"/>
      </w:r>
    </w:p>
    <w:p w14:paraId="11758F8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_Toc6709 </w:instrText>
      </w:r>
      <w:r>
        <w:rPr>
          <w:rFonts w:hint="default" w:ascii="Times New Roman" w:hAnsi="Times New Roman" w:cs="Times New Roman"/>
          <w:szCs w:val="24"/>
        </w:rPr>
        <w:fldChar w:fldCharType="separate"/>
      </w:r>
      <w:r>
        <w:rPr>
          <w:rFonts w:hint="eastAsia" w:ascii="Times New Roman" w:hAnsi="Times New Roman" w:eastAsia="宋体" w:cs="Times New Roman"/>
          <w:szCs w:val="28"/>
          <w:lang w:val="en-US" w:eastAsia="zh-CN"/>
        </w:rPr>
        <w:t>附件12 国土证</w:t>
      </w:r>
      <w:r>
        <w:tab/>
      </w:r>
      <w:r>
        <w:fldChar w:fldCharType="begin"/>
      </w:r>
      <w:r>
        <w:instrText xml:space="preserve"> PAGEREF _Toc6709 \h </w:instrText>
      </w:r>
      <w:r>
        <w:fldChar w:fldCharType="separate"/>
      </w:r>
      <w:r>
        <w:t>238</w:t>
      </w:r>
      <w:r>
        <w:fldChar w:fldCharType="end"/>
      </w:r>
      <w:r>
        <w:rPr>
          <w:rFonts w:hint="default" w:ascii="Times New Roman" w:hAnsi="Times New Roman" w:cs="Times New Roman"/>
          <w:color w:val="auto"/>
          <w:szCs w:val="24"/>
          <w:u w:val="none" w:color="auto"/>
        </w:rPr>
        <w:fldChar w:fldCharType="end"/>
      </w:r>
    </w:p>
    <w:p w14:paraId="30AE5175">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_Toc30086 </w:instrText>
      </w:r>
      <w:r>
        <w:rPr>
          <w:rFonts w:hint="default" w:ascii="Times New Roman" w:hAnsi="Times New Roman" w:cs="Times New Roman"/>
          <w:szCs w:val="24"/>
        </w:rPr>
        <w:fldChar w:fldCharType="separate"/>
      </w:r>
      <w:r>
        <w:rPr>
          <w:rFonts w:hint="eastAsia" w:ascii="Times New Roman" w:hAnsi="Times New Roman" w:eastAsia="宋体" w:cs="Times New Roman"/>
          <w:szCs w:val="28"/>
          <w:lang w:val="en-US" w:eastAsia="zh-CN"/>
        </w:rPr>
        <w:t>附件13-1 装饰线条胶粘剂MSDS资料</w:t>
      </w:r>
      <w:r>
        <w:tab/>
      </w:r>
      <w:r>
        <w:fldChar w:fldCharType="begin"/>
      </w:r>
      <w:r>
        <w:instrText xml:space="preserve"> PAGEREF _Toc30086 \h </w:instrText>
      </w:r>
      <w:r>
        <w:fldChar w:fldCharType="separate"/>
      </w:r>
      <w:r>
        <w:t>239</w:t>
      </w:r>
      <w:r>
        <w:fldChar w:fldCharType="end"/>
      </w:r>
      <w:r>
        <w:rPr>
          <w:rFonts w:hint="default" w:ascii="Times New Roman" w:hAnsi="Times New Roman" w:cs="Times New Roman"/>
          <w:color w:val="auto"/>
          <w:szCs w:val="24"/>
          <w:u w:val="none" w:color="auto"/>
        </w:rPr>
        <w:fldChar w:fldCharType="end"/>
      </w:r>
    </w:p>
    <w:p w14:paraId="53A59048">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_Toc25175 </w:instrText>
      </w:r>
      <w:r>
        <w:rPr>
          <w:rFonts w:hint="default" w:ascii="Times New Roman" w:hAnsi="Times New Roman" w:cs="Times New Roman"/>
          <w:szCs w:val="24"/>
        </w:rPr>
        <w:fldChar w:fldCharType="separate"/>
      </w:r>
      <w:r>
        <w:rPr>
          <w:rFonts w:hint="eastAsia" w:ascii="Times New Roman" w:hAnsi="Times New Roman" w:eastAsia="宋体" w:cs="Times New Roman"/>
          <w:szCs w:val="28"/>
          <w:lang w:val="en-US" w:eastAsia="zh-CN"/>
        </w:rPr>
        <w:t>附件13-2 大板水性胶粘剂MSDS资料</w:t>
      </w:r>
      <w:r>
        <w:tab/>
      </w:r>
      <w:r>
        <w:fldChar w:fldCharType="begin"/>
      </w:r>
      <w:r>
        <w:instrText xml:space="preserve"> PAGEREF _Toc25175 \h </w:instrText>
      </w:r>
      <w:r>
        <w:fldChar w:fldCharType="separate"/>
      </w:r>
      <w:r>
        <w:t>244</w:t>
      </w:r>
      <w:r>
        <w:fldChar w:fldCharType="end"/>
      </w:r>
      <w:r>
        <w:rPr>
          <w:rFonts w:hint="default" w:ascii="Times New Roman" w:hAnsi="Times New Roman" w:cs="Times New Roman"/>
          <w:color w:val="auto"/>
          <w:szCs w:val="24"/>
          <w:u w:val="none" w:color="auto"/>
        </w:rPr>
        <w:fldChar w:fldCharType="end"/>
      </w:r>
    </w:p>
    <w:p w14:paraId="30D34F3D">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_Toc2181 </w:instrText>
      </w:r>
      <w:r>
        <w:rPr>
          <w:rFonts w:hint="default" w:ascii="Times New Roman" w:hAnsi="Times New Roman" w:cs="Times New Roman"/>
          <w:szCs w:val="24"/>
        </w:rPr>
        <w:fldChar w:fldCharType="separate"/>
      </w:r>
      <w:r>
        <w:rPr>
          <w:rFonts w:hint="eastAsia" w:ascii="Times New Roman" w:hAnsi="Times New Roman" w:eastAsia="宋体" w:cs="Times New Roman"/>
          <w:szCs w:val="28"/>
          <w:lang w:val="en-US" w:eastAsia="zh-CN"/>
        </w:rPr>
        <w:t>附件13-3 大板溶剂型胶粘剂MSDS资料</w:t>
      </w:r>
      <w:r>
        <w:tab/>
      </w:r>
      <w:r>
        <w:fldChar w:fldCharType="begin"/>
      </w:r>
      <w:r>
        <w:instrText xml:space="preserve"> PAGEREF _Toc2181 \h </w:instrText>
      </w:r>
      <w:r>
        <w:fldChar w:fldCharType="separate"/>
      </w:r>
      <w:r>
        <w:t>252</w:t>
      </w:r>
      <w:r>
        <w:fldChar w:fldCharType="end"/>
      </w:r>
      <w:r>
        <w:rPr>
          <w:rFonts w:hint="default" w:ascii="Times New Roman" w:hAnsi="Times New Roman" w:cs="Times New Roman"/>
          <w:color w:val="auto"/>
          <w:szCs w:val="24"/>
          <w:u w:val="none" w:color="auto"/>
        </w:rPr>
        <w:fldChar w:fldCharType="end"/>
      </w:r>
    </w:p>
    <w:p w14:paraId="699B90B3">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_Toc21837 </w:instrText>
      </w:r>
      <w:r>
        <w:rPr>
          <w:rFonts w:hint="default" w:ascii="Times New Roman" w:hAnsi="Times New Roman" w:cs="Times New Roman"/>
          <w:szCs w:val="24"/>
        </w:rPr>
        <w:fldChar w:fldCharType="separate"/>
      </w:r>
      <w:r>
        <w:rPr>
          <w:rFonts w:hint="eastAsia" w:ascii="Times New Roman" w:hAnsi="Times New Roman" w:eastAsia="宋体" w:cs="Times New Roman"/>
          <w:szCs w:val="28"/>
          <w:lang w:val="en-US" w:eastAsia="zh-CN"/>
        </w:rPr>
        <w:t>附件14 标准函</w:t>
      </w:r>
      <w:r>
        <w:tab/>
      </w:r>
      <w:r>
        <w:fldChar w:fldCharType="begin"/>
      </w:r>
      <w:r>
        <w:instrText xml:space="preserve"> PAGEREF _Toc21837 \h </w:instrText>
      </w:r>
      <w:r>
        <w:fldChar w:fldCharType="separate"/>
      </w:r>
      <w:r>
        <w:t>258</w:t>
      </w:r>
      <w:r>
        <w:fldChar w:fldCharType="end"/>
      </w:r>
      <w:r>
        <w:rPr>
          <w:rFonts w:hint="default" w:ascii="Times New Roman" w:hAnsi="Times New Roman" w:cs="Times New Roman"/>
          <w:color w:val="auto"/>
          <w:szCs w:val="24"/>
          <w:u w:val="none" w:color="auto"/>
        </w:rPr>
        <w:fldChar w:fldCharType="end"/>
      </w:r>
    </w:p>
    <w:p w14:paraId="35E10AD4">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_Toc24943 </w:instrText>
      </w:r>
      <w:r>
        <w:rPr>
          <w:rFonts w:hint="default" w:ascii="Times New Roman" w:hAnsi="Times New Roman" w:cs="Times New Roman"/>
          <w:szCs w:val="24"/>
        </w:rPr>
        <w:fldChar w:fldCharType="separate"/>
      </w:r>
      <w:r>
        <w:rPr>
          <w:rFonts w:hint="eastAsia" w:ascii="Times New Roman" w:hAnsi="Times New Roman" w:eastAsia="宋体" w:cs="Times New Roman"/>
          <w:kern w:val="2"/>
          <w:szCs w:val="30"/>
          <w:lang w:val="en-US" w:eastAsia="zh-CN" w:bidi="ar-SA"/>
        </w:rPr>
        <w:t>附图</w:t>
      </w:r>
      <w:r>
        <w:tab/>
      </w:r>
      <w:r>
        <w:fldChar w:fldCharType="begin"/>
      </w:r>
      <w:r>
        <w:instrText xml:space="preserve"> PAGEREF _Toc24943 \h </w:instrText>
      </w:r>
      <w:r>
        <w:fldChar w:fldCharType="separate"/>
      </w:r>
      <w:r>
        <w:t>261</w:t>
      </w:r>
      <w:r>
        <w:fldChar w:fldCharType="end"/>
      </w:r>
      <w:r>
        <w:rPr>
          <w:rFonts w:hint="default" w:ascii="Times New Roman" w:hAnsi="Times New Roman" w:cs="Times New Roman"/>
          <w:color w:val="auto"/>
          <w:szCs w:val="24"/>
          <w:u w:val="none" w:color="auto"/>
        </w:rPr>
        <w:fldChar w:fldCharType="end"/>
      </w:r>
    </w:p>
    <w:p w14:paraId="2FA0092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_Toc5190 </w:instrText>
      </w:r>
      <w:r>
        <w:rPr>
          <w:rFonts w:hint="default" w:ascii="Times New Roman" w:hAnsi="Times New Roman" w:cs="Times New Roman"/>
          <w:szCs w:val="24"/>
        </w:rPr>
        <w:fldChar w:fldCharType="separate"/>
      </w:r>
      <w:r>
        <w:rPr>
          <w:rFonts w:hint="eastAsia"/>
          <w:lang w:eastAsia="zh-CN"/>
        </w:rPr>
        <w:t>附图</w:t>
      </w:r>
      <w:r>
        <w:rPr>
          <w:rFonts w:hint="eastAsia"/>
          <w:lang w:val="en-US" w:eastAsia="zh-CN"/>
        </w:rPr>
        <w:t xml:space="preserve">1 项目地理位置图 </w:t>
      </w:r>
      <w:r>
        <w:tab/>
      </w:r>
      <w:r>
        <w:fldChar w:fldCharType="begin"/>
      </w:r>
      <w:r>
        <w:instrText xml:space="preserve"> PAGEREF _Toc5190 \h </w:instrText>
      </w:r>
      <w:r>
        <w:fldChar w:fldCharType="separate"/>
      </w:r>
      <w:r>
        <w:t>261</w:t>
      </w:r>
      <w:r>
        <w:fldChar w:fldCharType="end"/>
      </w:r>
      <w:r>
        <w:rPr>
          <w:rFonts w:hint="default" w:ascii="Times New Roman" w:hAnsi="Times New Roman" w:cs="Times New Roman"/>
          <w:color w:val="auto"/>
          <w:szCs w:val="24"/>
          <w:u w:val="none" w:color="auto"/>
        </w:rPr>
        <w:fldChar w:fldCharType="end"/>
      </w:r>
    </w:p>
    <w:p w14:paraId="2DCAEC9A">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_Toc10749 </w:instrText>
      </w:r>
      <w:r>
        <w:rPr>
          <w:rFonts w:hint="default" w:ascii="Times New Roman" w:hAnsi="Times New Roman" w:cs="Times New Roman"/>
          <w:szCs w:val="24"/>
        </w:rPr>
        <w:fldChar w:fldCharType="separate"/>
      </w:r>
      <w:r>
        <w:rPr>
          <w:rFonts w:hint="eastAsia"/>
          <w:lang w:eastAsia="zh-CN"/>
        </w:rPr>
        <w:t>附图</w:t>
      </w:r>
      <w:r>
        <w:rPr>
          <w:rFonts w:hint="eastAsia"/>
          <w:lang w:val="en-US" w:eastAsia="zh-CN"/>
        </w:rPr>
        <w:t>2 项目平面布局图</w:t>
      </w:r>
      <w:r>
        <w:tab/>
      </w:r>
      <w:r>
        <w:fldChar w:fldCharType="begin"/>
      </w:r>
      <w:r>
        <w:instrText xml:space="preserve"> PAGEREF _Toc10749 \h </w:instrText>
      </w:r>
      <w:r>
        <w:fldChar w:fldCharType="separate"/>
      </w:r>
      <w:r>
        <w:t>262</w:t>
      </w:r>
      <w:r>
        <w:fldChar w:fldCharType="end"/>
      </w:r>
      <w:r>
        <w:rPr>
          <w:rFonts w:hint="default" w:ascii="Times New Roman" w:hAnsi="Times New Roman" w:cs="Times New Roman"/>
          <w:color w:val="auto"/>
          <w:szCs w:val="24"/>
          <w:u w:val="none" w:color="auto"/>
        </w:rPr>
        <w:fldChar w:fldCharType="end"/>
      </w:r>
    </w:p>
    <w:p w14:paraId="0C907404">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_Toc599 </w:instrText>
      </w:r>
      <w:r>
        <w:rPr>
          <w:rFonts w:hint="default" w:ascii="Times New Roman" w:hAnsi="Times New Roman" w:cs="Times New Roman"/>
          <w:szCs w:val="24"/>
        </w:rPr>
        <w:fldChar w:fldCharType="separate"/>
      </w:r>
      <w:r>
        <w:rPr>
          <w:rFonts w:hint="eastAsia"/>
          <w:lang w:eastAsia="zh-CN"/>
        </w:rPr>
        <w:t>附图</w:t>
      </w:r>
      <w:r>
        <w:rPr>
          <w:rFonts w:hint="eastAsia"/>
          <w:lang w:val="en-US" w:eastAsia="zh-CN"/>
        </w:rPr>
        <w:t>3 环境监测布点图</w:t>
      </w:r>
      <w:r>
        <w:tab/>
      </w:r>
      <w:r>
        <w:fldChar w:fldCharType="begin"/>
      </w:r>
      <w:r>
        <w:instrText xml:space="preserve"> PAGEREF _Toc599 \h </w:instrText>
      </w:r>
      <w:r>
        <w:fldChar w:fldCharType="separate"/>
      </w:r>
      <w:r>
        <w:t>263</w:t>
      </w:r>
      <w:r>
        <w:fldChar w:fldCharType="end"/>
      </w:r>
      <w:r>
        <w:rPr>
          <w:rFonts w:hint="default" w:ascii="Times New Roman" w:hAnsi="Times New Roman" w:cs="Times New Roman"/>
          <w:color w:val="auto"/>
          <w:szCs w:val="24"/>
          <w:u w:val="none" w:color="auto"/>
        </w:rPr>
        <w:fldChar w:fldCharType="end"/>
      </w:r>
    </w:p>
    <w:p w14:paraId="2EB50163">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_Toc62 </w:instrText>
      </w:r>
      <w:r>
        <w:rPr>
          <w:rFonts w:hint="default" w:ascii="Times New Roman" w:hAnsi="Times New Roman" w:cs="Times New Roman"/>
          <w:szCs w:val="24"/>
        </w:rPr>
        <w:fldChar w:fldCharType="separate"/>
      </w:r>
      <w:r>
        <w:rPr>
          <w:rFonts w:hint="eastAsia"/>
          <w:lang w:eastAsia="zh-CN"/>
        </w:rPr>
        <w:t>附图</w:t>
      </w:r>
      <w:r>
        <w:rPr>
          <w:rFonts w:hint="eastAsia"/>
          <w:lang w:val="en-US" w:eastAsia="zh-CN"/>
        </w:rPr>
        <w:t>4 大气、地下水环境引用监测布点图</w:t>
      </w:r>
      <w:r>
        <w:tab/>
      </w:r>
      <w:r>
        <w:fldChar w:fldCharType="begin"/>
      </w:r>
      <w:r>
        <w:instrText xml:space="preserve"> PAGEREF _Toc62 \h </w:instrText>
      </w:r>
      <w:r>
        <w:fldChar w:fldCharType="separate"/>
      </w:r>
      <w:r>
        <w:t>264</w:t>
      </w:r>
      <w:r>
        <w:fldChar w:fldCharType="end"/>
      </w:r>
      <w:r>
        <w:rPr>
          <w:rFonts w:hint="default" w:ascii="Times New Roman" w:hAnsi="Times New Roman" w:cs="Times New Roman"/>
          <w:color w:val="auto"/>
          <w:szCs w:val="24"/>
          <w:u w:val="none" w:color="auto"/>
        </w:rPr>
        <w:fldChar w:fldCharType="end"/>
      </w:r>
    </w:p>
    <w:p w14:paraId="47E8359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_Toc14166 </w:instrText>
      </w:r>
      <w:r>
        <w:rPr>
          <w:rFonts w:hint="default" w:ascii="Times New Roman" w:hAnsi="Times New Roman" w:cs="Times New Roman"/>
          <w:szCs w:val="24"/>
        </w:rPr>
        <w:fldChar w:fldCharType="separate"/>
      </w:r>
      <w:r>
        <w:rPr>
          <w:rFonts w:hint="eastAsia"/>
          <w:szCs w:val="21"/>
          <w:lang w:eastAsia="zh-CN"/>
        </w:rPr>
        <w:t>附图</w:t>
      </w:r>
      <w:r>
        <w:rPr>
          <w:rFonts w:hint="default" w:ascii="Times New Roman" w:hAnsi="Times New Roman" w:cs="Times New Roman"/>
          <w:szCs w:val="21"/>
          <w:lang w:val="en-US" w:eastAsia="zh-CN"/>
        </w:rPr>
        <w:t>5</w:t>
      </w:r>
      <w:r>
        <w:rPr>
          <w:rFonts w:hint="eastAsia"/>
          <w:szCs w:val="21"/>
          <w:lang w:val="en-US" w:eastAsia="zh-CN"/>
        </w:rPr>
        <w:t xml:space="preserve"> </w:t>
      </w:r>
      <w:r>
        <w:rPr>
          <w:rFonts w:hint="eastAsia"/>
          <w:szCs w:val="21"/>
          <w:lang w:eastAsia="zh-CN"/>
        </w:rPr>
        <w:t>项目</w:t>
      </w:r>
      <w:r>
        <w:rPr>
          <w:rFonts w:hint="eastAsia"/>
          <w:szCs w:val="21"/>
          <w:lang w:val="en-US" w:eastAsia="zh-CN"/>
        </w:rPr>
        <w:t>大气</w:t>
      </w:r>
      <w:r>
        <w:rPr>
          <w:rFonts w:hint="eastAsia"/>
          <w:szCs w:val="21"/>
          <w:lang w:eastAsia="zh-CN"/>
        </w:rPr>
        <w:t>环境保护目标示意图</w:t>
      </w:r>
      <w:r>
        <w:tab/>
      </w:r>
      <w:r>
        <w:fldChar w:fldCharType="begin"/>
      </w:r>
      <w:r>
        <w:instrText xml:space="preserve"> PAGEREF _Toc14166 \h </w:instrText>
      </w:r>
      <w:r>
        <w:fldChar w:fldCharType="separate"/>
      </w:r>
      <w:r>
        <w:t>265</w:t>
      </w:r>
      <w:r>
        <w:fldChar w:fldCharType="end"/>
      </w:r>
      <w:r>
        <w:rPr>
          <w:rFonts w:hint="default" w:ascii="Times New Roman" w:hAnsi="Times New Roman" w:cs="Times New Roman"/>
          <w:color w:val="auto"/>
          <w:szCs w:val="24"/>
          <w:u w:val="none" w:color="auto"/>
        </w:rPr>
        <w:fldChar w:fldCharType="end"/>
      </w:r>
    </w:p>
    <w:p w14:paraId="35199C5B">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_Toc28305 </w:instrText>
      </w:r>
      <w:r>
        <w:rPr>
          <w:rFonts w:hint="default" w:ascii="Times New Roman" w:hAnsi="Times New Roman" w:cs="Times New Roman"/>
          <w:szCs w:val="24"/>
        </w:rPr>
        <w:fldChar w:fldCharType="separate"/>
      </w:r>
      <w:r>
        <w:rPr>
          <w:rFonts w:hint="eastAsia"/>
          <w:szCs w:val="21"/>
          <w:lang w:eastAsia="zh-CN"/>
        </w:rPr>
        <w:t>附图</w:t>
      </w:r>
      <w:r>
        <w:rPr>
          <w:rFonts w:hint="default" w:ascii="Times New Roman" w:hAnsi="Times New Roman" w:cs="Times New Roman"/>
          <w:szCs w:val="21"/>
          <w:lang w:val="en-US" w:eastAsia="zh-CN"/>
        </w:rPr>
        <w:t>6</w:t>
      </w:r>
      <w:r>
        <w:rPr>
          <w:rFonts w:hint="eastAsia"/>
          <w:szCs w:val="21"/>
          <w:lang w:val="en-US" w:eastAsia="zh-CN"/>
        </w:rPr>
        <w:t xml:space="preserve"> </w:t>
      </w:r>
      <w:r>
        <w:rPr>
          <w:rFonts w:hint="eastAsia"/>
          <w:szCs w:val="21"/>
          <w:lang w:eastAsia="zh-CN"/>
        </w:rPr>
        <w:t>评价范围图</w:t>
      </w:r>
      <w:r>
        <w:tab/>
      </w:r>
      <w:r>
        <w:fldChar w:fldCharType="begin"/>
      </w:r>
      <w:r>
        <w:instrText xml:space="preserve"> PAGEREF _Toc28305 \h </w:instrText>
      </w:r>
      <w:r>
        <w:fldChar w:fldCharType="separate"/>
      </w:r>
      <w:r>
        <w:t>266</w:t>
      </w:r>
      <w:r>
        <w:fldChar w:fldCharType="end"/>
      </w:r>
      <w:r>
        <w:rPr>
          <w:rFonts w:hint="default" w:ascii="Times New Roman" w:hAnsi="Times New Roman" w:cs="Times New Roman"/>
          <w:color w:val="auto"/>
          <w:szCs w:val="24"/>
          <w:u w:val="none" w:color="auto"/>
        </w:rPr>
        <w:fldChar w:fldCharType="end"/>
      </w:r>
    </w:p>
    <w:p w14:paraId="4A3AF84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_Toc9865 </w:instrText>
      </w:r>
      <w:r>
        <w:rPr>
          <w:rFonts w:hint="default" w:ascii="Times New Roman" w:hAnsi="Times New Roman" w:cs="Times New Roman"/>
          <w:szCs w:val="24"/>
        </w:rPr>
        <w:fldChar w:fldCharType="separate"/>
      </w:r>
      <w:r>
        <w:rPr>
          <w:rFonts w:hint="eastAsia"/>
          <w:highlight w:val="none"/>
          <w:lang w:eastAsia="zh-CN"/>
        </w:rPr>
        <w:t>附图</w:t>
      </w:r>
      <w:r>
        <w:rPr>
          <w:rFonts w:hint="eastAsia"/>
          <w:highlight w:val="none"/>
          <w:lang w:val="en-US" w:eastAsia="zh-CN"/>
        </w:rPr>
        <w:t>7 项目四至图</w:t>
      </w:r>
      <w:r>
        <w:tab/>
      </w:r>
      <w:r>
        <w:fldChar w:fldCharType="begin"/>
      </w:r>
      <w:r>
        <w:instrText xml:space="preserve"> PAGEREF _Toc9865 \h </w:instrText>
      </w:r>
      <w:r>
        <w:fldChar w:fldCharType="separate"/>
      </w:r>
      <w:r>
        <w:t>267</w:t>
      </w:r>
      <w:r>
        <w:fldChar w:fldCharType="end"/>
      </w:r>
      <w:r>
        <w:rPr>
          <w:rFonts w:hint="default" w:ascii="Times New Roman" w:hAnsi="Times New Roman" w:cs="Times New Roman"/>
          <w:color w:val="auto"/>
          <w:szCs w:val="24"/>
          <w:u w:val="none" w:color="auto"/>
        </w:rPr>
        <w:fldChar w:fldCharType="end"/>
      </w:r>
    </w:p>
    <w:p w14:paraId="6CC6B74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_Toc19483 </w:instrText>
      </w:r>
      <w:r>
        <w:rPr>
          <w:rFonts w:hint="default" w:ascii="Times New Roman" w:hAnsi="Times New Roman" w:cs="Times New Roman"/>
          <w:szCs w:val="24"/>
        </w:rPr>
        <w:fldChar w:fldCharType="separate"/>
      </w:r>
      <w:r>
        <w:rPr>
          <w:rFonts w:hint="eastAsia"/>
          <w:lang w:eastAsia="zh-CN"/>
        </w:rPr>
        <w:t>附图</w:t>
      </w:r>
      <w:r>
        <w:rPr>
          <w:rFonts w:hint="eastAsia"/>
          <w:lang w:val="en-US" w:eastAsia="zh-CN"/>
        </w:rPr>
        <w:t xml:space="preserve">8 </w:t>
      </w:r>
      <w:r>
        <w:t>区域水系线图</w:t>
      </w:r>
      <w:r>
        <w:tab/>
      </w:r>
      <w:r>
        <w:fldChar w:fldCharType="begin"/>
      </w:r>
      <w:r>
        <w:instrText xml:space="preserve"> PAGEREF _Toc19483 \h </w:instrText>
      </w:r>
      <w:r>
        <w:fldChar w:fldCharType="separate"/>
      </w:r>
      <w:r>
        <w:t>268</w:t>
      </w:r>
      <w:r>
        <w:fldChar w:fldCharType="end"/>
      </w:r>
      <w:r>
        <w:rPr>
          <w:rFonts w:hint="default" w:ascii="Times New Roman" w:hAnsi="Times New Roman" w:cs="Times New Roman"/>
          <w:color w:val="auto"/>
          <w:szCs w:val="24"/>
          <w:u w:val="none" w:color="auto"/>
        </w:rPr>
        <w:fldChar w:fldCharType="end"/>
      </w:r>
    </w:p>
    <w:p w14:paraId="27D5EECE">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_Toc32675 </w:instrText>
      </w:r>
      <w:r>
        <w:rPr>
          <w:rFonts w:hint="default" w:ascii="Times New Roman" w:hAnsi="Times New Roman" w:cs="Times New Roman"/>
          <w:szCs w:val="24"/>
        </w:rPr>
        <w:fldChar w:fldCharType="separate"/>
      </w:r>
      <w:r>
        <w:rPr>
          <w:rFonts w:hint="eastAsia"/>
          <w:lang w:eastAsia="zh-CN"/>
        </w:rPr>
        <w:t>附图</w:t>
      </w:r>
      <w:r>
        <w:rPr>
          <w:rFonts w:hint="eastAsia"/>
          <w:lang w:val="en-US" w:eastAsia="zh-CN"/>
        </w:rPr>
        <w:t xml:space="preserve">9 </w:t>
      </w:r>
      <w:r>
        <w:rPr>
          <w:rFonts w:hint="eastAsia"/>
        </w:rPr>
        <w:t>项目与汨罗市“三区三线”叠加位置关系图</w:t>
      </w:r>
      <w:r>
        <w:tab/>
      </w:r>
      <w:r>
        <w:fldChar w:fldCharType="begin"/>
      </w:r>
      <w:r>
        <w:instrText xml:space="preserve"> PAGEREF _Toc32675 \h </w:instrText>
      </w:r>
      <w:r>
        <w:fldChar w:fldCharType="separate"/>
      </w:r>
      <w:r>
        <w:t>269</w:t>
      </w:r>
      <w:r>
        <w:fldChar w:fldCharType="end"/>
      </w:r>
      <w:r>
        <w:rPr>
          <w:rFonts w:hint="default" w:ascii="Times New Roman" w:hAnsi="Times New Roman" w:cs="Times New Roman"/>
          <w:color w:val="auto"/>
          <w:szCs w:val="24"/>
          <w:u w:val="none" w:color="auto"/>
        </w:rPr>
        <w:fldChar w:fldCharType="end"/>
      </w:r>
    </w:p>
    <w:p w14:paraId="043B0E72">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_Toc4675 </w:instrText>
      </w:r>
      <w:r>
        <w:rPr>
          <w:rFonts w:hint="default" w:ascii="Times New Roman" w:hAnsi="Times New Roman" w:cs="Times New Roman"/>
          <w:szCs w:val="24"/>
        </w:rPr>
        <w:fldChar w:fldCharType="separate"/>
      </w:r>
      <w:r>
        <w:rPr>
          <w:rFonts w:hint="eastAsia" w:ascii="宋体" w:hAnsi="宋体" w:eastAsia="宋体" w:cs="宋体"/>
          <w:szCs w:val="24"/>
          <w:lang w:val="en-US" w:eastAsia="zh-CN"/>
        </w:rPr>
        <w:t>附图</w:t>
      </w:r>
      <w:r>
        <w:rPr>
          <w:rFonts w:hint="default" w:ascii="Times New Roman" w:hAnsi="Times New Roman" w:eastAsia="宋体" w:cs="Times New Roman"/>
          <w:szCs w:val="24"/>
          <w:lang w:val="en-US" w:eastAsia="zh-CN"/>
        </w:rPr>
        <w:t>10</w:t>
      </w:r>
      <w:r>
        <w:rPr>
          <w:rFonts w:hint="eastAsia" w:ascii="宋体" w:hAnsi="宋体" w:eastAsia="宋体" w:cs="宋体"/>
          <w:szCs w:val="24"/>
          <w:lang w:val="en-US" w:eastAsia="zh-CN"/>
        </w:rPr>
        <w:t xml:space="preserve"> 项目分区防渗图</w:t>
      </w:r>
      <w:r>
        <w:tab/>
      </w:r>
      <w:r>
        <w:fldChar w:fldCharType="begin"/>
      </w:r>
      <w:r>
        <w:instrText xml:space="preserve"> PAGEREF _Toc4675 \h </w:instrText>
      </w:r>
      <w:r>
        <w:fldChar w:fldCharType="separate"/>
      </w:r>
      <w:r>
        <w:t>270</w:t>
      </w:r>
      <w:r>
        <w:fldChar w:fldCharType="end"/>
      </w:r>
      <w:r>
        <w:rPr>
          <w:rFonts w:hint="default" w:ascii="Times New Roman" w:hAnsi="Times New Roman" w:cs="Times New Roman"/>
          <w:color w:val="auto"/>
          <w:szCs w:val="24"/>
          <w:u w:val="none" w:color="auto"/>
        </w:rPr>
        <w:fldChar w:fldCharType="end"/>
      </w:r>
    </w:p>
    <w:p w14:paraId="7513F66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_Toc17645 </w:instrText>
      </w:r>
      <w:r>
        <w:rPr>
          <w:rFonts w:hint="default" w:ascii="Times New Roman" w:hAnsi="Times New Roman" w:cs="Times New Roman"/>
          <w:szCs w:val="24"/>
        </w:rPr>
        <w:fldChar w:fldCharType="separate"/>
      </w:r>
      <w:r>
        <w:rPr>
          <w:rFonts w:hint="eastAsia"/>
          <w:lang w:val="en-US" w:eastAsia="zh-CN"/>
        </w:rPr>
        <w:t>附图11 湖南汨罗高新技术产业开发区控制性详细规划—土地利用规划图</w:t>
      </w:r>
      <w:r>
        <w:tab/>
      </w:r>
      <w:r>
        <w:fldChar w:fldCharType="begin"/>
      </w:r>
      <w:r>
        <w:instrText xml:space="preserve"> PAGEREF _Toc17645 \h </w:instrText>
      </w:r>
      <w:r>
        <w:fldChar w:fldCharType="separate"/>
      </w:r>
      <w:r>
        <w:t>271</w:t>
      </w:r>
      <w:r>
        <w:fldChar w:fldCharType="end"/>
      </w:r>
      <w:r>
        <w:rPr>
          <w:rFonts w:hint="default" w:ascii="Times New Roman" w:hAnsi="Times New Roman" w:cs="Times New Roman"/>
          <w:color w:val="auto"/>
          <w:szCs w:val="24"/>
          <w:u w:val="none" w:color="auto"/>
        </w:rPr>
        <w:fldChar w:fldCharType="end"/>
      </w:r>
    </w:p>
    <w:p w14:paraId="09D7B0C5">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_Toc22205 </w:instrText>
      </w:r>
      <w:r>
        <w:rPr>
          <w:rFonts w:hint="default" w:ascii="Times New Roman" w:hAnsi="Times New Roman" w:cs="Times New Roman"/>
          <w:szCs w:val="24"/>
        </w:rPr>
        <w:fldChar w:fldCharType="separate"/>
      </w:r>
      <w:r>
        <w:rPr>
          <w:rFonts w:hint="eastAsia"/>
          <w:lang w:val="en-US" w:eastAsia="zh-CN"/>
        </w:rPr>
        <w:t>附图12 工程师现场勘察图</w:t>
      </w:r>
      <w:r>
        <w:tab/>
      </w:r>
      <w:r>
        <w:fldChar w:fldCharType="begin"/>
      </w:r>
      <w:r>
        <w:instrText xml:space="preserve"> PAGEREF _Toc22205 \h </w:instrText>
      </w:r>
      <w:r>
        <w:fldChar w:fldCharType="separate"/>
      </w:r>
      <w:r>
        <w:t>273</w:t>
      </w:r>
      <w:r>
        <w:fldChar w:fldCharType="end"/>
      </w:r>
      <w:r>
        <w:rPr>
          <w:rFonts w:hint="default" w:ascii="Times New Roman" w:hAnsi="Times New Roman" w:cs="Times New Roman"/>
          <w:color w:val="auto"/>
          <w:szCs w:val="24"/>
          <w:u w:val="none" w:color="auto"/>
        </w:rPr>
        <w:fldChar w:fldCharType="end"/>
      </w:r>
    </w:p>
    <w:p w14:paraId="656F4513">
      <w:pPr>
        <w:pStyle w:val="13"/>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_Toc10134 </w:instrText>
      </w:r>
      <w:r>
        <w:rPr>
          <w:rFonts w:hint="default" w:ascii="Times New Roman" w:hAnsi="Times New Roman" w:cs="Times New Roman"/>
          <w:szCs w:val="24"/>
        </w:rPr>
        <w:fldChar w:fldCharType="separate"/>
      </w:r>
      <w:r>
        <w:rPr>
          <w:rFonts w:hint="eastAsia"/>
          <w:lang w:val="en-US" w:eastAsia="zh-CN"/>
        </w:rPr>
        <w:t>附表</w:t>
      </w:r>
      <w:r>
        <w:tab/>
      </w:r>
      <w:r>
        <w:fldChar w:fldCharType="begin"/>
      </w:r>
      <w:r>
        <w:instrText xml:space="preserve"> PAGEREF _Toc10134 \h </w:instrText>
      </w:r>
      <w:r>
        <w:fldChar w:fldCharType="separate"/>
      </w:r>
      <w:r>
        <w:t>274</w:t>
      </w:r>
      <w:r>
        <w:fldChar w:fldCharType="end"/>
      </w:r>
      <w:r>
        <w:rPr>
          <w:rFonts w:hint="default" w:ascii="Times New Roman" w:hAnsi="Times New Roman" w:cs="Times New Roman"/>
          <w:color w:val="auto"/>
          <w:szCs w:val="24"/>
          <w:u w:val="none" w:color="auto"/>
        </w:rPr>
        <w:fldChar w:fldCharType="end"/>
      </w:r>
    </w:p>
    <w:p w14:paraId="35F04A73">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_Toc22304 </w:instrText>
      </w:r>
      <w:r>
        <w:rPr>
          <w:rFonts w:hint="default" w:ascii="Times New Roman" w:hAnsi="Times New Roman" w:cs="Times New Roman"/>
          <w:szCs w:val="24"/>
        </w:rPr>
        <w:fldChar w:fldCharType="separate"/>
      </w:r>
      <w:r>
        <w:rPr>
          <w:rFonts w:hint="default" w:ascii="Times New Roman" w:hAnsi="Times New Roman" w:eastAsia="宋体" w:cs="Times New Roman"/>
        </w:rPr>
        <w:t>建设项目大气环境影响评价自查表</w:t>
      </w:r>
      <w:r>
        <w:tab/>
      </w:r>
      <w:r>
        <w:fldChar w:fldCharType="begin"/>
      </w:r>
      <w:r>
        <w:instrText xml:space="preserve"> PAGEREF _Toc22304 \h </w:instrText>
      </w:r>
      <w:r>
        <w:fldChar w:fldCharType="separate"/>
      </w:r>
      <w:r>
        <w:t>274</w:t>
      </w:r>
      <w:r>
        <w:fldChar w:fldCharType="end"/>
      </w:r>
      <w:r>
        <w:rPr>
          <w:rFonts w:hint="default" w:ascii="Times New Roman" w:hAnsi="Times New Roman" w:cs="Times New Roman"/>
          <w:color w:val="auto"/>
          <w:szCs w:val="24"/>
          <w:u w:val="none" w:color="auto"/>
        </w:rPr>
        <w:fldChar w:fldCharType="end"/>
      </w:r>
    </w:p>
    <w:p w14:paraId="218455A8">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_Toc10796 </w:instrText>
      </w:r>
      <w:r>
        <w:rPr>
          <w:rFonts w:hint="default" w:ascii="Times New Roman" w:hAnsi="Times New Roman" w:cs="Times New Roman"/>
          <w:szCs w:val="24"/>
        </w:rPr>
        <w:fldChar w:fldCharType="separate"/>
      </w:r>
      <w:r>
        <w:rPr>
          <w:rFonts w:hint="default" w:ascii="Times New Roman" w:hAnsi="Times New Roman" w:eastAsia="宋体" w:cs="Times New Roman"/>
        </w:rPr>
        <w:t>建设项目地表水环境影响评价自查表</w:t>
      </w:r>
      <w:r>
        <w:tab/>
      </w:r>
      <w:r>
        <w:fldChar w:fldCharType="begin"/>
      </w:r>
      <w:r>
        <w:instrText xml:space="preserve"> PAGEREF _Toc10796 \h </w:instrText>
      </w:r>
      <w:r>
        <w:fldChar w:fldCharType="separate"/>
      </w:r>
      <w:r>
        <w:t>276</w:t>
      </w:r>
      <w:r>
        <w:fldChar w:fldCharType="end"/>
      </w:r>
      <w:r>
        <w:rPr>
          <w:rFonts w:hint="default" w:ascii="Times New Roman" w:hAnsi="Times New Roman" w:cs="Times New Roman"/>
          <w:color w:val="auto"/>
          <w:szCs w:val="24"/>
          <w:u w:val="none" w:color="auto"/>
        </w:rPr>
        <w:fldChar w:fldCharType="end"/>
      </w:r>
    </w:p>
    <w:p w14:paraId="194B9787">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_Toc23972 </w:instrText>
      </w:r>
      <w:r>
        <w:rPr>
          <w:rFonts w:hint="default" w:ascii="Times New Roman" w:hAnsi="Times New Roman" w:cs="Times New Roman"/>
          <w:szCs w:val="24"/>
        </w:rPr>
        <w:fldChar w:fldCharType="separate"/>
      </w:r>
      <w:r>
        <w:rPr>
          <w:rFonts w:hint="eastAsia" w:ascii="Times New Roman" w:hAnsi="Times New Roman" w:eastAsia="宋体" w:cs="Times New Roman"/>
          <w:bCs/>
          <w:lang w:val="en-US" w:eastAsia="zh-CN"/>
        </w:rPr>
        <w:t>建设项目</w:t>
      </w:r>
      <w:r>
        <w:rPr>
          <w:rFonts w:hint="default" w:ascii="Times New Roman" w:hAnsi="Times New Roman" w:eastAsia="宋体" w:cs="Times New Roman"/>
          <w:bCs/>
          <w:lang w:eastAsia="zh-CN"/>
        </w:rPr>
        <w:t>声</w:t>
      </w:r>
      <w:r>
        <w:rPr>
          <w:rFonts w:hint="default" w:ascii="Times New Roman" w:hAnsi="Times New Roman" w:eastAsia="宋体" w:cs="Times New Roman"/>
          <w:bCs/>
        </w:rPr>
        <w:t>环境影响评价自查表</w:t>
      </w:r>
      <w:r>
        <w:tab/>
      </w:r>
      <w:r>
        <w:fldChar w:fldCharType="begin"/>
      </w:r>
      <w:r>
        <w:instrText xml:space="preserve"> PAGEREF _Toc23972 \h </w:instrText>
      </w:r>
      <w:r>
        <w:fldChar w:fldCharType="separate"/>
      </w:r>
      <w:r>
        <w:t>279</w:t>
      </w:r>
      <w:r>
        <w:fldChar w:fldCharType="end"/>
      </w:r>
      <w:r>
        <w:rPr>
          <w:rFonts w:hint="default" w:ascii="Times New Roman" w:hAnsi="Times New Roman" w:cs="Times New Roman"/>
          <w:color w:val="auto"/>
          <w:szCs w:val="24"/>
          <w:u w:val="none" w:color="auto"/>
        </w:rPr>
        <w:fldChar w:fldCharType="end"/>
      </w:r>
    </w:p>
    <w:p w14:paraId="4D8817D5">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_Toc9781 </w:instrText>
      </w:r>
      <w:r>
        <w:rPr>
          <w:rFonts w:hint="default" w:ascii="Times New Roman" w:hAnsi="Times New Roman" w:cs="Times New Roman"/>
          <w:szCs w:val="24"/>
        </w:rPr>
        <w:fldChar w:fldCharType="separate"/>
      </w:r>
      <w:r>
        <w:rPr>
          <w:rFonts w:hint="eastAsia" w:ascii="Times New Roman" w:hAnsi="Times New Roman" w:eastAsia="宋体" w:cs="Times New Roman"/>
          <w:bCs/>
          <w:lang w:val="en-US" w:eastAsia="zh-CN"/>
        </w:rPr>
        <w:t>建设项目</w:t>
      </w:r>
      <w:r>
        <w:rPr>
          <w:rFonts w:hint="default" w:ascii="Times New Roman" w:hAnsi="Times New Roman" w:eastAsia="宋体" w:cs="Times New Roman"/>
          <w:bCs/>
          <w:lang w:eastAsia="zh-CN"/>
        </w:rPr>
        <w:t>生态</w:t>
      </w:r>
      <w:r>
        <w:rPr>
          <w:rFonts w:hint="default" w:ascii="Times New Roman" w:hAnsi="Times New Roman" w:eastAsia="宋体" w:cs="Times New Roman"/>
          <w:bCs/>
        </w:rPr>
        <w:t>环境影响评价自查表</w:t>
      </w:r>
      <w:r>
        <w:tab/>
      </w:r>
      <w:r>
        <w:fldChar w:fldCharType="begin"/>
      </w:r>
      <w:r>
        <w:instrText xml:space="preserve"> PAGEREF _Toc9781 \h </w:instrText>
      </w:r>
      <w:r>
        <w:fldChar w:fldCharType="separate"/>
      </w:r>
      <w:r>
        <w:t>280</w:t>
      </w:r>
      <w:r>
        <w:fldChar w:fldCharType="end"/>
      </w:r>
      <w:r>
        <w:rPr>
          <w:rFonts w:hint="default" w:ascii="Times New Roman" w:hAnsi="Times New Roman" w:cs="Times New Roman"/>
          <w:color w:val="auto"/>
          <w:szCs w:val="24"/>
          <w:u w:val="none" w:color="auto"/>
        </w:rPr>
        <w:fldChar w:fldCharType="end"/>
      </w:r>
    </w:p>
    <w:p w14:paraId="669DC5A9">
      <w:pPr>
        <w:pStyle w:val="14"/>
        <w:tabs>
          <w:tab w:val="right" w:leader="dot" w:pos="8306"/>
        </w:tabs>
      </w:pPr>
      <w:r>
        <w:rPr>
          <w:rFonts w:hint="default" w:ascii="Times New Roman" w:hAnsi="Times New Roman" w:cs="Times New Roman"/>
          <w:color w:val="auto"/>
          <w:szCs w:val="24"/>
          <w:u w:val="none" w:color="auto"/>
        </w:rPr>
        <w:fldChar w:fldCharType="begin"/>
      </w:r>
      <w:r>
        <w:rPr>
          <w:rFonts w:hint="default" w:ascii="Times New Roman" w:hAnsi="Times New Roman" w:cs="Times New Roman"/>
          <w:szCs w:val="24"/>
        </w:rPr>
        <w:instrText xml:space="preserve"> HYPERLINK \l _Toc9932 </w:instrText>
      </w:r>
      <w:r>
        <w:rPr>
          <w:rFonts w:hint="default" w:ascii="Times New Roman" w:hAnsi="Times New Roman" w:cs="Times New Roman"/>
          <w:szCs w:val="24"/>
        </w:rPr>
        <w:fldChar w:fldCharType="separate"/>
      </w:r>
      <w:r>
        <w:rPr>
          <w:rFonts w:hint="eastAsia" w:ascii="Times New Roman" w:hAnsi="Times New Roman" w:cs="Times New Roman"/>
          <w:szCs w:val="24"/>
          <w:lang w:val="en-US" w:eastAsia="zh-CN"/>
        </w:rPr>
        <w:t>建设项目</w:t>
      </w:r>
      <w:r>
        <w:rPr>
          <w:rFonts w:hint="default" w:ascii="Times New Roman" w:hAnsi="Times New Roman" w:eastAsia="宋体" w:cs="Times New Roman"/>
          <w:szCs w:val="24"/>
        </w:rPr>
        <w:t>环境风险评价自查表</w:t>
      </w:r>
      <w:r>
        <w:tab/>
      </w:r>
      <w:r>
        <w:fldChar w:fldCharType="begin"/>
      </w:r>
      <w:r>
        <w:instrText xml:space="preserve"> PAGEREF _Toc9932 \h </w:instrText>
      </w:r>
      <w:r>
        <w:fldChar w:fldCharType="separate"/>
      </w:r>
      <w:r>
        <w:t>281</w:t>
      </w:r>
      <w:r>
        <w:fldChar w:fldCharType="end"/>
      </w:r>
      <w:r>
        <w:rPr>
          <w:rFonts w:hint="default" w:ascii="Times New Roman" w:hAnsi="Times New Roman" w:cs="Times New Roman"/>
          <w:color w:val="auto"/>
          <w:szCs w:val="24"/>
          <w:u w:val="none" w:color="auto"/>
        </w:rPr>
        <w:fldChar w:fldCharType="end"/>
      </w:r>
    </w:p>
    <w:p w14:paraId="4999EF98">
      <w:pPr>
        <w:keepNext w:val="0"/>
        <w:keepLines w:val="0"/>
        <w:pageBreakBefore w:val="0"/>
        <w:widowControl w:val="0"/>
        <w:kinsoku/>
        <w:wordWrap/>
        <w:overflowPunct/>
        <w:topLinePunct w:val="0"/>
        <w:autoSpaceDE/>
        <w:autoSpaceDN/>
        <w:bidi w:val="0"/>
        <w:adjustRightInd/>
        <w:snapToGrid/>
        <w:spacing w:line="220" w:lineRule="atLeast"/>
        <w:textAlignment w:val="auto"/>
        <w:rPr>
          <w:rFonts w:hint="default" w:ascii="Times New Roman" w:hAnsi="Times New Roman" w:cs="Times New Roman"/>
          <w:color w:val="auto"/>
          <w:szCs w:val="24"/>
          <w:u w:val="none" w:color="auto"/>
        </w:rPr>
      </w:pPr>
      <w:r>
        <w:rPr>
          <w:rFonts w:hint="default" w:ascii="Times New Roman" w:hAnsi="Times New Roman" w:cs="Times New Roman"/>
          <w:color w:val="auto"/>
          <w:szCs w:val="24"/>
          <w:u w:val="none" w:color="auto"/>
        </w:rPr>
        <w:fldChar w:fldCharType="end"/>
      </w:r>
      <w:bookmarkStart w:id="0" w:name="_Toc18441_WPSOffice_Level1"/>
      <w:bookmarkStart w:id="1" w:name="_Toc25605_WPSOffice_Level1"/>
    </w:p>
    <w:bookmarkEnd w:id="0"/>
    <w:bookmarkEnd w:id="1"/>
    <w:p w14:paraId="12A79895">
      <w:pPr>
        <w:pStyle w:val="2"/>
        <w:bidi w:val="0"/>
        <w:rPr>
          <w:rFonts w:hint="default"/>
          <w:color w:val="auto"/>
          <w:u w:val="none" w:color="auto"/>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bookmarkStart w:id="2" w:name="_Toc17402_WPSOffice_Level1"/>
      <w:bookmarkStart w:id="3" w:name="_Toc6550_WPSOffice_Level1"/>
      <w:bookmarkStart w:id="4" w:name="_Toc22541_WPSOffice_Level1"/>
      <w:bookmarkStart w:id="5" w:name="_Toc26194"/>
      <w:bookmarkStart w:id="6" w:name="_Toc18997_WPSOffice_Level1"/>
      <w:bookmarkStart w:id="7" w:name="_Toc1056_WPSOffice_Level1"/>
      <w:bookmarkStart w:id="8" w:name="_Toc2912_WPSOffice_Level1"/>
      <w:bookmarkStart w:id="9" w:name="_Toc19097_WPSOffice_Level1"/>
      <w:bookmarkStart w:id="10" w:name="_Toc32656"/>
      <w:bookmarkStart w:id="11" w:name="_Toc8023_WPSOffice_Level1"/>
      <w:bookmarkStart w:id="12" w:name="_Toc26224"/>
      <w:bookmarkStart w:id="13" w:name="_Toc15789_WPSOffice_Level1"/>
    </w:p>
    <w:p w14:paraId="4A964559">
      <w:pPr>
        <w:pStyle w:val="2"/>
        <w:bidi w:val="0"/>
        <w:rPr>
          <w:rFonts w:hint="default"/>
          <w:color w:val="auto"/>
          <w:u w:val="none" w:color="auto"/>
        </w:rPr>
      </w:pPr>
      <w:bookmarkStart w:id="14" w:name="_Toc11958"/>
      <w:r>
        <w:rPr>
          <w:rFonts w:hint="default"/>
          <w:color w:val="auto"/>
          <w:u w:val="none" w:color="auto"/>
        </w:rPr>
        <w:t>1、</w:t>
      </w:r>
      <w:bookmarkEnd w:id="2"/>
      <w:bookmarkEnd w:id="3"/>
      <w:bookmarkEnd w:id="4"/>
      <w:bookmarkEnd w:id="5"/>
      <w:bookmarkEnd w:id="6"/>
      <w:bookmarkEnd w:id="7"/>
      <w:bookmarkEnd w:id="8"/>
      <w:bookmarkEnd w:id="9"/>
      <w:r>
        <w:rPr>
          <w:rFonts w:hint="default"/>
          <w:color w:val="auto"/>
          <w:u w:val="none" w:color="auto"/>
        </w:rPr>
        <w:t>概述</w:t>
      </w:r>
      <w:bookmarkEnd w:id="10"/>
      <w:bookmarkEnd w:id="11"/>
      <w:bookmarkEnd w:id="12"/>
      <w:bookmarkEnd w:id="13"/>
      <w:bookmarkEnd w:id="14"/>
    </w:p>
    <w:p w14:paraId="3A3CEF5C">
      <w:pPr>
        <w:pStyle w:val="3"/>
        <w:spacing w:before="0" w:after="0" w:line="360" w:lineRule="auto"/>
        <w:ind w:left="576" w:hanging="576"/>
        <w:rPr>
          <w:rFonts w:hint="default" w:ascii="Times New Roman" w:hAnsi="Times New Roman" w:cs="Times New Roman"/>
          <w:color w:val="auto"/>
          <w:sz w:val="28"/>
          <w:szCs w:val="28"/>
          <w:u w:val="none" w:color="auto"/>
        </w:rPr>
      </w:pPr>
      <w:bookmarkStart w:id="15" w:name="_Toc7361"/>
      <w:bookmarkStart w:id="16" w:name="_Toc146"/>
      <w:bookmarkStart w:id="17" w:name="_Toc6220_WPSOffice_Level2"/>
      <w:bookmarkStart w:id="18" w:name="_Toc29062_WPSOffice_Level2"/>
      <w:bookmarkStart w:id="19" w:name="_Toc22837"/>
      <w:bookmarkStart w:id="20" w:name="_Toc22577_WPSOffice_Level2"/>
      <w:bookmarkStart w:id="21" w:name="_Toc31341"/>
      <w:bookmarkStart w:id="22" w:name="_Toc4740_WPSOffice_Level2"/>
      <w:bookmarkStart w:id="23" w:name="_Toc12666_WPSOffice_Level2"/>
      <w:bookmarkStart w:id="24" w:name="_Toc13386"/>
      <w:bookmarkStart w:id="25" w:name="_Toc26732"/>
      <w:bookmarkStart w:id="26" w:name="_Toc7342_WPSOffice_Level2"/>
      <w:bookmarkStart w:id="27" w:name="_Toc1734_WPSOffice_Level2"/>
      <w:r>
        <w:rPr>
          <w:rFonts w:hint="default" w:ascii="Times New Roman" w:hAnsi="Times New Roman" w:cs="Times New Roman"/>
          <w:color w:val="auto"/>
          <w:sz w:val="28"/>
          <w:szCs w:val="28"/>
          <w:u w:val="none" w:color="auto"/>
        </w:rPr>
        <w:t>1.1项目由来</w:t>
      </w:r>
      <w:bookmarkEnd w:id="15"/>
      <w:bookmarkEnd w:id="16"/>
      <w:bookmarkEnd w:id="17"/>
      <w:bookmarkEnd w:id="18"/>
      <w:bookmarkEnd w:id="19"/>
      <w:bookmarkEnd w:id="20"/>
      <w:bookmarkEnd w:id="21"/>
      <w:bookmarkEnd w:id="22"/>
      <w:bookmarkEnd w:id="23"/>
      <w:bookmarkEnd w:id="24"/>
      <w:bookmarkEnd w:id="25"/>
      <w:bookmarkEnd w:id="26"/>
      <w:bookmarkEnd w:id="27"/>
    </w:p>
    <w:p w14:paraId="2317D138">
      <w:pPr>
        <w:pStyle w:val="20"/>
        <w:bidi w:val="0"/>
        <w:rPr>
          <w:rFonts w:hint="eastAsia" w:ascii="Times New Roman" w:hAnsi="Times New Roman" w:cs="Times New Roman"/>
          <w:color w:val="auto"/>
          <w:u w:val="none" w:color="auto"/>
          <w:lang w:val="en-US" w:eastAsia="zh-CN"/>
        </w:rPr>
      </w:pPr>
      <w:bookmarkStart w:id="28" w:name="_Toc2127"/>
      <w:bookmarkStart w:id="29" w:name="_Toc471286039"/>
      <w:bookmarkStart w:id="30" w:name="_Toc24737"/>
      <w:bookmarkStart w:id="31" w:name="_Toc19521_WPSOffice_Level2"/>
      <w:bookmarkStart w:id="32" w:name="_Toc481738340"/>
      <w:r>
        <w:rPr>
          <w:rFonts w:hint="eastAsia" w:ascii="Times New Roman" w:hAnsi="Times New Roman" w:cs="Times New Roman"/>
          <w:color w:val="auto"/>
          <w:u w:val="none" w:color="auto"/>
          <w:lang w:val="en-US" w:eastAsia="zh-CN"/>
        </w:rPr>
        <w:t>塑料制品是采用塑料为主要原料加工而成的生活、工业等用品的统称。包括以塑料为原料的注塑、吸塑等所有工艺的制品。它与合成橡胶、合成纤维形成了日常生活不可缺少的三大合成材料。近几年来，塑料与钢铁、木材、水泥一起共同构成了现代工业四大基础材料，在国民经济发展中占有重要地位。相对于金属、石材、木材，塑料制品具有成本低、可塑性强等优点，在国民经济中应用广泛，塑料工业在当今世界上占有极为重要的地位，多年来塑料制品的生产在世界各地高速度发展。我国塑料制品产量在世界排名中始终位于前列，其中多种塑料制品产量已经位于全球首位，我国已经成为世界塑料制品生产大国。我国塑料制品市场需求主要集中于农用塑料制品、包装塑料制品、建筑塑料制品、工业交通及工程塑料制品等几个方面。塑料具有材料综合性能优异，加工方便，生产和使用中可以显著节约能源等优点，被广泛应用于工农业及人民的日常生活之中。</w:t>
      </w:r>
    </w:p>
    <w:p w14:paraId="2B9D4440">
      <w:pPr>
        <w:pStyle w:val="20"/>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PVC大板是一种由PVC材料制成的新型建筑材料，广泛应用于建筑领域中的隔断、屋顶、墙体、悬挂天花等部位；PVC装饰线条是塑料类材料中应用最为广泛的装饰材料之一，具有轻质、隔热、保温、防潮、阻燃、施工简便等特点，规格、色彩、图案繁多，极富装饰性，应用于居室内墙和吊顶的装饰。</w:t>
      </w:r>
    </w:p>
    <w:p w14:paraId="571156B0">
      <w:pPr>
        <w:pStyle w:val="20"/>
        <w:bidi w:val="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湖南铭腾新材料有限公司（以下简称“建设单位”），于2020年在湖南</w:t>
      </w:r>
      <w:r>
        <w:rPr>
          <w:rFonts w:hint="eastAsia"/>
          <w:color w:val="auto"/>
          <w:u w:val="none" w:color="auto"/>
          <w:lang w:val="en-US" w:eastAsia="zh-CN"/>
        </w:rPr>
        <w:t>汨罗高新技术产业开发区新市片区</w:t>
      </w:r>
      <w:r>
        <w:rPr>
          <w:rFonts w:hint="eastAsia" w:ascii="Times New Roman" w:hAnsi="Times New Roman" w:cs="Times New Roman"/>
          <w:color w:val="auto"/>
          <w:u w:val="none" w:color="auto"/>
          <w:lang w:val="en-US" w:eastAsia="zh-CN"/>
        </w:rPr>
        <w:t>西片区S308南侧租赁湖南现代家俱装饰有限公司现有闲置厂房建设了“年产13300吨PVC墙板、5700吨PVC装饰线条建设项目”，并委托</w:t>
      </w:r>
      <w:r>
        <w:rPr>
          <w:rFonts w:hint="eastAsia"/>
          <w:color w:val="auto"/>
          <w:szCs w:val="24"/>
          <w:u w:val="none"/>
        </w:rPr>
        <w:t>湖南德顺环境服务有限公司</w:t>
      </w:r>
      <w:r>
        <w:rPr>
          <w:rFonts w:hint="eastAsia" w:ascii="Times New Roman" w:hAnsi="Times New Roman" w:cs="Times New Roman"/>
          <w:color w:val="auto"/>
          <w:u w:val="none" w:color="auto"/>
          <w:lang w:val="en-US" w:eastAsia="zh-CN"/>
        </w:rPr>
        <w:t>进行了《湖南铭腾新材料有限公司年产13300吨PVC墙板、5700吨PVC装饰线条建设项目环境影响报告书》的编制，项目于2020年10月21日取得了岳阳市生态环境局关于该项目的批复（岳环评〔2020〕129号）。该项目于2022年7月建成投产，并编制了《湖南铭腾新材料有限公司年产13300吨PVC墙板、5700吨PVC装饰线条建设项目竣工环境保护验收报告》，于2023年6月6日取得岳阳市生态环境局汨罗分局园区执法大队的备查表。</w:t>
      </w:r>
    </w:p>
    <w:p w14:paraId="4A76482A">
      <w:pPr>
        <w:pStyle w:val="20"/>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2025年，该项目租赁场地到期，为企业后续发展及当前市场需求的迅速增长以及公司战略发展的迫切需要，建设单位拟购置园区闲置土地新建厂房，并进一步扩展生产能力，以满足日益提升的市场需求和实现公司长期可持续发展的目标。</w:t>
      </w:r>
    </w:p>
    <w:p w14:paraId="2E7A7124">
      <w:pPr>
        <w:pStyle w:val="20"/>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在此背景下，</w:t>
      </w:r>
      <w:r>
        <w:rPr>
          <w:rFonts w:hint="eastAsia" w:cs="Times New Roman"/>
          <w:color w:val="auto"/>
          <w:u w:val="none" w:color="auto"/>
          <w:lang w:val="en-US" w:eastAsia="zh-CN"/>
        </w:rPr>
        <w:t>建设单位</w:t>
      </w:r>
      <w:r>
        <w:rPr>
          <w:rFonts w:hint="default" w:ascii="Times New Roman" w:hAnsi="Times New Roman" w:cs="Times New Roman"/>
          <w:color w:val="auto"/>
          <w:u w:val="none" w:color="auto"/>
          <w:lang w:val="en-US" w:eastAsia="zh-CN"/>
        </w:rPr>
        <w:t>拟投资</w:t>
      </w:r>
      <w:r>
        <w:rPr>
          <w:rFonts w:hint="eastAsia" w:cs="Times New Roman"/>
          <w:color w:val="auto"/>
          <w:u w:val="none" w:color="auto"/>
          <w:lang w:val="en-US" w:eastAsia="zh-CN"/>
        </w:rPr>
        <w:t>3</w:t>
      </w:r>
      <w:r>
        <w:rPr>
          <w:rFonts w:hint="default" w:ascii="Times New Roman" w:hAnsi="Times New Roman" w:cs="Times New Roman"/>
          <w:color w:val="auto"/>
          <w:u w:val="none" w:color="auto"/>
          <w:lang w:val="en-US" w:eastAsia="zh-CN"/>
        </w:rPr>
        <w:t>000万元，</w:t>
      </w:r>
      <w:r>
        <w:rPr>
          <w:rFonts w:hint="eastAsia" w:cs="Times New Roman"/>
          <w:color w:val="auto"/>
          <w:u w:val="none" w:color="auto"/>
          <w:lang w:val="en-US" w:eastAsia="zh-CN"/>
        </w:rPr>
        <w:t>于</w:t>
      </w:r>
      <w:r>
        <w:rPr>
          <w:rFonts w:hint="eastAsia" w:ascii="Times New Roman" w:hAnsi="Times New Roman" w:cs="Times New Roman"/>
          <w:color w:val="auto"/>
          <w:u w:val="none" w:color="auto"/>
          <w:lang w:val="en-US" w:eastAsia="zh-CN"/>
        </w:rPr>
        <w:t>湖南</w:t>
      </w:r>
      <w:r>
        <w:rPr>
          <w:rFonts w:hint="eastAsia"/>
          <w:color w:val="auto"/>
          <w:u w:val="none" w:color="auto"/>
          <w:lang w:val="en-US" w:eastAsia="zh-CN"/>
        </w:rPr>
        <w:t>汨罗高新技术产业开发区新市片区</w:t>
      </w:r>
      <w:r>
        <w:rPr>
          <w:rFonts w:hint="eastAsia" w:ascii="Times New Roman" w:hAnsi="Times New Roman" w:cs="Times New Roman"/>
          <w:color w:val="auto"/>
          <w:u w:val="none" w:color="auto"/>
          <w:lang w:val="en-US" w:eastAsia="zh-CN"/>
        </w:rPr>
        <w:t>西片区</w:t>
      </w:r>
      <w:r>
        <w:rPr>
          <w:rFonts w:hint="eastAsia" w:ascii="Times New Roman" w:hAnsi="Times New Roman" w:eastAsia="宋体" w:cs="Times New Roman"/>
          <w:kern w:val="0"/>
          <w:sz w:val="24"/>
          <w:lang w:val="en-US" w:eastAsia="zh-CN"/>
        </w:rPr>
        <w:t>龙舟路东侧合心路北侧购置园区闲置土地新建厂房</w:t>
      </w:r>
      <w:r>
        <w:rPr>
          <w:rFonts w:hint="eastAsia" w:cs="Times New Roman"/>
          <w:color w:val="auto"/>
          <w:u w:val="none" w:color="auto"/>
          <w:lang w:val="en-US" w:eastAsia="zh-CN"/>
        </w:rPr>
        <w:t>，</w:t>
      </w:r>
      <w:r>
        <w:rPr>
          <w:rFonts w:hint="default" w:ascii="Times New Roman" w:hAnsi="Times New Roman" w:cs="Times New Roman"/>
          <w:color w:val="auto"/>
          <w:u w:val="none" w:color="auto"/>
          <w:lang w:val="en-US" w:eastAsia="zh-CN"/>
        </w:rPr>
        <w:t>建设</w:t>
      </w:r>
      <w:r>
        <w:rPr>
          <w:rFonts w:hint="eastAsia" w:ascii="宋体" w:hAnsi="宋体" w:eastAsia="宋体" w:cs="宋体"/>
          <w:color w:val="auto"/>
          <w:u w:val="none" w:color="auto"/>
          <w:lang w:val="en-US" w:eastAsia="zh-CN"/>
        </w:rPr>
        <w:t>“</w:t>
      </w:r>
      <w:r>
        <w:rPr>
          <w:rFonts w:hint="default" w:ascii="Times New Roman" w:hAnsi="Times New Roman" w:cs="Times New Roman"/>
          <w:color w:val="auto"/>
          <w:u w:val="none" w:color="auto"/>
          <w:lang w:val="en-US" w:eastAsia="zh-CN"/>
        </w:rPr>
        <w:t>铭腾高分子制品年产30000吨塑料板材、5000吨装饰线条建设项目</w:t>
      </w:r>
      <w:r>
        <w:rPr>
          <w:rFonts w:hint="eastAsia" w:ascii="宋体" w:hAnsi="宋体" w:eastAsia="宋体" w:cs="宋体"/>
          <w:color w:val="auto"/>
          <w:u w:val="none" w:color="auto"/>
          <w:lang w:val="en-US" w:eastAsia="zh-CN"/>
        </w:rPr>
        <w:t>”</w:t>
      </w:r>
      <w:r>
        <w:rPr>
          <w:rFonts w:hint="default" w:ascii="Times New Roman" w:hAnsi="Times New Roman" w:cs="Times New Roman"/>
          <w:color w:val="auto"/>
          <w:u w:val="none" w:color="auto"/>
          <w:lang w:val="en-US" w:eastAsia="zh-CN"/>
        </w:rPr>
        <w:t>。</w:t>
      </w:r>
      <w:bookmarkStart w:id="33" w:name="_Toc2826_WPSOffice_Level2"/>
      <w:bookmarkStart w:id="34" w:name="_Toc5470_WPSOffice_Level2"/>
      <w:bookmarkStart w:id="35" w:name="_Toc25032_WPSOffice_Level2"/>
      <w:bookmarkStart w:id="36" w:name="_Toc2361_WPSOffice_Level2"/>
      <w:bookmarkStart w:id="37" w:name="_Toc17469_WPSOffice_Level2"/>
      <w:bookmarkStart w:id="38" w:name="_Toc31517_WPSOffice_Level2"/>
      <w:bookmarkStart w:id="39" w:name="_Toc7141"/>
    </w:p>
    <w:p w14:paraId="35BCB2B0">
      <w:pPr>
        <w:pStyle w:val="20"/>
        <w:ind w:firstLine="480"/>
        <w:rPr>
          <w:rFonts w:hint="default" w:ascii="Times New Roman" w:hAnsi="Times New Roman" w:cs="Times New Roman"/>
          <w:color w:val="auto"/>
          <w:u w:val="none" w:color="auto"/>
          <w:lang w:val="en-US"/>
        </w:rPr>
      </w:pPr>
      <w:r>
        <w:rPr>
          <w:rFonts w:hint="default" w:ascii="Times New Roman" w:hAnsi="Times New Roman" w:eastAsia="宋体" w:cs="Times New Roman"/>
          <w:b/>
          <w:bCs/>
          <w:color w:val="auto"/>
          <w:kern w:val="0"/>
          <w:sz w:val="24"/>
          <w:u w:val="none" w:color="auto"/>
          <w:lang w:eastAsia="zh-CN"/>
        </w:rPr>
        <w:t>搬迁必要性分析：</w:t>
      </w:r>
      <w:r>
        <w:rPr>
          <w:rFonts w:hint="default" w:ascii="Times New Roman" w:hAnsi="Times New Roman" w:eastAsia="宋体" w:cs="Times New Roman"/>
          <w:color w:val="auto"/>
          <w:kern w:val="0"/>
          <w:sz w:val="24"/>
          <w:u w:val="none" w:color="auto"/>
          <w:lang w:eastAsia="zh-CN"/>
        </w:rPr>
        <w:t>公司现有厂址位于</w:t>
      </w:r>
      <w:r>
        <w:rPr>
          <w:rFonts w:hint="eastAsia" w:ascii="Times New Roman" w:hAnsi="Times New Roman" w:eastAsia="宋体" w:cs="Times New Roman"/>
          <w:color w:val="auto"/>
          <w:kern w:val="0"/>
          <w:sz w:val="24"/>
          <w:u w:val="none" w:color="auto"/>
          <w:lang w:val="en-US" w:eastAsia="zh-CN"/>
        </w:rPr>
        <w:t>湖南</w:t>
      </w:r>
      <w:r>
        <w:rPr>
          <w:rFonts w:hint="eastAsia"/>
          <w:color w:val="auto"/>
          <w:u w:val="none" w:color="auto"/>
          <w:lang w:val="en-US" w:eastAsia="zh-CN"/>
        </w:rPr>
        <w:t>汨罗高新技术产业开发区新市片区西片区S308南侧湖南现代家俱装饰有限公司现有闲置厂房</w:t>
      </w:r>
      <w:r>
        <w:rPr>
          <w:rFonts w:hint="default" w:ascii="Times New Roman" w:hAnsi="Times New Roman" w:eastAsia="宋体" w:cs="Times New Roman"/>
          <w:color w:val="auto"/>
          <w:kern w:val="0"/>
          <w:sz w:val="24"/>
          <w:u w:val="none" w:color="auto"/>
          <w:lang w:eastAsia="zh-CN"/>
        </w:rPr>
        <w:t>，</w:t>
      </w:r>
      <w:r>
        <w:rPr>
          <w:rFonts w:hint="eastAsia" w:ascii="Times New Roman" w:hAnsi="Times New Roman" w:cs="Times New Roman"/>
          <w:color w:val="auto"/>
          <w:u w:val="none" w:color="auto"/>
          <w:lang w:val="en-US" w:eastAsia="zh-CN"/>
        </w:rPr>
        <w:t>建设单位与</w:t>
      </w:r>
      <w:r>
        <w:rPr>
          <w:rFonts w:hint="eastAsia"/>
          <w:color w:val="auto"/>
          <w:u w:val="none" w:color="auto"/>
          <w:lang w:val="en-US" w:eastAsia="zh-CN"/>
        </w:rPr>
        <w:t>湖南现代家俱装饰有限公司双方签订的租赁合同为期五年，2025年即将到期；此外，公司现有厂房占地面积仅5310m</w:t>
      </w:r>
      <w:r>
        <w:rPr>
          <w:rFonts w:hint="eastAsia"/>
          <w:color w:val="auto"/>
          <w:u w:val="none" w:color="auto"/>
          <w:vertAlign w:val="superscript"/>
          <w:lang w:val="en-US" w:eastAsia="zh-CN"/>
        </w:rPr>
        <w:t>2</w:t>
      </w:r>
      <w:r>
        <w:rPr>
          <w:rFonts w:hint="eastAsia"/>
          <w:color w:val="auto"/>
          <w:u w:val="none" w:color="auto"/>
          <w:lang w:val="en-US" w:eastAsia="zh-CN"/>
        </w:rPr>
        <w:t>，现有厂房内工艺摆放较为紧凑混乱，且现有场地无法满足建设单位后续发展</w:t>
      </w:r>
      <w:r>
        <w:rPr>
          <w:rFonts w:hint="eastAsia" w:ascii="Times New Roman" w:hAnsi="Times New Roman" w:eastAsia="宋体" w:cs="Times New Roman"/>
          <w:color w:val="auto"/>
          <w:kern w:val="0"/>
          <w:sz w:val="24"/>
          <w:u w:val="none" w:color="auto"/>
          <w:lang w:val="en-US" w:eastAsia="zh-CN"/>
        </w:rPr>
        <w:t>。项目拟将公司搬迁至湖南汨罗高新技术产业开发区新市片区西片区</w:t>
      </w:r>
      <w:r>
        <w:rPr>
          <w:rFonts w:hint="eastAsia" w:ascii="Times New Roman" w:hAnsi="Times New Roman" w:eastAsia="宋体" w:cs="Times New Roman"/>
          <w:kern w:val="0"/>
          <w:sz w:val="24"/>
          <w:lang w:val="en-US" w:eastAsia="zh-CN"/>
        </w:rPr>
        <w:t>龙舟路东侧合心路北侧，购置园区闲置土地新建厂房，</w:t>
      </w:r>
      <w:r>
        <w:rPr>
          <w:rFonts w:hint="eastAsia"/>
          <w:b w:val="0"/>
          <w:bCs w:val="0"/>
          <w:color w:val="auto"/>
          <w:u w:val="none" w:color="auto"/>
          <w:lang w:val="en-US" w:eastAsia="zh-CN"/>
        </w:rPr>
        <w:t>建设规划用地37749.6m</w:t>
      </w:r>
      <w:r>
        <w:rPr>
          <w:rFonts w:hint="eastAsia"/>
          <w:b w:val="0"/>
          <w:bCs w:val="0"/>
          <w:color w:val="auto"/>
          <w:u w:val="none" w:color="auto"/>
          <w:vertAlign w:val="superscript"/>
          <w:lang w:val="en-US" w:eastAsia="zh-CN"/>
        </w:rPr>
        <w:t>2</w:t>
      </w:r>
      <w:r>
        <w:rPr>
          <w:rFonts w:hint="eastAsia"/>
          <w:b w:val="0"/>
          <w:bCs w:val="0"/>
          <w:color w:val="auto"/>
          <w:u w:val="none" w:color="auto"/>
          <w:lang w:val="en-US" w:eastAsia="zh-CN"/>
        </w:rPr>
        <w:t>，</w:t>
      </w:r>
      <w:r>
        <w:rPr>
          <w:rFonts w:hint="eastAsia"/>
          <w:color w:val="auto"/>
          <w:u w:val="none" w:color="auto"/>
          <w:lang w:val="en-US" w:eastAsia="zh-CN"/>
        </w:rPr>
        <w:t>主要建设三栋标准化厂房、一栋综合楼、一栋设备房、一栋门卫室，在厂房内进行合理功能分区，使公司生产运转更加方便。</w:t>
      </w:r>
    </w:p>
    <w:p w14:paraId="34849F51">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根据《中华人民共和国环境保护法》（2015年1月1日）、《中华人民共和国环境影响评价法》（2018年12月29日）</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《建设项目环境影响评价分类管理名录》（生态环境部第1</w:t>
      </w:r>
      <w:r>
        <w:rPr>
          <w:rFonts w:hint="default"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号令）的有关规定，</w:t>
      </w:r>
      <w:r>
        <w:rPr>
          <w:rFonts w:hint="default" w:ascii="Times New Roman" w:hAnsi="Times New Roman" w:cs="Times New Roman"/>
          <w:color w:val="auto"/>
          <w:u w:val="none" w:color="auto"/>
          <w:lang w:eastAsia="zh-CN"/>
        </w:rPr>
        <w:t>本项目</w:t>
      </w:r>
      <w:r>
        <w:rPr>
          <w:rFonts w:hint="default" w:ascii="Times New Roman" w:hAnsi="Times New Roman" w:cs="Times New Roman"/>
          <w:color w:val="auto"/>
          <w:szCs w:val="24"/>
          <w:u w:val="none" w:color="auto"/>
        </w:rPr>
        <w:t>使用再生塑料为原料，属</w:t>
      </w:r>
      <w:r>
        <w:rPr>
          <w:rFonts w:hint="default" w:ascii="Times New Roman" w:hAnsi="Times New Roman" w:eastAsia="宋体" w:cs="Times New Roman"/>
          <w:color w:val="auto"/>
          <w:szCs w:val="24"/>
          <w:u w:val="none" w:color="auto"/>
        </w:rPr>
        <w:t>于</w:t>
      </w:r>
      <w:r>
        <w:rPr>
          <w:rFonts w:hint="eastAsia" w:ascii="宋体" w:hAnsi="宋体" w:eastAsia="宋体" w:cs="宋体"/>
          <w:color w:val="auto"/>
          <w:u w:val="none" w:color="auto"/>
        </w:rPr>
        <w:t>“</w:t>
      </w:r>
      <w:r>
        <w:rPr>
          <w:rFonts w:hint="default" w:ascii="Times New Roman" w:hAnsi="Times New Roman" w:eastAsia="宋体" w:cs="Times New Roman"/>
          <w:color w:val="auto"/>
          <w:u w:val="none" w:color="auto"/>
          <w:lang w:val="en-US" w:eastAsia="zh-CN"/>
        </w:rPr>
        <w:t>二十六</w:t>
      </w:r>
      <w:r>
        <w:rPr>
          <w:rFonts w:hint="default" w:ascii="Times New Roman" w:hAnsi="Times New Roman" w:eastAsia="宋体" w:cs="Times New Roman"/>
          <w:color w:val="auto"/>
          <w:u w:val="none" w:color="auto"/>
        </w:rPr>
        <w:t>、橡胶和塑料制品业—</w:t>
      </w:r>
      <w:r>
        <w:rPr>
          <w:rFonts w:hint="default" w:ascii="Times New Roman" w:hAnsi="Times New Roman" w:eastAsia="宋体" w:cs="Times New Roman"/>
          <w:color w:val="auto"/>
          <w:u w:val="none" w:color="auto"/>
          <w:lang w:val="en-US" w:eastAsia="zh-CN"/>
        </w:rPr>
        <w:t>53</w:t>
      </w:r>
      <w:r>
        <w:rPr>
          <w:rFonts w:hint="default" w:ascii="Times New Roman" w:hAnsi="Times New Roman" w:cs="Times New Roman"/>
          <w:color w:val="auto"/>
          <w:u w:val="none" w:color="auto"/>
          <w:lang w:eastAsia="zh-CN"/>
        </w:rPr>
        <w:t>塑料制品业</w:t>
      </w:r>
      <w:r>
        <w:rPr>
          <w:rFonts w:hint="eastAsia" w:ascii="宋体" w:hAnsi="宋体" w:eastAsia="宋体" w:cs="宋体"/>
          <w:color w:val="auto"/>
          <w:u w:val="none" w:color="auto"/>
        </w:rPr>
        <w:t>”中的“以</w:t>
      </w:r>
      <w:r>
        <w:rPr>
          <w:rFonts w:hint="default" w:ascii="Times New Roman" w:hAnsi="Times New Roman" w:eastAsia="宋体" w:cs="Times New Roman"/>
          <w:color w:val="auto"/>
          <w:u w:val="none" w:color="auto"/>
        </w:rPr>
        <w:t>再生塑料为原料生产的</w:t>
      </w:r>
      <w:r>
        <w:rPr>
          <w:rFonts w:hint="eastAsia" w:ascii="宋体" w:hAnsi="宋体" w:eastAsia="宋体" w:cs="宋体"/>
          <w:color w:val="auto"/>
          <w:u w:val="none" w:color="auto"/>
        </w:rPr>
        <w:t>”</w:t>
      </w:r>
      <w:r>
        <w:rPr>
          <w:rFonts w:hint="default" w:ascii="Times New Roman" w:hAnsi="Times New Roman" w:eastAsia="宋体" w:cs="Times New Roman"/>
          <w:color w:val="auto"/>
          <w:u w:val="none" w:color="auto"/>
          <w:lang w:eastAsia="zh-CN"/>
        </w:rPr>
        <w:t>，</w:t>
      </w:r>
      <w:r>
        <w:rPr>
          <w:rFonts w:hint="default" w:ascii="Times New Roman" w:hAnsi="Times New Roman" w:cs="Times New Roman"/>
          <w:color w:val="auto"/>
          <w:szCs w:val="24"/>
          <w:u w:val="none" w:color="auto"/>
        </w:rPr>
        <w:t>按要求应编制环境影响报告书</w:t>
      </w:r>
      <w:r>
        <w:rPr>
          <w:rFonts w:hint="default" w:ascii="Times New Roman" w:hAnsi="Times New Roman" w:cs="Times New Roman"/>
          <w:color w:val="auto"/>
          <w:szCs w:val="24"/>
          <w:u w:val="none" w:color="auto"/>
          <w:lang w:eastAsia="zh-CN"/>
        </w:rPr>
        <w:t>。</w:t>
      </w:r>
      <w:r>
        <w:rPr>
          <w:rFonts w:hint="default" w:ascii="Times New Roman" w:hAnsi="Times New Roman" w:cs="Times New Roman"/>
          <w:color w:val="auto"/>
          <w:szCs w:val="24"/>
          <w:u w:val="none" w:color="auto"/>
        </w:rPr>
        <w:t>因此建设单位委托湖南</w:t>
      </w:r>
      <w:r>
        <w:rPr>
          <w:rFonts w:hint="default" w:ascii="Times New Roman" w:hAnsi="Times New Roman" w:cs="Times New Roman"/>
          <w:color w:val="auto"/>
          <w:szCs w:val="24"/>
          <w:u w:val="none" w:color="auto"/>
          <w:lang w:val="en-US" w:eastAsia="zh-CN"/>
        </w:rPr>
        <w:t>顺洄环保科技</w:t>
      </w:r>
      <w:r>
        <w:rPr>
          <w:rFonts w:hint="default" w:ascii="Times New Roman" w:hAnsi="Times New Roman" w:cs="Times New Roman"/>
          <w:color w:val="auto"/>
          <w:szCs w:val="24"/>
          <w:u w:val="none" w:color="auto"/>
        </w:rPr>
        <w:t>有限公司承担该项目的环境影响评价编制工作。评价单位在充分收集有关资料并深入进行现场踏勘后，依据国家、地方的有关环保法律、法规，在建设单位大力支持下，完成了项目环境影响报告书的编制工作，上报有关</w:t>
      </w:r>
      <w:r>
        <w:rPr>
          <w:rFonts w:hint="default" w:ascii="Times New Roman" w:hAnsi="Times New Roman" w:cs="Times New Roman"/>
          <w:color w:val="auto"/>
          <w:szCs w:val="24"/>
          <w:u w:val="none" w:color="auto"/>
          <w:lang w:val="en-US" w:eastAsia="zh-CN"/>
        </w:rPr>
        <w:t>生态环境</w:t>
      </w:r>
      <w:r>
        <w:rPr>
          <w:rFonts w:hint="default" w:ascii="Times New Roman" w:hAnsi="Times New Roman" w:cs="Times New Roman"/>
          <w:color w:val="auto"/>
          <w:szCs w:val="24"/>
          <w:u w:val="none" w:color="auto"/>
        </w:rPr>
        <w:t>主管部门审批。</w:t>
      </w:r>
    </w:p>
    <w:bookmarkEnd w:id="33"/>
    <w:bookmarkEnd w:id="34"/>
    <w:bookmarkEnd w:id="35"/>
    <w:bookmarkEnd w:id="36"/>
    <w:bookmarkEnd w:id="37"/>
    <w:bookmarkEnd w:id="38"/>
    <w:bookmarkEnd w:id="39"/>
    <w:p w14:paraId="411714AD">
      <w:pPr>
        <w:pStyle w:val="3"/>
        <w:spacing w:before="0" w:after="0" w:line="360" w:lineRule="auto"/>
        <w:ind w:left="576" w:hanging="576"/>
        <w:rPr>
          <w:rFonts w:hint="default" w:ascii="Times New Roman" w:hAnsi="Times New Roman" w:cs="Times New Roman"/>
          <w:color w:val="auto"/>
          <w:sz w:val="28"/>
          <w:szCs w:val="28"/>
          <w:u w:val="none" w:color="auto"/>
        </w:rPr>
      </w:pPr>
      <w:bookmarkStart w:id="40" w:name="_Toc18434_WPSOffice_Level2"/>
      <w:bookmarkStart w:id="41" w:name="_Toc9127_WPSOffice_Level2"/>
      <w:bookmarkStart w:id="42" w:name="_Toc4491_WPSOffice_Level2"/>
      <w:bookmarkStart w:id="43" w:name="_Toc19873_WPSOffice_Level2"/>
      <w:bookmarkStart w:id="44" w:name="_Toc12325"/>
      <w:bookmarkStart w:id="45" w:name="_Toc21676"/>
      <w:bookmarkStart w:id="46" w:name="_Toc13996"/>
      <w:bookmarkStart w:id="47" w:name="_Toc15751"/>
      <w:bookmarkStart w:id="48" w:name="_Toc23635_WPSOffice_Level2"/>
      <w:bookmarkStart w:id="49" w:name="_Toc26293_WPSOffice_Level2"/>
      <w:r>
        <w:rPr>
          <w:rFonts w:hint="default" w:ascii="Times New Roman" w:hAnsi="Times New Roman" w:cs="Times New Roman"/>
          <w:color w:val="auto"/>
          <w:sz w:val="28"/>
          <w:szCs w:val="28"/>
          <w:u w:val="none" w:color="auto"/>
        </w:rPr>
        <w:t>1.</w:t>
      </w:r>
      <w:r>
        <w:rPr>
          <w:rFonts w:hint="eastAsia" w:ascii="Times New Roman" w:hAnsi="Times New Roman" w:cs="Times New Roman"/>
          <w:color w:val="auto"/>
          <w:sz w:val="28"/>
          <w:szCs w:val="28"/>
          <w:u w:val="none" w:color="auto"/>
          <w:lang w:val="en-US" w:eastAsia="zh-CN"/>
        </w:rPr>
        <w:t>2</w:t>
      </w:r>
      <w:r>
        <w:rPr>
          <w:rFonts w:hint="default" w:ascii="Times New Roman" w:hAnsi="Times New Roman" w:cs="Times New Roman"/>
          <w:color w:val="auto"/>
          <w:sz w:val="28"/>
          <w:szCs w:val="28"/>
          <w:u w:val="none" w:color="auto"/>
        </w:rPr>
        <w:t>环境影响评价的工作过程</w:t>
      </w:r>
      <w:bookmarkEnd w:id="40"/>
      <w:bookmarkEnd w:id="41"/>
      <w:bookmarkEnd w:id="42"/>
      <w:bookmarkEnd w:id="43"/>
      <w:bookmarkEnd w:id="44"/>
      <w:bookmarkEnd w:id="45"/>
      <w:bookmarkEnd w:id="46"/>
      <w:bookmarkEnd w:id="47"/>
      <w:bookmarkEnd w:id="48"/>
      <w:bookmarkEnd w:id="49"/>
    </w:p>
    <w:p w14:paraId="00EE30F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20</w:t>
      </w:r>
      <w:r>
        <w:rPr>
          <w:rFonts w:hint="default"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年</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月，</w:t>
      </w:r>
      <w:r>
        <w:rPr>
          <w:rFonts w:hint="eastAsia" w:ascii="Times New Roman" w:hAnsi="Times New Roman" w:cs="Times New Roman"/>
          <w:color w:val="auto"/>
          <w:u w:val="none" w:color="auto"/>
          <w:lang w:val="en-US" w:eastAsia="zh-CN"/>
        </w:rPr>
        <w:t>湖南铭腾新材料有限公司</w:t>
      </w:r>
      <w:r>
        <w:rPr>
          <w:rFonts w:hint="default" w:ascii="Times New Roman" w:hAnsi="Times New Roman" w:cs="Times New Roman"/>
          <w:color w:val="auto"/>
          <w:u w:val="none" w:color="auto"/>
        </w:rPr>
        <w:t>委托</w:t>
      </w:r>
      <w:r>
        <w:rPr>
          <w:rFonts w:hint="eastAsia" w:ascii="Times New Roman" w:hAnsi="Times New Roman" w:cs="Times New Roman"/>
          <w:color w:val="auto"/>
          <w:u w:val="none" w:color="auto"/>
          <w:lang w:eastAsia="zh-CN"/>
        </w:rPr>
        <w:t>湖南顺洄环保科技有限公司</w:t>
      </w:r>
      <w:r>
        <w:rPr>
          <w:rFonts w:hint="default" w:ascii="Times New Roman" w:hAnsi="Times New Roman" w:cs="Times New Roman"/>
          <w:color w:val="auto"/>
          <w:u w:val="none" w:color="auto"/>
        </w:rPr>
        <w:t>承担</w:t>
      </w:r>
      <w:r>
        <w:rPr>
          <w:rFonts w:hint="eastAsia" w:ascii="Times New Roman" w:hAnsi="Times New Roman" w:cs="Times New Roman"/>
          <w:color w:val="auto"/>
          <w:u w:val="none" w:color="auto"/>
          <w:lang w:val="en-US" w:eastAsia="zh-CN"/>
        </w:rPr>
        <w:t>铭腾高分子制品年产30000吨塑料板材、5000吨装饰线条建设项目</w:t>
      </w:r>
      <w:r>
        <w:rPr>
          <w:rFonts w:hint="default" w:ascii="Times New Roman" w:hAnsi="Times New Roman" w:cs="Times New Roman"/>
          <w:color w:val="auto"/>
          <w:u w:val="none" w:color="auto"/>
        </w:rPr>
        <w:t>的环境影响评价工作。我单位承接任务后，随即组成环境影响评价工作组，安排有关环评技术人员赴现场进行调查，收集有关资料，调查厂址周围的地表水、环境空气、声环境和地下水环境质量现状资料，收集了项目所在区域近期环境质量现状监测数据；并根据项目的规模、污染物排放量及</w:t>
      </w:r>
      <w:r>
        <w:rPr>
          <w:rFonts w:hint="eastAsia" w:ascii="宋体" w:hAnsi="宋体" w:eastAsia="宋体" w:cs="宋体"/>
          <w:color w:val="auto"/>
          <w:u w:val="none" w:color="auto"/>
        </w:rPr>
        <w:t>其“三废”</w:t>
      </w:r>
      <w:r>
        <w:rPr>
          <w:rFonts w:hint="default" w:ascii="Times New Roman" w:hAnsi="Times New Roman" w:cs="Times New Roman"/>
          <w:color w:val="auto"/>
          <w:u w:val="none" w:color="auto"/>
        </w:rPr>
        <w:t>处理措施，分析和预测项目可能对周围环境产生的影响程度和范围，提出相应的减缓环境影响的对策和措施。在以上基础上，根据国家、省市的有关环保法规及环境影响评价技术导则的要求，并结合本项目的工程特点，编制完成了《</w:t>
      </w:r>
      <w:r>
        <w:rPr>
          <w:rFonts w:hint="eastAsia" w:ascii="Times New Roman" w:hAnsi="Times New Roman" w:cs="Times New Roman"/>
          <w:color w:val="auto"/>
          <w:u w:val="none" w:color="auto"/>
          <w:lang w:val="en-US" w:eastAsia="zh-CN"/>
        </w:rPr>
        <w:t>湖南铭腾新材料有限公司</w:t>
      </w:r>
      <w:r>
        <w:rPr>
          <w:rFonts w:hint="default" w:ascii="Times New Roman" w:hAnsi="Times New Roman" w:cs="Times New Roman"/>
          <w:color w:val="auto"/>
          <w:u w:val="none" w:color="auto"/>
        </w:rPr>
        <w:t>铭腾高分子制品年产30000吨塑料板材、5000吨装饰线条建设项目环境影响报告书》，现提交建设单位呈送</w:t>
      </w:r>
      <w:r>
        <w:rPr>
          <w:rFonts w:hint="eastAsia" w:cs="Times New Roman"/>
          <w:color w:val="auto"/>
          <w:u w:val="none" w:color="auto"/>
          <w:lang w:val="en-US" w:eastAsia="zh-CN"/>
        </w:rPr>
        <w:t>生态环境</w:t>
      </w:r>
      <w:r>
        <w:rPr>
          <w:rFonts w:hint="default" w:ascii="Times New Roman" w:hAnsi="Times New Roman" w:cs="Times New Roman"/>
          <w:color w:val="auto"/>
          <w:u w:val="none" w:color="auto"/>
        </w:rPr>
        <w:t>主管部门审查。</w:t>
      </w:r>
    </w:p>
    <w:p w14:paraId="10723443">
      <w:pPr>
        <w:spacing w:line="360" w:lineRule="auto"/>
        <w:ind w:firstLine="434" w:firstLineChars="181"/>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本项目环境影响评价程序如下图所示。</w:t>
      </w:r>
    </w:p>
    <w:p w14:paraId="57569549">
      <w:pPr>
        <w:spacing w:line="360" w:lineRule="auto"/>
        <w:rPr>
          <w:rFonts w:hint="default" w:ascii="Times New Roman" w:hAnsi="Times New Roman" w:cs="Times New Roman"/>
          <w:color w:val="auto"/>
          <w:sz w:val="24"/>
          <w:u w:val="none" w:color="auto"/>
        </w:rPr>
      </w:pPr>
      <w:r>
        <w:rPr>
          <w:rFonts w:hint="default" w:ascii="Times New Roman" w:hAnsi="Times New Roman" w:cs="Times New Roman"/>
          <w:color w:val="auto"/>
          <w:u w:val="none" w:color="auto"/>
        </w:rPr>
        <w:object>
          <v:shape id="_x0000_i1033" o:spt="75" type="#_x0000_t75" style="height:447.95pt;width:400pt;" o:ole="t" filled="f" o:preferrelative="t" stroked="f" coordsize="21600,21600">
            <v:path/>
            <v:fill on="f" focussize="0,0"/>
            <v:stroke on="f"/>
            <v:imagedata r:id="rId24" o:title=""/>
            <o:lock v:ext="edit" aspectratio="t"/>
            <w10:wrap type="none"/>
            <w10:anchorlock/>
          </v:shape>
          <o:OLEObject Type="Embed" ProgID="Visio.Drawing.11" ShapeID="_x0000_i1033" DrawAspect="Content" ObjectID="_1468075725" r:id="rId23">
            <o:LockedField>false</o:LockedField>
          </o:OLEObject>
        </w:object>
      </w:r>
    </w:p>
    <w:p w14:paraId="111F6A86">
      <w:pPr>
        <w:pStyle w:val="21"/>
        <w:bidi w:val="0"/>
        <w:rPr>
          <w:rFonts w:hint="default"/>
          <w:color w:val="auto"/>
          <w:u w:val="none" w:color="auto"/>
        </w:rPr>
      </w:pPr>
      <w:r>
        <w:rPr>
          <w:rFonts w:hint="default"/>
          <w:color w:val="auto"/>
          <w:u w:val="none" w:color="auto"/>
        </w:rPr>
        <w:t>图1.</w:t>
      </w:r>
      <w:r>
        <w:rPr>
          <w:rFonts w:hint="eastAsia"/>
          <w:color w:val="auto"/>
          <w:u w:val="none" w:color="auto"/>
          <w:lang w:val="en-US" w:eastAsia="zh-CN"/>
        </w:rPr>
        <w:t>2</w:t>
      </w:r>
      <w:r>
        <w:rPr>
          <w:rFonts w:hint="default"/>
          <w:color w:val="auto"/>
          <w:u w:val="none" w:color="auto"/>
        </w:rPr>
        <w:t>-1环境影响评价程序图</w:t>
      </w:r>
    </w:p>
    <w:p w14:paraId="6BA36AD9">
      <w:pPr>
        <w:pStyle w:val="3"/>
        <w:rPr>
          <w:rFonts w:hint="default" w:ascii="Times New Roman" w:hAnsi="Times New Roman" w:cs="Times New Roman"/>
          <w:color w:val="auto"/>
          <w:u w:val="none" w:color="auto"/>
        </w:rPr>
      </w:pPr>
      <w:bookmarkStart w:id="50" w:name="_Toc1561_WPSOffice_Level2"/>
      <w:bookmarkStart w:id="51" w:name="_Toc10979"/>
      <w:bookmarkStart w:id="52" w:name="_Toc10450_WPSOffice_Level2"/>
      <w:bookmarkStart w:id="53" w:name="_Toc7324"/>
      <w:bookmarkStart w:id="54" w:name="_Toc6173_WPSOffice_Level2"/>
      <w:bookmarkStart w:id="55" w:name="_Toc13460_WPSOffice_Level2"/>
      <w:bookmarkStart w:id="56" w:name="_Toc1117"/>
      <w:bookmarkStart w:id="57" w:name="_Toc31780"/>
      <w:bookmarkStart w:id="58" w:name="_Toc4867"/>
      <w:bookmarkStart w:id="59" w:name="_Toc9919"/>
      <w:bookmarkStart w:id="60" w:name="_Toc29683_WPSOffice_Level2"/>
      <w:bookmarkStart w:id="61" w:name="_Toc343691364"/>
      <w:bookmarkStart w:id="62" w:name="_Toc6427"/>
      <w:bookmarkStart w:id="63" w:name="_Toc372124975"/>
      <w:bookmarkStart w:id="64" w:name="_Toc25794_WPSOffice_Level2"/>
      <w:bookmarkStart w:id="65" w:name="_Toc1015_WPSOffice_Level2"/>
      <w:bookmarkStart w:id="66" w:name="_Toc4971"/>
      <w:r>
        <w:rPr>
          <w:rFonts w:hint="default" w:ascii="Times New Roman" w:hAnsi="Times New Roman" w:cs="Times New Roman"/>
          <w:color w:val="auto"/>
          <w:u w:val="none" w:color="auto"/>
        </w:rPr>
        <w:t>1.</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分析判定相关环保政策</w:t>
      </w:r>
      <w:bookmarkEnd w:id="50"/>
      <w:bookmarkEnd w:id="51"/>
      <w:bookmarkEnd w:id="52"/>
      <w:bookmarkEnd w:id="53"/>
      <w:bookmarkEnd w:id="54"/>
      <w:bookmarkEnd w:id="55"/>
      <w:bookmarkEnd w:id="56"/>
    </w:p>
    <w:p w14:paraId="237E1420">
      <w:pPr>
        <w:pStyle w:val="4"/>
        <w:rPr>
          <w:rFonts w:hint="default" w:ascii="Times New Roman" w:hAnsi="Times New Roman" w:cs="Times New Roman"/>
          <w:color w:val="auto"/>
          <w:u w:val="none" w:color="auto"/>
        </w:rPr>
      </w:pPr>
      <w:bookmarkStart w:id="67" w:name="_Toc31251"/>
      <w:bookmarkStart w:id="68" w:name="_Toc16213"/>
      <w:bookmarkStart w:id="69" w:name="_Toc25413"/>
      <w:bookmarkStart w:id="70" w:name="_Toc10173"/>
      <w:bookmarkStart w:id="71" w:name="_Toc19394"/>
      <w:bookmarkStart w:id="72" w:name="_Toc920"/>
      <w:bookmarkStart w:id="73" w:name="_Toc32291"/>
      <w:bookmarkStart w:id="74" w:name="_Toc17000"/>
      <w:bookmarkStart w:id="75" w:name="_Toc31270"/>
      <w:bookmarkStart w:id="76" w:name="_Toc29991"/>
      <w:bookmarkStart w:id="77" w:name="_Toc10724"/>
      <w:bookmarkStart w:id="78" w:name="_Toc10090"/>
      <w:bookmarkStart w:id="79" w:name="_Toc5805"/>
      <w:bookmarkStart w:id="80" w:name="_Toc30518"/>
      <w:bookmarkStart w:id="81" w:name="_Toc17997"/>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.1产业政策相符性分析</w:t>
      </w:r>
      <w:bookmarkEnd w:id="5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2ADE0E">
      <w:pPr>
        <w:pStyle w:val="20"/>
        <w:ind w:firstLine="480"/>
        <w:rPr>
          <w:rFonts w:hint="default" w:ascii="Times New Roman" w:hAnsi="Times New Roman" w:cs="Times New Roman"/>
          <w:color w:val="auto"/>
          <w:u w:val="none" w:color="auto"/>
        </w:rPr>
      </w:pPr>
      <w:bookmarkStart w:id="82" w:name="_Toc2594_WPSOffice_Level3"/>
      <w:bookmarkStart w:id="83" w:name="_Toc17572_WPSOffice_Level3"/>
      <w:bookmarkStart w:id="84" w:name="_Toc13351_WPSOffice_Level3"/>
      <w:bookmarkStart w:id="85" w:name="_Toc4118_WPSOffice_Level3"/>
      <w:r>
        <w:rPr>
          <w:rFonts w:hint="default" w:ascii="Times New Roman" w:hAnsi="Times New Roman" w:cs="Times New Roman"/>
          <w:color w:val="auto"/>
          <w:u w:val="none" w:color="auto"/>
        </w:rPr>
        <w:t>（1）与</w:t>
      </w:r>
      <w:r>
        <w:rPr>
          <w:rFonts w:hint="default" w:ascii="Times New Roman" w:hAnsi="Times New Roman" w:cs="Times New Roman"/>
          <w:color w:val="auto"/>
          <w:u w:val="none" w:color="auto"/>
          <w:lang w:eastAsia="zh-CN"/>
        </w:rPr>
        <w:t>《产业结构调整指导目录（20</w:t>
      </w:r>
      <w:r>
        <w:rPr>
          <w:rFonts w:hint="eastAsia" w:ascii="Times New Roman" w:hAnsi="Times New Roman" w:cs="Times New Roman"/>
          <w:color w:val="auto"/>
          <w:u w:val="none" w:color="auto"/>
          <w:lang w:val="en-US" w:eastAsia="zh-CN"/>
        </w:rPr>
        <w:t>24</w:t>
      </w:r>
      <w:r>
        <w:rPr>
          <w:rFonts w:hint="default" w:ascii="Times New Roman" w:hAnsi="Times New Roman" w:cs="Times New Roman"/>
          <w:color w:val="auto"/>
          <w:u w:val="none" w:color="auto"/>
          <w:lang w:eastAsia="zh-CN"/>
        </w:rPr>
        <w:t>年本）》</w:t>
      </w:r>
      <w:r>
        <w:rPr>
          <w:rFonts w:hint="default" w:ascii="Times New Roman" w:hAnsi="Times New Roman" w:cs="Times New Roman"/>
          <w:color w:val="auto"/>
          <w:u w:val="none" w:color="auto"/>
        </w:rPr>
        <w:t>相符性</w:t>
      </w:r>
      <w:bookmarkEnd w:id="82"/>
      <w:bookmarkEnd w:id="83"/>
    </w:p>
    <w:bookmarkEnd w:id="84"/>
    <w:bookmarkEnd w:id="85"/>
    <w:p w14:paraId="5CB1A0AD">
      <w:pPr>
        <w:pStyle w:val="20"/>
        <w:ind w:firstLine="480"/>
        <w:rPr>
          <w:rFonts w:hint="default" w:ascii="Times New Roman" w:hAnsi="Times New Roman" w:cs="Times New Roman"/>
          <w:color w:val="auto"/>
          <w:u w:val="none" w:color="auto"/>
        </w:rPr>
      </w:pPr>
      <w:bookmarkStart w:id="86" w:name="_Toc19179"/>
      <w:bookmarkStart w:id="87" w:name="_Toc13980"/>
      <w:bookmarkStart w:id="88" w:name="_Toc18806"/>
      <w:bookmarkStart w:id="89" w:name="_Toc6280"/>
      <w:bookmarkStart w:id="90" w:name="_Toc22310"/>
      <w:bookmarkStart w:id="91" w:name="_Toc5803"/>
      <w:bookmarkStart w:id="92" w:name="_Toc29056"/>
      <w:bookmarkStart w:id="93" w:name="_Toc10931"/>
      <w:bookmarkStart w:id="94" w:name="_Toc13213"/>
      <w:r>
        <w:rPr>
          <w:rFonts w:hint="default" w:ascii="Times New Roman" w:hAnsi="Times New Roman" w:cs="Times New Roman"/>
          <w:color w:val="auto"/>
          <w:u w:val="none" w:color="auto"/>
        </w:rPr>
        <w:t>本项目主要产品为</w:t>
      </w:r>
      <w:r>
        <w:rPr>
          <w:rFonts w:hint="eastAsia" w:ascii="Times New Roman" w:hAnsi="Times New Roman" w:cs="Times New Roman"/>
          <w:color w:val="auto"/>
          <w:u w:val="none" w:color="auto"/>
          <w:lang w:val="en-US" w:eastAsia="zh-CN"/>
        </w:rPr>
        <w:t>塑料制品</w:t>
      </w:r>
      <w:r>
        <w:rPr>
          <w:rFonts w:hint="default" w:ascii="Times New Roman" w:hAnsi="Times New Roman" w:cs="Times New Roman"/>
          <w:color w:val="auto"/>
          <w:u w:val="none" w:color="auto"/>
        </w:rPr>
        <w:t>。由《产业结构调整指导目录（20</w:t>
      </w:r>
      <w:r>
        <w:rPr>
          <w:rFonts w:hint="eastAsia" w:ascii="Times New Roman" w:hAnsi="Times New Roman" w:cs="Times New Roman"/>
          <w:color w:val="auto"/>
          <w:u w:val="none" w:color="auto"/>
          <w:lang w:val="en-US" w:eastAsia="zh-CN"/>
        </w:rPr>
        <w:t>24</w:t>
      </w:r>
      <w:r>
        <w:rPr>
          <w:rFonts w:hint="default" w:ascii="Times New Roman" w:hAnsi="Times New Roman" w:cs="Times New Roman"/>
          <w:color w:val="auto"/>
          <w:u w:val="none" w:color="auto"/>
        </w:rPr>
        <w:t>年本）》，本项目不属于国家限制及淘汰类中提及的内容。因此项目建设符合国家现行产业政策。</w:t>
      </w:r>
    </w:p>
    <w:p w14:paraId="58ABAB3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（2）与《环境保护综合名录（</w:t>
      </w:r>
      <w:r>
        <w:rPr>
          <w:rFonts w:hint="eastAsia" w:ascii="Times New Roman" w:hAnsi="Times New Roman" w:cs="Times New Roman"/>
          <w:color w:val="auto"/>
          <w:u w:val="none" w:color="auto"/>
          <w:lang w:val="en-US" w:eastAsia="zh-CN"/>
        </w:rPr>
        <w:t>2021</w:t>
      </w:r>
      <w:r>
        <w:rPr>
          <w:rFonts w:hint="default" w:ascii="Times New Roman" w:hAnsi="Times New Roman" w:cs="Times New Roman"/>
          <w:color w:val="auto"/>
          <w:u w:val="none" w:color="auto"/>
        </w:rPr>
        <w:t>年版）》相符性分析</w:t>
      </w:r>
    </w:p>
    <w:p w14:paraId="3D53277C">
      <w:pPr>
        <w:pStyle w:val="20"/>
        <w:ind w:firstLine="480"/>
        <w:rPr>
          <w:rFonts w:hint="default" w:ascii="Times New Roman" w:hAnsi="Times New Roman" w:cs="Times New Roman"/>
          <w:color w:val="auto"/>
          <w:u w:val="none" w:color="auto"/>
        </w:rPr>
      </w:pPr>
      <w:r>
        <w:rPr>
          <w:rFonts w:hint="default" w:ascii="Times New Roman" w:hAnsi="Times New Roman" w:eastAsia="宋体" w:cs="Times New Roman"/>
          <w:color w:val="auto"/>
          <w:u w:val="none" w:color="auto"/>
        </w:rPr>
        <w:t>本项目属于</w:t>
      </w:r>
      <w:r>
        <w:rPr>
          <w:rFonts w:hint="eastAsia" w:ascii="Times New Roman" w:hAnsi="Times New Roman" w:eastAsia="宋体" w:cs="Times New Roman"/>
          <w:color w:val="auto"/>
          <w:u w:val="none" w:color="auto"/>
          <w:lang w:val="en-US" w:eastAsia="zh-CN"/>
        </w:rPr>
        <w:t>塑料制品制造</w:t>
      </w:r>
      <w:r>
        <w:rPr>
          <w:rFonts w:hint="default" w:ascii="Times New Roman" w:hAnsi="Times New Roman" w:eastAsia="宋体" w:cs="Times New Roman"/>
          <w:color w:val="auto"/>
          <w:u w:val="none" w:color="auto"/>
          <w:lang w:eastAsia="zh-CN"/>
        </w:rPr>
        <w:t>，</w:t>
      </w:r>
      <w:r>
        <w:rPr>
          <w:rFonts w:hint="default" w:ascii="Times New Roman" w:hAnsi="Times New Roman" w:cs="Times New Roman"/>
          <w:color w:val="auto"/>
          <w:u w:val="none" w:color="auto"/>
        </w:rPr>
        <w:t>不属于《环境保护综合名录（20</w:t>
      </w:r>
      <w:r>
        <w:rPr>
          <w:rFonts w:hint="eastAsia" w:ascii="Times New Roman" w:hAnsi="Times New Roman" w:cs="Times New Roman"/>
          <w:color w:val="auto"/>
          <w:u w:val="none" w:color="auto"/>
          <w:lang w:val="en-US" w:eastAsia="zh-CN"/>
        </w:rPr>
        <w:t>21</w:t>
      </w:r>
      <w:r>
        <w:rPr>
          <w:rFonts w:hint="default" w:ascii="Times New Roman" w:hAnsi="Times New Roman" w:cs="Times New Roman"/>
          <w:color w:val="auto"/>
          <w:u w:val="none" w:color="auto"/>
        </w:rPr>
        <w:t>年版）》中</w:t>
      </w:r>
      <w:r>
        <w:rPr>
          <w:rFonts w:hint="eastAsia" w:ascii="宋体" w:hAnsi="宋体" w:eastAsia="宋体" w:cs="宋体"/>
          <w:color w:val="auto"/>
          <w:u w:val="none" w:color="auto"/>
        </w:rPr>
        <w:t>“一、高污染、高环境风险产品名录”</w:t>
      </w:r>
      <w:r>
        <w:rPr>
          <w:rFonts w:hint="default" w:ascii="Times New Roman" w:hAnsi="Times New Roman" w:cs="Times New Roman"/>
          <w:color w:val="auto"/>
          <w:u w:val="none" w:color="auto"/>
        </w:rPr>
        <w:t>之类，符合《环境保护综合名录（20</w:t>
      </w:r>
      <w:r>
        <w:rPr>
          <w:rFonts w:hint="eastAsia" w:ascii="Times New Roman" w:hAnsi="Times New Roman" w:cs="Times New Roman"/>
          <w:color w:val="auto"/>
          <w:u w:val="none" w:color="auto"/>
          <w:lang w:val="en-US" w:eastAsia="zh-CN"/>
        </w:rPr>
        <w:t>21</w:t>
      </w:r>
      <w:r>
        <w:rPr>
          <w:rFonts w:hint="default" w:ascii="Times New Roman" w:hAnsi="Times New Roman" w:cs="Times New Roman"/>
          <w:color w:val="auto"/>
          <w:u w:val="none" w:color="auto"/>
        </w:rPr>
        <w:t>年版）》相关要求。</w:t>
      </w:r>
    </w:p>
    <w:p w14:paraId="501F6EE7">
      <w:pPr>
        <w:pStyle w:val="20"/>
        <w:bidi w:val="0"/>
        <w:rPr>
          <w:rFonts w:hint="eastAsia"/>
          <w:color w:val="auto"/>
          <w:u w:val="none" w:color="auto"/>
        </w:rPr>
      </w:pPr>
      <w:r>
        <w:rPr>
          <w:rFonts w:hint="eastAsia"/>
          <w:color w:val="auto"/>
          <w:u w:val="none" w:color="auto"/>
        </w:rPr>
        <w:t>（3）与《湖南省“两高”项目管理</w:t>
      </w:r>
      <w:r>
        <w:rPr>
          <w:rFonts w:hint="eastAsia"/>
          <w:color w:val="auto"/>
          <w:u w:val="none" w:color="auto"/>
          <w:lang w:val="en-US" w:eastAsia="zh-CN"/>
        </w:rPr>
        <w:t>目录</w:t>
      </w:r>
      <w:r>
        <w:rPr>
          <w:rFonts w:hint="eastAsia"/>
          <w:color w:val="auto"/>
          <w:u w:val="none" w:color="auto"/>
        </w:rPr>
        <w:t>》的相符性分析</w:t>
      </w:r>
    </w:p>
    <w:p w14:paraId="7D0EBA06">
      <w:pPr>
        <w:pStyle w:val="20"/>
        <w:bidi w:val="0"/>
        <w:rPr>
          <w:rFonts w:hint="eastAsia" w:eastAsia="宋体"/>
          <w:color w:val="auto"/>
          <w:u w:val="none" w:color="auto"/>
          <w:lang w:eastAsia="zh-CN"/>
        </w:rPr>
      </w:pPr>
      <w:r>
        <w:rPr>
          <w:rFonts w:hint="eastAsia"/>
          <w:color w:val="auto"/>
          <w:u w:val="none" w:color="auto"/>
        </w:rPr>
        <w:t>本项目属于</w:t>
      </w:r>
      <w:r>
        <w:rPr>
          <w:rFonts w:hint="eastAsia"/>
          <w:color w:val="auto"/>
          <w:u w:val="none" w:color="auto"/>
          <w:lang w:eastAsia="zh-CN"/>
        </w:rPr>
        <w:t>塑料</w:t>
      </w:r>
      <w:r>
        <w:rPr>
          <w:rFonts w:hint="eastAsia" w:ascii="Times New Roman" w:hAnsi="Times New Roman" w:eastAsia="宋体" w:cs="Times New Roman"/>
          <w:color w:val="auto"/>
          <w:u w:val="none" w:color="auto"/>
          <w:lang w:val="en-US" w:eastAsia="zh-CN"/>
        </w:rPr>
        <w:t>制品制造</w:t>
      </w:r>
      <w:r>
        <w:rPr>
          <w:rFonts w:hint="eastAsia"/>
          <w:color w:val="auto"/>
          <w:u w:val="none" w:color="auto"/>
        </w:rPr>
        <w:t>，</w:t>
      </w:r>
      <w:r>
        <w:rPr>
          <w:rFonts w:hint="eastAsia"/>
          <w:color w:val="auto"/>
          <w:u w:val="none" w:color="auto"/>
          <w:lang w:val="en-US" w:eastAsia="zh-CN"/>
        </w:rPr>
        <w:t>不涉及</w:t>
      </w:r>
      <w:r>
        <w:rPr>
          <w:rFonts w:hint="eastAsia"/>
          <w:color w:val="auto"/>
          <w:u w:val="none" w:color="auto"/>
        </w:rPr>
        <w:t>煤及煤制品、石油焦、渣油、重油等高污染燃料使用</w:t>
      </w:r>
      <w:r>
        <w:rPr>
          <w:rFonts w:hint="eastAsia"/>
          <w:color w:val="auto"/>
          <w:u w:val="none" w:color="auto"/>
          <w:lang w:val="en-US" w:eastAsia="zh-CN"/>
        </w:rPr>
        <w:t>的</w:t>
      </w:r>
      <w:r>
        <w:rPr>
          <w:rFonts w:hint="eastAsia"/>
          <w:color w:val="auto"/>
          <w:u w:val="none" w:color="auto"/>
        </w:rPr>
        <w:t>工业炉窑、锅炉</w:t>
      </w:r>
      <w:r>
        <w:rPr>
          <w:rFonts w:hint="eastAsia"/>
          <w:color w:val="auto"/>
          <w:u w:val="none" w:color="auto"/>
          <w:lang w:eastAsia="zh-CN"/>
        </w:rPr>
        <w:t>，</w:t>
      </w:r>
      <w:r>
        <w:rPr>
          <w:rFonts w:hint="eastAsia"/>
          <w:color w:val="auto"/>
          <w:u w:val="none" w:color="auto"/>
        </w:rPr>
        <w:t>不属于《湖南省“两高”项目管理</w:t>
      </w:r>
      <w:r>
        <w:rPr>
          <w:rFonts w:hint="eastAsia"/>
          <w:color w:val="auto"/>
          <w:u w:val="none" w:color="auto"/>
          <w:lang w:val="en-US" w:eastAsia="zh-CN"/>
        </w:rPr>
        <w:t>目录</w:t>
      </w:r>
      <w:r>
        <w:rPr>
          <w:rFonts w:hint="eastAsia"/>
          <w:color w:val="auto"/>
          <w:u w:val="none" w:color="auto"/>
        </w:rPr>
        <w:t>》中提及的行业、内容、产品、工序的项目，符合《湖南省“两高”项目管理</w:t>
      </w:r>
      <w:r>
        <w:rPr>
          <w:rFonts w:hint="eastAsia"/>
          <w:color w:val="auto"/>
          <w:u w:val="none" w:color="auto"/>
          <w:lang w:val="en-US" w:eastAsia="zh-CN"/>
        </w:rPr>
        <w:t>目录</w:t>
      </w:r>
      <w:r>
        <w:rPr>
          <w:rFonts w:hint="eastAsia"/>
          <w:color w:val="auto"/>
          <w:u w:val="none" w:color="auto"/>
        </w:rPr>
        <w:t>》相关要求</w:t>
      </w:r>
      <w:r>
        <w:rPr>
          <w:rFonts w:hint="eastAsia"/>
          <w:color w:val="auto"/>
          <w:u w:val="none" w:color="auto"/>
          <w:lang w:eastAsia="zh-CN"/>
        </w:rPr>
        <w:t>。</w:t>
      </w:r>
    </w:p>
    <w:p w14:paraId="798584C8">
      <w:pPr>
        <w:pStyle w:val="20"/>
        <w:bidi w:val="0"/>
        <w:rPr>
          <w:rFonts w:hint="eastAsia"/>
          <w:color w:val="auto"/>
          <w:u w:val="none" w:color="auto"/>
        </w:rPr>
      </w:pPr>
      <w:r>
        <w:rPr>
          <w:rFonts w:hint="eastAsia"/>
          <w:color w:val="auto"/>
          <w:u w:val="none" w:color="auto"/>
        </w:rPr>
        <w:t>（4）与《湖南省“十四五”生态环境保护规划》（湘政办发〔2021〕61号）相符性分析</w:t>
      </w:r>
    </w:p>
    <w:p w14:paraId="5A036DAE">
      <w:pPr>
        <w:pStyle w:val="20"/>
        <w:bidi w:val="0"/>
        <w:rPr>
          <w:rFonts w:hint="eastAsia"/>
          <w:color w:val="auto"/>
          <w:u w:val="none" w:color="auto"/>
        </w:rPr>
      </w:pPr>
      <w:r>
        <w:rPr>
          <w:rFonts w:hint="eastAsia"/>
          <w:color w:val="auto"/>
          <w:u w:val="none" w:color="auto"/>
        </w:rPr>
        <w:t>2021年9月30日，湖南省人民政府办公厅印发了《湖南省“十四五”生态环境保护规划》，提出“持续推动塑料污染全链条治理。建立健全塑料污染治理协调推进机制、责任落实机制，将塑料污染治理纳入污染防治攻坚战和省级生态环保督察范围。加强监管执法，全面禁止废塑料进口，推广使用可降解塑料制品、塑料替代产品。大力宣传引导，鼓励支持涉塑机构、企业搭建合作平台，制定行业标准，开展试点示范，强化科研攻关，培育新业态新模式</w:t>
      </w:r>
      <w:r>
        <w:rPr>
          <w:rFonts w:hint="eastAsia"/>
          <w:color w:val="auto"/>
          <w:u w:val="none" w:color="auto"/>
          <w:lang w:eastAsia="zh-CN"/>
        </w:rPr>
        <w:t>。</w:t>
      </w:r>
      <w:r>
        <w:rPr>
          <w:rFonts w:hint="eastAsia"/>
          <w:color w:val="auto"/>
          <w:u w:val="none" w:color="auto"/>
        </w:rPr>
        <w:t>”</w:t>
      </w:r>
    </w:p>
    <w:p w14:paraId="2031E993">
      <w:pPr>
        <w:pStyle w:val="20"/>
        <w:bidi w:val="0"/>
        <w:rPr>
          <w:rFonts w:hint="eastAsia"/>
          <w:color w:val="auto"/>
          <w:u w:val="none" w:color="auto"/>
          <w:lang w:eastAsia="zh-CN"/>
        </w:rPr>
      </w:pPr>
      <w:r>
        <w:rPr>
          <w:rFonts w:hint="eastAsia"/>
          <w:color w:val="auto"/>
          <w:u w:val="none" w:color="auto"/>
        </w:rPr>
        <w:t>本项目使用</w:t>
      </w:r>
      <w:r>
        <w:rPr>
          <w:rFonts w:hint="eastAsia"/>
          <w:color w:val="auto"/>
          <w:u w:val="none" w:color="auto"/>
          <w:lang w:val="en-US" w:eastAsia="zh-CN"/>
        </w:rPr>
        <w:t>原料大部分为再生塑</w:t>
      </w:r>
      <w:r>
        <w:rPr>
          <w:rFonts w:hint="eastAsia"/>
          <w:color w:val="auto"/>
          <w:u w:val="none" w:color="auto"/>
          <w:lang w:eastAsia="zh-CN"/>
        </w:rPr>
        <w:t>料，均来源于汨罗本地合法塑料回收企业（汨罗再生资源回收集散市场）</w:t>
      </w:r>
      <w:r>
        <w:rPr>
          <w:rFonts w:hint="eastAsia"/>
          <w:color w:val="auto"/>
          <w:u w:val="none" w:color="auto"/>
        </w:rPr>
        <w:t>，</w:t>
      </w:r>
      <w:r>
        <w:rPr>
          <w:rFonts w:hint="eastAsia"/>
          <w:color w:val="auto"/>
          <w:u w:val="none" w:color="auto"/>
          <w:lang w:eastAsia="zh-CN"/>
        </w:rPr>
        <w:t>属于废塑料</w:t>
      </w:r>
      <w:r>
        <w:rPr>
          <w:rFonts w:hint="eastAsia"/>
          <w:color w:val="auto"/>
          <w:u w:val="none" w:color="auto"/>
          <w:lang w:val="en-US" w:eastAsia="zh-CN"/>
        </w:rPr>
        <w:t>循环</w:t>
      </w:r>
      <w:r>
        <w:rPr>
          <w:rFonts w:hint="eastAsia"/>
          <w:color w:val="auto"/>
          <w:u w:val="none" w:color="auto"/>
          <w:lang w:eastAsia="zh-CN"/>
        </w:rPr>
        <w:t>再利用，</w:t>
      </w:r>
      <w:r>
        <w:rPr>
          <w:rFonts w:hint="eastAsia"/>
          <w:color w:val="auto"/>
          <w:u w:val="none" w:color="auto"/>
        </w:rPr>
        <w:t>符合《湖南省“十四五”生态环境保护规划》</w:t>
      </w:r>
      <w:r>
        <w:rPr>
          <w:rFonts w:hint="eastAsia"/>
          <w:color w:val="auto"/>
          <w:u w:val="none" w:color="auto"/>
          <w:lang w:eastAsia="zh-CN"/>
        </w:rPr>
        <w:t>。</w:t>
      </w:r>
    </w:p>
    <w:p w14:paraId="50D413B4">
      <w:pPr>
        <w:pStyle w:val="20"/>
        <w:bidi w:val="0"/>
        <w:rPr>
          <w:rFonts w:hint="eastAsia"/>
          <w:color w:val="auto"/>
          <w:u w:val="none" w:color="auto"/>
          <w:lang w:val="en-US" w:eastAsia="zh-CN"/>
        </w:rPr>
      </w:pPr>
      <w:r>
        <w:rPr>
          <w:rFonts w:hint="eastAsia"/>
          <w:color w:val="auto"/>
          <w:u w:val="none" w:color="auto"/>
          <w:lang w:eastAsia="zh-CN"/>
        </w:rPr>
        <w:t>（</w:t>
      </w:r>
      <w:r>
        <w:rPr>
          <w:rFonts w:hint="eastAsia"/>
          <w:color w:val="auto"/>
          <w:u w:val="none" w:color="auto"/>
          <w:lang w:val="en-US" w:eastAsia="zh-CN"/>
        </w:rPr>
        <w:t>5</w:t>
      </w:r>
      <w:r>
        <w:rPr>
          <w:rFonts w:hint="eastAsia"/>
          <w:color w:val="auto"/>
          <w:u w:val="none" w:color="auto"/>
          <w:lang w:eastAsia="zh-CN"/>
        </w:rPr>
        <w:t>）</w:t>
      </w:r>
      <w:r>
        <w:rPr>
          <w:rFonts w:hint="eastAsia"/>
          <w:color w:val="auto"/>
          <w:u w:val="none" w:color="auto"/>
          <w:lang w:val="en-US" w:eastAsia="zh-CN"/>
        </w:rPr>
        <w:t>与《湖南省“十四五”固体废物环境管理规划》（湘环发〔2021〕52号）相符性分析</w:t>
      </w:r>
    </w:p>
    <w:p w14:paraId="428AC0D5">
      <w:pPr>
        <w:pStyle w:val="20"/>
        <w:bidi w:val="0"/>
        <w:rPr>
          <w:rFonts w:hint="eastAsia"/>
          <w:color w:val="auto"/>
          <w:u w:val="none" w:color="auto"/>
          <w:lang w:val="en-US" w:eastAsia="zh-CN"/>
        </w:rPr>
      </w:pPr>
      <w:r>
        <w:rPr>
          <w:rFonts w:hint="eastAsia"/>
          <w:color w:val="auto"/>
          <w:u w:val="none" w:color="auto"/>
          <w:lang w:val="en-US" w:eastAsia="zh-CN"/>
        </w:rPr>
        <w:t>2021年12月31日，湖南省生态环境厅印发了《湖南省“十四五”固体废物环境管理规划》，规划提出“加大塑料废弃物再生利用监管。支持塑料废弃物再生利用项目建设，加强塑料废弃物再生利用企业的环境管理，加大对小散乱企业和违法违规行为的整治力度，防止二次污染。完善再生塑料有关标准，加快推广应用废塑料再生利用先进适用技术装备，鼓励塑料废弃物同级化、高附加值利用。禁止废塑料的进口”。</w:t>
      </w:r>
    </w:p>
    <w:p w14:paraId="0C9417C5">
      <w:pPr>
        <w:pStyle w:val="20"/>
        <w:bidi w:val="0"/>
        <w:rPr>
          <w:rFonts w:hint="default"/>
          <w:color w:val="auto"/>
          <w:u w:val="none" w:color="auto"/>
          <w:lang w:val="en-US" w:eastAsia="zh-CN"/>
        </w:rPr>
      </w:pPr>
      <w:r>
        <w:rPr>
          <w:rFonts w:hint="eastAsia"/>
          <w:color w:val="auto"/>
          <w:u w:val="none" w:color="auto"/>
        </w:rPr>
        <w:t>本项目使用</w:t>
      </w:r>
      <w:r>
        <w:rPr>
          <w:rFonts w:hint="eastAsia"/>
          <w:color w:val="auto"/>
          <w:u w:val="none" w:color="auto"/>
          <w:lang w:val="en-US" w:eastAsia="zh-CN"/>
        </w:rPr>
        <w:t>原料大部分为再生塑</w:t>
      </w:r>
      <w:r>
        <w:rPr>
          <w:rFonts w:hint="eastAsia"/>
          <w:color w:val="auto"/>
          <w:u w:val="none" w:color="auto"/>
          <w:lang w:eastAsia="zh-CN"/>
        </w:rPr>
        <w:t>料</w:t>
      </w:r>
      <w:r>
        <w:rPr>
          <w:rFonts w:hint="eastAsia"/>
          <w:color w:val="auto"/>
          <w:u w:val="none" w:color="auto"/>
          <w:lang w:val="en-US" w:eastAsia="zh-CN"/>
        </w:rPr>
        <w:t>，产品为大板及装饰线条，属于塑料废弃物再生利用项目的建设。项目使用的再生塑料均来源于汨罗本地合法塑料回收企业，不使用进口的废塑料，符合《湖南省“十四五”固体废物环境管理规划》。</w:t>
      </w:r>
    </w:p>
    <w:p w14:paraId="64DD8DF2">
      <w:pPr>
        <w:pStyle w:val="4"/>
        <w:rPr>
          <w:color w:val="auto"/>
          <w:u w:val="none" w:color="auto"/>
        </w:rPr>
      </w:pPr>
      <w:bookmarkStart w:id="95" w:name="_Toc10483"/>
      <w:bookmarkStart w:id="96" w:name="_Toc14069"/>
      <w:r>
        <w:rPr>
          <w:color w:val="auto"/>
          <w:u w:val="none" w:color="auto"/>
        </w:rPr>
        <w:t>1.</w:t>
      </w:r>
      <w:r>
        <w:rPr>
          <w:rFonts w:hint="eastAsia"/>
          <w:color w:val="auto"/>
          <w:u w:val="none" w:color="auto"/>
        </w:rPr>
        <w:t>3</w:t>
      </w:r>
      <w:r>
        <w:rPr>
          <w:color w:val="auto"/>
          <w:u w:val="none" w:color="auto"/>
        </w:rPr>
        <w:t>.</w:t>
      </w:r>
      <w:r>
        <w:rPr>
          <w:rFonts w:hint="eastAsia"/>
          <w:color w:val="auto"/>
          <w:u w:val="none" w:color="auto"/>
        </w:rPr>
        <w:t>2相关</w:t>
      </w:r>
      <w:r>
        <w:rPr>
          <w:color w:val="auto"/>
          <w:u w:val="none" w:color="auto"/>
        </w:rPr>
        <w:t>政策相符性分析</w:t>
      </w:r>
      <w:bookmarkEnd w:id="95"/>
      <w:bookmarkEnd w:id="96"/>
    </w:p>
    <w:p w14:paraId="0F224E15">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）与《湖南省大气污染防治“守护蓝天”攻坚行动计划（2023—2025年）》符合性分析</w:t>
      </w:r>
    </w:p>
    <w:p w14:paraId="4DEBD6D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为深入打好蓝天保卫战，努力实现全省大气环境质量根本好转，2023年8月湖南省人民政府办公厅印发了《湖南省大气污染防治</w:t>
      </w:r>
      <w:r>
        <w:rPr>
          <w:rFonts w:hint="eastAsia" w:ascii="宋体" w:hAnsi="宋体" w:eastAsia="宋体" w:cs="宋体"/>
          <w:color w:val="auto"/>
          <w:u w:val="none" w:color="auto"/>
        </w:rPr>
        <w:t>“守护蓝天”</w:t>
      </w:r>
      <w:r>
        <w:rPr>
          <w:rFonts w:hint="default" w:ascii="Times New Roman" w:hAnsi="Times New Roman" w:cs="Times New Roman"/>
          <w:color w:val="auto"/>
          <w:u w:val="none" w:color="auto"/>
        </w:rPr>
        <w:t>攻坚行动计划（2023-2025年）》（湘政办发〔2023〕34号），推动全省空气质量</w:t>
      </w:r>
      <w:r>
        <w:rPr>
          <w:rFonts w:hint="eastAsia" w:ascii="宋体" w:hAnsi="宋体" w:eastAsia="宋体" w:cs="宋体"/>
          <w:color w:val="auto"/>
          <w:u w:val="none" w:color="auto"/>
        </w:rPr>
        <w:t>改善“</w:t>
      </w:r>
      <w:r>
        <w:rPr>
          <w:rFonts w:hint="default" w:ascii="Times New Roman" w:hAnsi="Times New Roman" w:cs="Times New Roman"/>
          <w:color w:val="auto"/>
          <w:u w:val="none" w:color="auto"/>
        </w:rPr>
        <w:t>一年见成效、两年有提升，到2025年基本消除重污染</w:t>
      </w:r>
      <w:r>
        <w:rPr>
          <w:rFonts w:hint="eastAsia" w:ascii="宋体" w:hAnsi="宋体" w:eastAsia="宋体" w:cs="宋体"/>
          <w:color w:val="auto"/>
          <w:u w:val="none" w:color="auto"/>
        </w:rPr>
        <w:t>天气”</w:t>
      </w:r>
      <w:r>
        <w:rPr>
          <w:rFonts w:hint="default" w:ascii="Times New Roman" w:hAnsi="Times New Roman" w:cs="Times New Roman"/>
          <w:color w:val="auto"/>
          <w:u w:val="none" w:color="auto"/>
        </w:rPr>
        <w:t>。</w:t>
      </w:r>
    </w:p>
    <w:p w14:paraId="7112A7FC">
      <w:pPr>
        <w:pStyle w:val="22"/>
        <w:bidi w:val="0"/>
        <w:rPr>
          <w:rFonts w:hint="default"/>
          <w:color w:val="auto"/>
          <w:u w:val="none" w:color="auto"/>
        </w:rPr>
      </w:pPr>
      <w:r>
        <w:rPr>
          <w:rFonts w:hint="default"/>
          <w:color w:val="auto"/>
          <w:u w:val="none" w:color="auto"/>
        </w:rPr>
        <w:t>表1.</w:t>
      </w:r>
      <w:r>
        <w:rPr>
          <w:rFonts w:hint="eastAsia"/>
          <w:color w:val="auto"/>
          <w:u w:val="none" w:color="auto"/>
          <w:lang w:val="en-US" w:eastAsia="zh-CN"/>
        </w:rPr>
        <w:t>3</w:t>
      </w:r>
      <w:r>
        <w:rPr>
          <w:rFonts w:hint="default"/>
          <w:color w:val="auto"/>
          <w:u w:val="none" w:color="auto"/>
        </w:rPr>
        <w:t>-</w:t>
      </w:r>
      <w:r>
        <w:rPr>
          <w:rFonts w:hint="default"/>
          <w:color w:val="auto"/>
          <w:u w:val="none" w:color="auto"/>
          <w:lang w:val="en-US" w:eastAsia="zh-CN"/>
        </w:rPr>
        <w:t xml:space="preserve">1 </w:t>
      </w:r>
      <w:r>
        <w:rPr>
          <w:rFonts w:hint="default"/>
          <w:color w:val="auto"/>
          <w:u w:val="none" w:color="auto"/>
        </w:rPr>
        <w:t>本项目与《湖南省大气污染防治“守护蓝天”攻坚行动计划（2023-2025年）》有关条款符合性分析</w:t>
      </w:r>
    </w:p>
    <w:tbl>
      <w:tblPr>
        <w:tblStyle w:val="16"/>
        <w:tblW w:w="8331"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57" w:type="dxa"/>
          <w:bottom w:w="0" w:type="dxa"/>
          <w:right w:w="57" w:type="dxa"/>
        </w:tblCellMar>
      </w:tblPr>
      <w:tblGrid>
        <w:gridCol w:w="462"/>
        <w:gridCol w:w="4260"/>
        <w:gridCol w:w="2805"/>
        <w:gridCol w:w="804"/>
      </w:tblGrid>
      <w:tr w14:paraId="144901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3FC121B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序号</w:t>
            </w:r>
          </w:p>
        </w:tc>
        <w:tc>
          <w:tcPr>
            <w:tcW w:w="4260" w:type="dxa"/>
            <w:tcBorders>
              <w:tl2br w:val="nil"/>
              <w:tr2bl w:val="nil"/>
            </w:tcBorders>
            <w:noWrap w:val="0"/>
            <w:vAlign w:val="center"/>
          </w:tcPr>
          <w:p w14:paraId="5FE4F7BD">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lang w:eastAsia="zh-CN"/>
              </w:rPr>
            </w:pPr>
            <w:r>
              <w:rPr>
                <w:rFonts w:hint="default" w:ascii="Times New Roman" w:hAnsi="Times New Roman" w:eastAsia="宋体" w:cs="Times New Roman"/>
                <w:b/>
                <w:bCs/>
                <w:color w:val="auto"/>
                <w:sz w:val="21"/>
                <w:szCs w:val="21"/>
                <w:highlight w:val="none"/>
                <w:u w:val="none" w:color="auto"/>
                <w:lang w:eastAsia="zh-CN"/>
              </w:rPr>
              <w:t>《湖南省大气污染防治“守护蓝天”攻坚行动计划（2023-2025年）》</w:t>
            </w:r>
          </w:p>
        </w:tc>
        <w:tc>
          <w:tcPr>
            <w:tcW w:w="2805" w:type="dxa"/>
            <w:tcBorders>
              <w:tl2br w:val="nil"/>
              <w:tr2bl w:val="nil"/>
            </w:tcBorders>
            <w:noWrap w:val="0"/>
            <w:vAlign w:val="center"/>
          </w:tcPr>
          <w:p w14:paraId="7067AAC3">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rPr>
              <w:t>本</w:t>
            </w:r>
            <w:r>
              <w:rPr>
                <w:rFonts w:hint="eastAsia" w:ascii="Times New Roman" w:hAnsi="Times New Roman" w:eastAsia="宋体" w:cs="Times New Roman"/>
                <w:b/>
                <w:bCs/>
                <w:color w:val="auto"/>
                <w:sz w:val="21"/>
                <w:szCs w:val="21"/>
                <w:highlight w:val="none"/>
                <w:u w:val="none" w:color="auto"/>
                <w:lang w:val="en-US" w:eastAsia="zh-CN"/>
              </w:rPr>
              <w:t>项目</w:t>
            </w:r>
          </w:p>
        </w:tc>
        <w:tc>
          <w:tcPr>
            <w:tcW w:w="804" w:type="dxa"/>
            <w:tcBorders>
              <w:tl2br w:val="nil"/>
              <w:tr2bl w:val="nil"/>
            </w:tcBorders>
            <w:noWrap w:val="0"/>
            <w:vAlign w:val="center"/>
          </w:tcPr>
          <w:p w14:paraId="5FE0D093">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符合性</w:t>
            </w:r>
          </w:p>
        </w:tc>
      </w:tr>
      <w:tr w14:paraId="1F8134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5098D1C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1</w:t>
            </w:r>
          </w:p>
        </w:tc>
        <w:tc>
          <w:tcPr>
            <w:tcW w:w="4260" w:type="dxa"/>
            <w:tcBorders>
              <w:tl2br w:val="nil"/>
              <w:tr2bl w:val="nil"/>
            </w:tcBorders>
            <w:noWrap w:val="0"/>
            <w:vAlign w:val="center"/>
          </w:tcPr>
          <w:p w14:paraId="2A6C6263">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推动能源绿色低碳转型。严格落实煤炭等量、减量替代，提高电煤消费占比。多渠道扩展天然气气源，扩大外受电比重，持续推</w:t>
            </w:r>
            <w:r>
              <w:rPr>
                <w:rFonts w:hint="eastAsia" w:ascii="宋体" w:hAnsi="宋体" w:eastAsia="宋体" w:cs="宋体"/>
                <w:color w:val="auto"/>
                <w:sz w:val="21"/>
                <w:szCs w:val="21"/>
                <w:highlight w:val="none"/>
                <w:u w:val="none" w:color="auto"/>
                <w:lang w:eastAsia="zh-CN"/>
              </w:rPr>
              <w:t>进“煤改气”“</w:t>
            </w:r>
            <w:r>
              <w:rPr>
                <w:rFonts w:hint="default" w:ascii="Times New Roman" w:hAnsi="Times New Roman" w:eastAsia="宋体" w:cs="Times New Roman"/>
                <w:color w:val="auto"/>
                <w:sz w:val="21"/>
                <w:szCs w:val="21"/>
                <w:highlight w:val="none"/>
                <w:u w:val="none" w:color="auto"/>
                <w:lang w:eastAsia="zh-CN"/>
              </w:rPr>
              <w:t>煤改电”工程，大力推进使用清洁能源或电厂热力、工业余热等替代锅炉、炉窑燃料用煤，加快推动玻璃、地板砖等建材行业企业以及有色冶炼行业鼓风炉、反射炉</w:t>
            </w:r>
            <w:r>
              <w:rPr>
                <w:rFonts w:hint="eastAsia" w:ascii="宋体" w:hAnsi="宋体" w:eastAsia="宋体" w:cs="宋体"/>
                <w:color w:val="auto"/>
                <w:sz w:val="21"/>
                <w:szCs w:val="21"/>
                <w:highlight w:val="none"/>
                <w:u w:val="none" w:color="auto"/>
                <w:lang w:eastAsia="zh-CN"/>
              </w:rPr>
              <w:t>等“煤改气”</w:t>
            </w:r>
            <w:r>
              <w:rPr>
                <w:rFonts w:hint="default" w:ascii="Times New Roman" w:hAnsi="Times New Roman" w:eastAsia="宋体" w:cs="Times New Roman"/>
                <w:color w:val="auto"/>
                <w:sz w:val="21"/>
                <w:szCs w:val="21"/>
                <w:highlight w:val="none"/>
                <w:u w:val="none" w:color="auto"/>
                <w:lang w:eastAsia="zh-CN"/>
              </w:rPr>
              <w:t>，依法依规推进煤气发生炉有序退出，推动非化石能源发展。</w:t>
            </w:r>
          </w:p>
        </w:tc>
        <w:tc>
          <w:tcPr>
            <w:tcW w:w="2805" w:type="dxa"/>
            <w:tcBorders>
              <w:tl2br w:val="nil"/>
              <w:tr2bl w:val="nil"/>
            </w:tcBorders>
            <w:noWrap w:val="0"/>
            <w:vAlign w:val="center"/>
          </w:tcPr>
          <w:p w14:paraId="5C7F311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项目</w:t>
            </w:r>
            <w:r>
              <w:rPr>
                <w:rFonts w:hint="default" w:ascii="Times New Roman" w:hAnsi="Times New Roman" w:eastAsia="宋体" w:cs="Times New Roman"/>
                <w:color w:val="auto"/>
                <w:sz w:val="21"/>
                <w:szCs w:val="21"/>
                <w:highlight w:val="none"/>
                <w:u w:val="none" w:color="auto"/>
                <w:lang w:eastAsia="zh-CN"/>
              </w:rPr>
              <w:t>能源消耗以电为主</w:t>
            </w:r>
            <w:r>
              <w:rPr>
                <w:rFonts w:hint="eastAsia"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3E1C751E">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64EE6C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7743108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w:t>
            </w:r>
          </w:p>
        </w:tc>
        <w:tc>
          <w:tcPr>
            <w:tcW w:w="4260" w:type="dxa"/>
            <w:tcBorders>
              <w:tl2br w:val="nil"/>
              <w:tr2bl w:val="nil"/>
            </w:tcBorders>
            <w:noWrap w:val="0"/>
            <w:vAlign w:val="center"/>
          </w:tcPr>
          <w:p w14:paraId="3CC09F6D">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优化产业结构和布局。严格项目准入，遏</w:t>
            </w:r>
            <w:r>
              <w:rPr>
                <w:rFonts w:hint="eastAsia" w:ascii="宋体" w:hAnsi="宋体" w:eastAsia="宋体" w:cs="宋体"/>
                <w:color w:val="auto"/>
                <w:sz w:val="21"/>
                <w:szCs w:val="21"/>
                <w:highlight w:val="none"/>
                <w:u w:val="none" w:color="auto"/>
                <w:lang w:eastAsia="zh-CN"/>
              </w:rPr>
              <w:t>制“两高一低”项</w:t>
            </w:r>
            <w:r>
              <w:rPr>
                <w:rFonts w:hint="default" w:ascii="Times New Roman" w:hAnsi="Times New Roman" w:eastAsia="宋体" w:cs="Times New Roman"/>
                <w:color w:val="auto"/>
                <w:sz w:val="21"/>
                <w:szCs w:val="21"/>
                <w:highlight w:val="none"/>
                <w:u w:val="none" w:color="auto"/>
                <w:lang w:eastAsia="zh-CN"/>
              </w:rPr>
              <w:t>目盲目发展。落实产业规划及产业政策，严格执行重点行业产能置换办法，依法依规淘汰落后产能。优化产业链布局，开展传统产业集群排查整治，推进重点涉气企业入区入园。</w:t>
            </w:r>
          </w:p>
        </w:tc>
        <w:tc>
          <w:tcPr>
            <w:tcW w:w="2805" w:type="dxa"/>
            <w:tcBorders>
              <w:tl2br w:val="nil"/>
              <w:tr2bl w:val="nil"/>
            </w:tcBorders>
            <w:noWrap w:val="0"/>
            <w:vAlign w:val="center"/>
          </w:tcPr>
          <w:p w14:paraId="333430A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由文本分析可知，本项目不属于“两高一低”项目，项目</w:t>
            </w:r>
            <w:r>
              <w:rPr>
                <w:rFonts w:hint="eastAsia" w:ascii="Times New Roman" w:hAnsi="Times New Roman" w:eastAsia="宋体" w:cs="Times New Roman"/>
                <w:color w:val="auto"/>
                <w:highlight w:val="none"/>
                <w:u w:val="none" w:color="auto"/>
              </w:rPr>
              <w:t>位于湖南汨罗高新技术产业开发区新市片区西片区龙舟路东侧合心路北侧</w:t>
            </w: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符合</w:t>
            </w:r>
            <w:r>
              <w:rPr>
                <w:rFonts w:hint="eastAsia" w:ascii="Times New Roman" w:hAnsi="Times New Roman" w:eastAsia="宋体" w:cs="Times New Roman"/>
                <w:color w:val="auto"/>
                <w:highlight w:val="none"/>
                <w:u w:val="none" w:color="auto"/>
              </w:rPr>
              <w:t>湖南汨罗高新技术产业开发区新市片区</w:t>
            </w:r>
            <w:r>
              <w:rPr>
                <w:rFonts w:hint="eastAsia" w:ascii="Times New Roman" w:hAnsi="Times New Roman" w:eastAsia="宋体" w:cs="Times New Roman"/>
                <w:color w:val="auto"/>
                <w:highlight w:val="none"/>
                <w:u w:val="none" w:color="auto"/>
                <w:lang w:val="en-US" w:eastAsia="zh-CN"/>
              </w:rPr>
              <w:t>产业规划</w:t>
            </w:r>
            <w:r>
              <w:rPr>
                <w:rFonts w:hint="default"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4767B52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5562D9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1426EC13">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w:t>
            </w:r>
          </w:p>
        </w:tc>
        <w:tc>
          <w:tcPr>
            <w:tcW w:w="4260" w:type="dxa"/>
            <w:tcBorders>
              <w:tl2br w:val="nil"/>
              <w:tr2bl w:val="nil"/>
            </w:tcBorders>
            <w:noWrap w:val="0"/>
            <w:vAlign w:val="center"/>
          </w:tcPr>
          <w:p w14:paraId="12F1489F">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推动产业绿色低碳发展。健全节能标准体系，深入开展重点行业强制性清洁生产审核。大力推行绿色制造，推进绿色工厂、绿色园区建设。</w:t>
            </w:r>
          </w:p>
        </w:tc>
        <w:tc>
          <w:tcPr>
            <w:tcW w:w="2805" w:type="dxa"/>
            <w:tcBorders>
              <w:tl2br w:val="nil"/>
              <w:tr2bl w:val="nil"/>
            </w:tcBorders>
            <w:noWrap w:val="0"/>
            <w:vAlign w:val="center"/>
          </w:tcPr>
          <w:p w14:paraId="0E6DA8C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本项目不属于重点行业，无需开展清洁生产审核</w:t>
            </w:r>
            <w:r>
              <w:rPr>
                <w:rFonts w:hint="default"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4F8F5D9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61FE04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284F60C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4</w:t>
            </w:r>
          </w:p>
        </w:tc>
        <w:tc>
          <w:tcPr>
            <w:tcW w:w="4260" w:type="dxa"/>
            <w:tcBorders>
              <w:tl2br w:val="nil"/>
              <w:tr2bl w:val="nil"/>
            </w:tcBorders>
            <w:noWrap w:val="0"/>
            <w:vAlign w:val="center"/>
          </w:tcPr>
          <w:p w14:paraId="735B3E4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加大低VOCs原辅材料替代力度。建立多部门联合执法机制，加大监督检查力度，确保生产、销售、使用符合VOCs含量限值标准的产品。以工业涂装、包装印刷和胶粘剂使用等为重点，在企业清洁生产审核中明确提出低VOCs原辅材料替代要求。</w:t>
            </w:r>
          </w:p>
        </w:tc>
        <w:tc>
          <w:tcPr>
            <w:tcW w:w="2805" w:type="dxa"/>
            <w:tcBorders>
              <w:tl2br w:val="nil"/>
              <w:tr2bl w:val="nil"/>
            </w:tcBorders>
            <w:noWrap w:val="0"/>
            <w:vAlign w:val="center"/>
          </w:tcPr>
          <w:p w14:paraId="1CF98556">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highlight w:val="none"/>
                <w:u w:val="none" w:color="auto"/>
              </w:rPr>
              <w:t>本项目属于塑料制品业，项目生产过程中需使用胶粘剂，其中大部分为水基型和热熔型低VOCs含量的胶粘剂，为满足生产需求使用少量溶剂型胶粘剂，生产使用的胶粘剂均符合《胶黏剂挥发性有机化合物限量》标准中VOCs含量限值。</w:t>
            </w:r>
          </w:p>
        </w:tc>
        <w:tc>
          <w:tcPr>
            <w:tcW w:w="804" w:type="dxa"/>
            <w:tcBorders>
              <w:tl2br w:val="nil"/>
              <w:tr2bl w:val="nil"/>
            </w:tcBorders>
            <w:noWrap w:val="0"/>
            <w:vAlign w:val="center"/>
          </w:tcPr>
          <w:p w14:paraId="0BB456C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7BB49E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3AE8ED04">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5</w:t>
            </w:r>
          </w:p>
        </w:tc>
        <w:tc>
          <w:tcPr>
            <w:tcW w:w="4260" w:type="dxa"/>
            <w:tcBorders>
              <w:tl2br w:val="nil"/>
              <w:tr2bl w:val="nil"/>
            </w:tcBorders>
            <w:noWrap w:val="0"/>
            <w:vAlign w:val="center"/>
          </w:tcPr>
          <w:p w14:paraId="66728BCD">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推进锅窑炉超低排放与深度治理。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w:t>
            </w:r>
          </w:p>
        </w:tc>
        <w:tc>
          <w:tcPr>
            <w:tcW w:w="2805" w:type="dxa"/>
            <w:tcBorders>
              <w:tl2br w:val="nil"/>
              <w:tr2bl w:val="nil"/>
            </w:tcBorders>
            <w:noWrap w:val="0"/>
            <w:vAlign w:val="center"/>
          </w:tcPr>
          <w:p w14:paraId="0C151FE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本项目不涉及锅窑炉</w:t>
            </w:r>
            <w:r>
              <w:rPr>
                <w:rFonts w:hint="default"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6F81203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443BF1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3D383C6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6</w:t>
            </w:r>
          </w:p>
        </w:tc>
        <w:tc>
          <w:tcPr>
            <w:tcW w:w="4260" w:type="dxa"/>
            <w:tcBorders>
              <w:tl2br w:val="nil"/>
              <w:tr2bl w:val="nil"/>
            </w:tcBorders>
            <w:noWrap w:val="0"/>
            <w:vAlign w:val="center"/>
          </w:tcPr>
          <w:p w14:paraId="3B3039D2">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开展涉VOCs重点行业全流程整治。持续开展VOCs治理突出问题排查，清理整顿简易低效、不合规定治理设施，强化无组织和非正常工况废气排放管控。规范开展泄漏检测与修复。</w:t>
            </w:r>
          </w:p>
        </w:tc>
        <w:tc>
          <w:tcPr>
            <w:tcW w:w="2805" w:type="dxa"/>
            <w:tcBorders>
              <w:tl2br w:val="nil"/>
              <w:tr2bl w:val="nil"/>
            </w:tcBorders>
            <w:noWrap w:val="0"/>
            <w:vAlign w:val="center"/>
          </w:tcPr>
          <w:p w14:paraId="3F9E9DAC">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本项目不属于</w:t>
            </w:r>
            <w:r>
              <w:rPr>
                <w:rFonts w:hint="default" w:ascii="Times New Roman" w:hAnsi="Times New Roman" w:eastAsia="宋体" w:cs="Times New Roman"/>
                <w:color w:val="auto"/>
                <w:sz w:val="21"/>
                <w:szCs w:val="21"/>
                <w:highlight w:val="none"/>
                <w:u w:val="none" w:color="auto"/>
                <w:lang w:eastAsia="zh-CN"/>
              </w:rPr>
              <w:t>涉VOCs重点行业</w:t>
            </w:r>
            <w:r>
              <w:rPr>
                <w:rFonts w:hint="eastAsia"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highlight w:val="none"/>
                <w:u w:val="none" w:color="auto"/>
              </w:rPr>
              <w:t>项目</w:t>
            </w:r>
            <w:r>
              <w:rPr>
                <w:rFonts w:hint="eastAsia" w:ascii="Times New Roman" w:hAnsi="Times New Roman" w:eastAsia="宋体" w:cs="Times New Roman"/>
                <w:color w:val="auto"/>
                <w:highlight w:val="none"/>
                <w:u w:val="none" w:color="auto"/>
                <w:lang w:val="en-US" w:eastAsia="zh-CN"/>
              </w:rPr>
              <w:t>挤出、覆膜</w:t>
            </w:r>
            <w:r>
              <w:rPr>
                <w:rFonts w:hint="eastAsia" w:ascii="Times New Roman" w:hAnsi="Times New Roman" w:eastAsia="宋体" w:cs="Times New Roman"/>
                <w:color w:val="auto"/>
                <w:highlight w:val="none"/>
                <w:u w:val="none" w:color="auto"/>
              </w:rPr>
              <w:t>工序收集有机废气后（集气罩+垂帘，溶剂型胶粘剂覆膜机加装设置为区域半封闭），通过</w:t>
            </w:r>
            <w:r>
              <w:rPr>
                <w:rFonts w:hint="eastAsia" w:ascii="Times New Roman" w:hAnsi="Times New Roman" w:eastAsia="宋体" w:cs="Times New Roman"/>
                <w:color w:val="auto"/>
                <w:highlight w:val="none"/>
                <w:u w:val="none" w:color="auto"/>
                <w:lang w:val="en-US" w:eastAsia="zh-CN"/>
              </w:rPr>
              <w:t>两级</w:t>
            </w:r>
            <w:r>
              <w:rPr>
                <w:rFonts w:hint="eastAsia" w:ascii="Times New Roman" w:hAnsi="Times New Roman" w:eastAsia="宋体" w:cs="Times New Roman"/>
                <w:color w:val="auto"/>
                <w:highlight w:val="none"/>
                <w:u w:val="none" w:color="auto"/>
              </w:rPr>
              <w:t>活性炭进行处理</w:t>
            </w: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要求建设单位生产过程中强化</w:t>
            </w:r>
            <w:r>
              <w:rPr>
                <w:rFonts w:hint="default" w:ascii="Times New Roman" w:hAnsi="Times New Roman" w:eastAsia="宋体" w:cs="Times New Roman"/>
                <w:color w:val="auto"/>
                <w:sz w:val="21"/>
                <w:szCs w:val="21"/>
                <w:highlight w:val="none"/>
                <w:u w:val="none" w:color="auto"/>
                <w:lang w:eastAsia="zh-CN"/>
              </w:rPr>
              <w:t>无组织和非正常工况废气排放管控</w:t>
            </w:r>
            <w:r>
              <w:rPr>
                <w:rFonts w:hint="eastAsia"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3F425625">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73CCE5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1FE233EC">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7</w:t>
            </w:r>
          </w:p>
        </w:tc>
        <w:tc>
          <w:tcPr>
            <w:tcW w:w="4260" w:type="dxa"/>
            <w:tcBorders>
              <w:tl2br w:val="nil"/>
              <w:tr2bl w:val="nil"/>
            </w:tcBorders>
            <w:noWrap w:val="0"/>
            <w:vAlign w:val="center"/>
          </w:tcPr>
          <w:p w14:paraId="53A074D9">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加强工业源重污染天气应对。完善应急减排清单，确保涉气企业全覆盖。将应急减排措施纳入排污许可证管理。</w:t>
            </w:r>
          </w:p>
        </w:tc>
        <w:tc>
          <w:tcPr>
            <w:tcW w:w="2805" w:type="dxa"/>
            <w:tcBorders>
              <w:tl2br w:val="nil"/>
              <w:tr2bl w:val="nil"/>
            </w:tcBorders>
            <w:noWrap w:val="0"/>
            <w:vAlign w:val="center"/>
          </w:tcPr>
          <w:p w14:paraId="5766DF53">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本评价要求</w:t>
            </w:r>
            <w:r>
              <w:rPr>
                <w:rFonts w:hint="default" w:ascii="Times New Roman" w:hAnsi="Times New Roman" w:eastAsia="宋体" w:cs="Times New Roman"/>
                <w:color w:val="auto"/>
                <w:sz w:val="21"/>
                <w:szCs w:val="21"/>
                <w:highlight w:val="none"/>
                <w:u w:val="none" w:color="auto"/>
                <w:lang w:eastAsia="zh-CN"/>
              </w:rPr>
              <w:t>加强工业源重污染天气应对</w:t>
            </w:r>
            <w:r>
              <w:rPr>
                <w:rFonts w:hint="eastAsia"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eastAsia="zh-CN"/>
              </w:rPr>
              <w:t>将应急减排措施纳入排污许可证管理。</w:t>
            </w:r>
          </w:p>
        </w:tc>
        <w:tc>
          <w:tcPr>
            <w:tcW w:w="804" w:type="dxa"/>
            <w:tcBorders>
              <w:tl2br w:val="nil"/>
              <w:tr2bl w:val="nil"/>
            </w:tcBorders>
            <w:noWrap w:val="0"/>
            <w:vAlign w:val="center"/>
          </w:tcPr>
          <w:p w14:paraId="5C20AA5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4A977A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02ACFEC4">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8</w:t>
            </w:r>
          </w:p>
        </w:tc>
        <w:tc>
          <w:tcPr>
            <w:tcW w:w="4260" w:type="dxa"/>
            <w:tcBorders>
              <w:tl2br w:val="nil"/>
              <w:tr2bl w:val="nil"/>
            </w:tcBorders>
            <w:noWrap w:val="0"/>
            <w:vAlign w:val="center"/>
          </w:tcPr>
          <w:p w14:paraId="73AEC917">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加强非道路移动机械监管。推进厂矿企业、单位内部作业车辆和机械电动化。</w:t>
            </w:r>
          </w:p>
        </w:tc>
        <w:tc>
          <w:tcPr>
            <w:tcW w:w="2805" w:type="dxa"/>
            <w:tcBorders>
              <w:tl2br w:val="nil"/>
              <w:tr2bl w:val="nil"/>
            </w:tcBorders>
            <w:noWrap w:val="0"/>
            <w:vAlign w:val="center"/>
          </w:tcPr>
          <w:p w14:paraId="1F0D6E2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本评价要求</w:t>
            </w:r>
            <w:r>
              <w:rPr>
                <w:rFonts w:hint="default" w:ascii="Times New Roman" w:hAnsi="Times New Roman" w:eastAsia="宋体" w:cs="Times New Roman"/>
                <w:color w:val="auto"/>
                <w:sz w:val="21"/>
                <w:szCs w:val="21"/>
                <w:highlight w:val="none"/>
                <w:u w:val="none" w:color="auto"/>
                <w:lang w:eastAsia="zh-CN"/>
              </w:rPr>
              <w:t>推进企业内部作业车辆和机械电动化。</w:t>
            </w:r>
          </w:p>
        </w:tc>
        <w:tc>
          <w:tcPr>
            <w:tcW w:w="804" w:type="dxa"/>
            <w:tcBorders>
              <w:tl2br w:val="nil"/>
              <w:tr2bl w:val="nil"/>
            </w:tcBorders>
            <w:noWrap w:val="0"/>
            <w:vAlign w:val="center"/>
          </w:tcPr>
          <w:p w14:paraId="5A181EE0">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r w14:paraId="4A7D9E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57" w:type="dxa"/>
            <w:bottom w:w="0" w:type="dxa"/>
            <w:right w:w="57" w:type="dxa"/>
          </w:tblCellMar>
        </w:tblPrEx>
        <w:trPr>
          <w:trHeight w:val="552" w:hRule="atLeast"/>
          <w:jc w:val="center"/>
        </w:trPr>
        <w:tc>
          <w:tcPr>
            <w:tcW w:w="462" w:type="dxa"/>
            <w:tcBorders>
              <w:tl2br w:val="nil"/>
              <w:tr2bl w:val="nil"/>
            </w:tcBorders>
            <w:noWrap w:val="0"/>
            <w:vAlign w:val="center"/>
          </w:tcPr>
          <w:p w14:paraId="29C1B70B">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9</w:t>
            </w:r>
          </w:p>
        </w:tc>
        <w:tc>
          <w:tcPr>
            <w:tcW w:w="4260" w:type="dxa"/>
            <w:tcBorders>
              <w:tl2br w:val="nil"/>
              <w:tr2bl w:val="nil"/>
            </w:tcBorders>
            <w:noWrap w:val="0"/>
            <w:vAlign w:val="center"/>
          </w:tcPr>
          <w:p w14:paraId="66F22508">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推进企业深度治理。以钢铁、建材、工业涂装等行业企业为重点推进NOx和VOCs深度减排。</w:t>
            </w:r>
          </w:p>
        </w:tc>
        <w:tc>
          <w:tcPr>
            <w:tcW w:w="2805" w:type="dxa"/>
            <w:tcBorders>
              <w:tl2br w:val="nil"/>
              <w:tr2bl w:val="nil"/>
            </w:tcBorders>
            <w:noWrap w:val="0"/>
            <w:vAlign w:val="center"/>
          </w:tcPr>
          <w:p w14:paraId="438CC9B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eastAsia" w:ascii="Times New Roman" w:hAnsi="Times New Roman" w:eastAsia="宋体" w:cs="Times New Roman"/>
                <w:color w:val="auto"/>
                <w:sz w:val="21"/>
                <w:szCs w:val="21"/>
                <w:highlight w:val="none"/>
                <w:u w:val="none" w:color="auto"/>
                <w:lang w:val="en-US" w:eastAsia="zh-CN"/>
              </w:rPr>
              <w:t>本项目不属于钢铁、建材、工业涂装等行业</w:t>
            </w:r>
            <w:r>
              <w:rPr>
                <w:rFonts w:hint="default" w:ascii="Times New Roman" w:hAnsi="Times New Roman" w:eastAsia="宋体" w:cs="Times New Roman"/>
                <w:color w:val="auto"/>
                <w:sz w:val="21"/>
                <w:szCs w:val="21"/>
                <w:highlight w:val="none"/>
                <w:u w:val="none" w:color="auto"/>
                <w:lang w:eastAsia="zh-CN"/>
              </w:rPr>
              <w:t>。</w:t>
            </w:r>
          </w:p>
        </w:tc>
        <w:tc>
          <w:tcPr>
            <w:tcW w:w="804" w:type="dxa"/>
            <w:tcBorders>
              <w:tl2br w:val="nil"/>
              <w:tr2bl w:val="nil"/>
            </w:tcBorders>
            <w:noWrap w:val="0"/>
            <w:vAlign w:val="center"/>
          </w:tcPr>
          <w:p w14:paraId="549925BA">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eastAsia="zh-CN"/>
              </w:rPr>
              <w:t>符合</w:t>
            </w:r>
          </w:p>
        </w:tc>
      </w:tr>
    </w:tbl>
    <w:p w14:paraId="5C6DED73">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综上所述，本规划符合《湖南省大气污染防治</w:t>
      </w:r>
      <w:r>
        <w:rPr>
          <w:rFonts w:hint="eastAsia" w:ascii="宋体" w:hAnsi="宋体" w:eastAsia="宋体" w:cs="宋体"/>
          <w:color w:val="auto"/>
          <w:u w:val="none" w:color="auto"/>
        </w:rPr>
        <w:t>“守护蓝天”</w:t>
      </w:r>
      <w:r>
        <w:rPr>
          <w:rFonts w:hint="default" w:ascii="Times New Roman" w:hAnsi="Times New Roman" w:cs="Times New Roman"/>
          <w:color w:val="auto"/>
          <w:u w:val="none" w:color="auto"/>
        </w:rPr>
        <w:t>攻坚行动计划（2023-2025年）》的相关要求。</w:t>
      </w:r>
    </w:p>
    <w:p w14:paraId="4A01AE74">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）与《挥发性有机物（VOCs）污染防治技术政策》符合性分析</w:t>
      </w:r>
    </w:p>
    <w:p w14:paraId="7A9AD54B">
      <w:pPr>
        <w:pStyle w:val="22"/>
        <w:bidi w:val="0"/>
        <w:rPr>
          <w:rFonts w:hint="default"/>
          <w:color w:val="auto"/>
          <w:u w:val="none" w:color="auto"/>
        </w:rPr>
      </w:pPr>
      <w:r>
        <w:rPr>
          <w:rFonts w:hint="default"/>
          <w:color w:val="auto"/>
          <w:u w:val="none" w:color="auto"/>
        </w:rPr>
        <w:t>表1.</w:t>
      </w:r>
      <w:r>
        <w:rPr>
          <w:rFonts w:hint="eastAsia"/>
          <w:color w:val="auto"/>
          <w:u w:val="none" w:color="auto"/>
          <w:lang w:val="en-US" w:eastAsia="zh-CN"/>
        </w:rPr>
        <w:t>3</w:t>
      </w:r>
      <w:r>
        <w:rPr>
          <w:rFonts w:hint="default"/>
          <w:color w:val="auto"/>
          <w:u w:val="none" w:color="auto"/>
        </w:rPr>
        <w:t>-</w:t>
      </w:r>
      <w:r>
        <w:rPr>
          <w:rFonts w:hint="default"/>
          <w:color w:val="auto"/>
          <w:u w:val="none" w:color="auto"/>
          <w:lang w:val="en-US" w:eastAsia="zh-CN"/>
        </w:rPr>
        <w:t>2</w:t>
      </w:r>
      <w:r>
        <w:rPr>
          <w:rFonts w:hint="default"/>
          <w:color w:val="auto"/>
          <w:u w:val="none" w:color="auto"/>
        </w:rPr>
        <w:t xml:space="preserve"> 本项目与《挥发性有机物（VOCs）污染防治技术政策》相关要求表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43"/>
        <w:gridCol w:w="3294"/>
        <w:gridCol w:w="885"/>
      </w:tblGrid>
      <w:tr w14:paraId="66B36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343" w:type="dxa"/>
            <w:noWrap w:val="0"/>
            <w:vAlign w:val="center"/>
          </w:tcPr>
          <w:p w14:paraId="29B21367">
            <w:pPr>
              <w:pStyle w:val="23"/>
              <w:bidi w:val="0"/>
              <w:rPr>
                <w:rFonts w:hint="default"/>
                <w:b/>
                <w:bCs w:val="0"/>
                <w:color w:val="auto"/>
                <w:u w:val="none" w:color="auto"/>
              </w:rPr>
            </w:pPr>
            <w:r>
              <w:rPr>
                <w:rFonts w:hint="default"/>
                <w:b/>
                <w:bCs w:val="0"/>
                <w:color w:val="auto"/>
                <w:u w:val="none" w:color="auto"/>
              </w:rPr>
              <w:t>相关规定</w:t>
            </w:r>
          </w:p>
        </w:tc>
        <w:tc>
          <w:tcPr>
            <w:tcW w:w="3294" w:type="dxa"/>
            <w:noWrap w:val="0"/>
            <w:vAlign w:val="center"/>
          </w:tcPr>
          <w:p w14:paraId="0573116A">
            <w:pPr>
              <w:pStyle w:val="23"/>
              <w:bidi w:val="0"/>
              <w:rPr>
                <w:rFonts w:hint="default"/>
                <w:b/>
                <w:bCs w:val="0"/>
                <w:color w:val="auto"/>
                <w:u w:val="none" w:color="auto"/>
              </w:rPr>
            </w:pPr>
            <w:r>
              <w:rPr>
                <w:rFonts w:hint="default"/>
                <w:b/>
                <w:bCs w:val="0"/>
                <w:color w:val="auto"/>
                <w:u w:val="none" w:color="auto"/>
                <w:lang w:eastAsia="zh-CN"/>
              </w:rPr>
              <w:t>本项目情况</w:t>
            </w:r>
          </w:p>
        </w:tc>
        <w:tc>
          <w:tcPr>
            <w:tcW w:w="885" w:type="dxa"/>
            <w:noWrap w:val="0"/>
            <w:vAlign w:val="center"/>
          </w:tcPr>
          <w:p w14:paraId="2564790B">
            <w:pPr>
              <w:pStyle w:val="23"/>
              <w:bidi w:val="0"/>
              <w:rPr>
                <w:rFonts w:hint="default"/>
                <w:b/>
                <w:bCs w:val="0"/>
                <w:color w:val="auto"/>
                <w:u w:val="none" w:color="auto"/>
              </w:rPr>
            </w:pPr>
            <w:r>
              <w:rPr>
                <w:rFonts w:hint="default"/>
                <w:b/>
                <w:bCs w:val="0"/>
                <w:color w:val="auto"/>
                <w:u w:val="none" w:color="auto"/>
              </w:rPr>
              <w:t>相符性</w:t>
            </w:r>
          </w:p>
        </w:tc>
      </w:tr>
      <w:tr w14:paraId="5E119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tblHeader/>
          <w:jc w:val="center"/>
        </w:trPr>
        <w:tc>
          <w:tcPr>
            <w:tcW w:w="4343" w:type="dxa"/>
            <w:noWrap w:val="0"/>
            <w:vAlign w:val="center"/>
          </w:tcPr>
          <w:p w14:paraId="29B9BDDF">
            <w:pPr>
              <w:pStyle w:val="23"/>
              <w:bidi w:val="0"/>
              <w:rPr>
                <w:rFonts w:hint="default"/>
                <w:color w:val="auto"/>
                <w:u w:val="none" w:color="auto"/>
              </w:rPr>
            </w:pPr>
            <w:r>
              <w:rPr>
                <w:rFonts w:hint="default"/>
                <w:color w:val="auto"/>
                <w:u w:val="none" w:color="auto"/>
              </w:rPr>
              <w:t>VOCs污染防治应遵循源头和过程控制与末端治理相结合的综合防治原则。在工业生产中采用清洁生产技术，严格控制含VOCs原料与产品在生产和储运销过程中的VOCs排放，鼓励对资源和能源的回收利用；鼓励在生产和生活中使用不含VOCs的替代产品或低VOCs含量的产品。</w:t>
            </w:r>
          </w:p>
        </w:tc>
        <w:tc>
          <w:tcPr>
            <w:tcW w:w="3294" w:type="dxa"/>
            <w:noWrap w:val="0"/>
            <w:vAlign w:val="center"/>
          </w:tcPr>
          <w:p w14:paraId="682135F5">
            <w:pPr>
              <w:pStyle w:val="23"/>
              <w:bidi w:val="0"/>
              <w:rPr>
                <w:rFonts w:hint="default"/>
                <w:color w:val="auto"/>
                <w:u w:val="none" w:color="auto"/>
                <w:lang w:eastAsia="zh-CN"/>
              </w:rPr>
            </w:pPr>
            <w:r>
              <w:rPr>
                <w:rFonts w:hint="default"/>
                <w:color w:val="auto"/>
                <w:u w:val="none" w:color="auto"/>
                <w:lang w:eastAsia="zh-CN"/>
              </w:rPr>
              <w:t>本项目遵循源头和过程控制与末端治理相结合的综合防治原则，源头和过程控制上，项目大部分为水基型和热熔型低VOCs含量的胶粘剂，且通过VOCs物料桶装密闭运输储存，加强废气收集；末端治理上，采用两级活性炭吸附处理后通过15m高排气筒达标排放，基本做到了过程控制与末端治理相结合的综合防治。</w:t>
            </w:r>
          </w:p>
        </w:tc>
        <w:tc>
          <w:tcPr>
            <w:tcW w:w="885" w:type="dxa"/>
            <w:noWrap w:val="0"/>
            <w:vAlign w:val="center"/>
          </w:tcPr>
          <w:p w14:paraId="2D67CEBB">
            <w:pPr>
              <w:pStyle w:val="23"/>
              <w:bidi w:val="0"/>
              <w:rPr>
                <w:rFonts w:hint="default"/>
                <w:color w:val="auto"/>
                <w:u w:val="none" w:color="auto"/>
                <w:lang w:eastAsia="zh-CN"/>
              </w:rPr>
            </w:pPr>
            <w:r>
              <w:rPr>
                <w:rFonts w:hint="default"/>
                <w:color w:val="auto"/>
                <w:u w:val="none" w:color="auto"/>
                <w:lang w:eastAsia="zh-CN"/>
              </w:rPr>
              <w:t>符合</w:t>
            </w:r>
          </w:p>
        </w:tc>
      </w:tr>
      <w:tr w14:paraId="4C8CF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4343" w:type="dxa"/>
            <w:noWrap w:val="0"/>
            <w:vAlign w:val="center"/>
          </w:tcPr>
          <w:p w14:paraId="6075B086">
            <w:pPr>
              <w:pStyle w:val="23"/>
              <w:bidi w:val="0"/>
              <w:rPr>
                <w:rFonts w:hint="eastAsia" w:eastAsia="宋体"/>
                <w:color w:val="auto"/>
                <w:u w:val="none" w:color="auto"/>
                <w:lang w:val="en-US" w:eastAsia="zh-CN"/>
              </w:rPr>
            </w:pPr>
            <w:r>
              <w:rPr>
                <w:rFonts w:hint="default"/>
                <w:color w:val="auto"/>
                <w:u w:val="none" w:color="auto"/>
              </w:rPr>
              <w:t>在涂装、印刷、粘合、工业清洗等含VOCs 产品的使用过程中的VOCs污染防治技术措施包括：1、 鼓励使用通过环境标志产品认证的环保型涂料、油墨、胶粘剂和清洗剂；4.鼓励在人造板、制鞋、皮革制品、包装材料等粘合过程中使用水基型、热熔型等环保型胶粘剂，在复合膜的生产中推广无溶剂复合及共挤出复合技术；6.含VOCs产品的使用过程中，应采取废气收集措施，提高废气收集效率，减少废气的无组织排放与逸散，并对收集后的废气进行回收或处理后达标排放</w:t>
            </w:r>
            <w:r>
              <w:rPr>
                <w:rFonts w:hint="eastAsia"/>
                <w:color w:val="auto"/>
                <w:u w:val="none" w:color="auto"/>
                <w:lang w:eastAsia="zh-CN"/>
              </w:rPr>
              <w:t>。</w:t>
            </w:r>
          </w:p>
        </w:tc>
        <w:tc>
          <w:tcPr>
            <w:tcW w:w="3294" w:type="dxa"/>
            <w:noWrap w:val="0"/>
            <w:vAlign w:val="center"/>
          </w:tcPr>
          <w:p w14:paraId="357E6BAE">
            <w:pPr>
              <w:pStyle w:val="23"/>
              <w:bidi w:val="0"/>
              <w:rPr>
                <w:rFonts w:hint="default"/>
                <w:color w:val="auto"/>
                <w:u w:val="none" w:color="auto"/>
                <w:lang w:eastAsia="zh-CN"/>
              </w:rPr>
            </w:pPr>
            <w:r>
              <w:rPr>
                <w:rFonts w:hint="default"/>
                <w:color w:val="auto"/>
                <w:u w:val="none" w:color="auto"/>
                <w:lang w:eastAsia="zh-CN"/>
              </w:rPr>
              <w:t>1.本项目属于塑料制品业，项目使用胶粘剂为通过环境标志产品认证的环保型胶粘剂；4.本项目属于塑料制品业，主要涉及包装材料，生产工艺主要为粘合，项目大部分为水基型和热熔型低VOCs含量的胶粘剂，为满足生产需求使用少量溶剂型胶粘剂；6.覆膜工序施胶处无法密闭，采用集气罩+垂帘、溶剂型胶粘剂覆膜机加装设置为区域半封闭进行局部收集，通过两级活性炭进行处理后可达标排放</w:t>
            </w:r>
          </w:p>
        </w:tc>
        <w:tc>
          <w:tcPr>
            <w:tcW w:w="885" w:type="dxa"/>
            <w:noWrap w:val="0"/>
            <w:vAlign w:val="center"/>
          </w:tcPr>
          <w:p w14:paraId="7E96D6AF">
            <w:pPr>
              <w:pStyle w:val="23"/>
              <w:bidi w:val="0"/>
              <w:rPr>
                <w:rFonts w:hint="default"/>
                <w:color w:val="auto"/>
                <w:u w:val="none" w:color="auto"/>
                <w:lang w:val="en-US" w:eastAsia="zh-CN"/>
              </w:rPr>
            </w:pPr>
            <w:r>
              <w:rPr>
                <w:rFonts w:hint="eastAsia"/>
                <w:color w:val="auto"/>
                <w:u w:val="none" w:color="auto"/>
                <w:lang w:val="en-US" w:eastAsia="zh-CN"/>
              </w:rPr>
              <w:t>符合</w:t>
            </w:r>
          </w:p>
        </w:tc>
      </w:tr>
      <w:tr w14:paraId="14119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4343" w:type="dxa"/>
            <w:noWrap w:val="0"/>
            <w:vAlign w:val="center"/>
          </w:tcPr>
          <w:p w14:paraId="1EC657BA">
            <w:pPr>
              <w:pStyle w:val="23"/>
              <w:bidi w:val="0"/>
              <w:rPr>
                <w:rFonts w:hint="default"/>
                <w:color w:val="auto"/>
                <w:u w:val="none" w:color="auto"/>
                <w:lang w:eastAsia="zh-CN"/>
              </w:rPr>
            </w:pPr>
            <w:r>
              <w:rPr>
                <w:rFonts w:hint="default"/>
                <w:color w:val="auto"/>
                <w:u w:val="none" w:color="auto"/>
              </w:rPr>
              <w:t>对于含低浓度VOCs的废气，有回收价值时可采用吸附技术、吸收技术对有机溶剂回收后达标排放；不宜回收时，可采用吸附浓缩燃烧技术、生物技术、吸收技术、等离子体技术或紫外光高级氧化技术等净化后达标排放</w:t>
            </w:r>
            <w:r>
              <w:rPr>
                <w:rFonts w:hint="default"/>
                <w:color w:val="auto"/>
                <w:u w:val="none" w:color="auto"/>
                <w:lang w:eastAsia="zh-CN"/>
              </w:rPr>
              <w:t>。</w:t>
            </w:r>
          </w:p>
        </w:tc>
        <w:tc>
          <w:tcPr>
            <w:tcW w:w="3294" w:type="dxa"/>
            <w:noWrap w:val="0"/>
            <w:vAlign w:val="center"/>
          </w:tcPr>
          <w:p w14:paraId="47ADA955">
            <w:pPr>
              <w:pStyle w:val="23"/>
              <w:bidi w:val="0"/>
              <w:rPr>
                <w:rFonts w:hint="default"/>
                <w:color w:val="auto"/>
                <w:u w:val="none" w:color="auto"/>
              </w:rPr>
            </w:pPr>
            <w:r>
              <w:rPr>
                <w:rFonts w:hint="default"/>
                <w:color w:val="auto"/>
                <w:u w:val="none" w:color="auto"/>
                <w:lang w:eastAsia="zh-CN"/>
              </w:rPr>
              <w:t>本项目有机废气属于</w:t>
            </w:r>
            <w:r>
              <w:rPr>
                <w:rFonts w:hint="default"/>
                <w:color w:val="auto"/>
                <w:u w:val="none" w:color="auto"/>
              </w:rPr>
              <w:t>低浓度VOCs的废气</w:t>
            </w:r>
            <w:r>
              <w:rPr>
                <w:rFonts w:hint="default"/>
                <w:color w:val="auto"/>
                <w:u w:val="none" w:color="auto"/>
                <w:lang w:eastAsia="zh-CN"/>
              </w:rPr>
              <w:t>，不宜进行回收，</w:t>
            </w:r>
            <w:r>
              <w:rPr>
                <w:rFonts w:hint="default"/>
                <w:color w:val="auto"/>
                <w:u w:val="none" w:color="auto"/>
              </w:rPr>
              <w:t>采用</w:t>
            </w:r>
            <w:r>
              <w:rPr>
                <w:rFonts w:hint="eastAsia"/>
                <w:color w:val="auto"/>
                <w:u w:val="none" w:color="auto"/>
                <w:lang w:val="en-US" w:eastAsia="zh-CN"/>
              </w:rPr>
              <w:t>二级</w:t>
            </w:r>
            <w:r>
              <w:rPr>
                <w:rFonts w:hint="default"/>
                <w:color w:val="auto"/>
                <w:u w:val="none" w:color="auto"/>
                <w:lang w:val="en-US" w:eastAsia="zh-CN"/>
              </w:rPr>
              <w:t>活性炭吸附</w:t>
            </w:r>
            <w:r>
              <w:rPr>
                <w:rFonts w:hint="default"/>
                <w:color w:val="auto"/>
                <w:u w:val="none" w:color="auto"/>
              </w:rPr>
              <w:t>处理后</w:t>
            </w:r>
            <w:r>
              <w:rPr>
                <w:rFonts w:hint="default"/>
                <w:color w:val="auto"/>
                <w:u w:val="none" w:color="auto"/>
                <w:lang w:eastAsia="zh-CN"/>
              </w:rPr>
              <w:t>通过</w:t>
            </w:r>
            <w:r>
              <w:rPr>
                <w:rFonts w:hint="eastAsia"/>
                <w:color w:val="auto"/>
                <w:u w:val="none" w:color="auto"/>
                <w:lang w:val="en-US" w:eastAsia="zh-CN"/>
              </w:rPr>
              <w:t>15</w:t>
            </w:r>
            <w:r>
              <w:rPr>
                <w:rFonts w:hint="default"/>
                <w:color w:val="auto"/>
                <w:u w:val="none" w:color="auto"/>
                <w:lang w:val="en-US" w:eastAsia="zh-CN"/>
              </w:rPr>
              <w:t>m</w:t>
            </w:r>
            <w:r>
              <w:rPr>
                <w:rFonts w:hint="default"/>
                <w:color w:val="auto"/>
                <w:u w:val="none" w:color="auto"/>
              </w:rPr>
              <w:t>高排气筒达标排</w:t>
            </w:r>
            <w:r>
              <w:rPr>
                <w:rFonts w:hint="default"/>
                <w:color w:val="auto"/>
                <w:u w:val="none" w:color="auto"/>
                <w:lang w:eastAsia="zh-CN"/>
              </w:rPr>
              <w:t>。</w:t>
            </w:r>
          </w:p>
        </w:tc>
        <w:tc>
          <w:tcPr>
            <w:tcW w:w="885" w:type="dxa"/>
            <w:noWrap w:val="0"/>
            <w:vAlign w:val="center"/>
          </w:tcPr>
          <w:p w14:paraId="4032E816">
            <w:pPr>
              <w:pStyle w:val="23"/>
              <w:bidi w:val="0"/>
              <w:rPr>
                <w:rFonts w:hint="default"/>
                <w:color w:val="auto"/>
                <w:u w:val="none" w:color="auto"/>
                <w:lang w:eastAsia="zh-CN"/>
              </w:rPr>
            </w:pPr>
            <w:r>
              <w:rPr>
                <w:rFonts w:hint="default"/>
                <w:color w:val="auto"/>
                <w:u w:val="none" w:color="auto"/>
                <w:lang w:eastAsia="zh-CN"/>
              </w:rPr>
              <w:t>符合</w:t>
            </w:r>
          </w:p>
        </w:tc>
      </w:tr>
      <w:tr w14:paraId="58B19C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2" w:hRule="atLeast"/>
          <w:tblHeader/>
          <w:jc w:val="center"/>
        </w:trPr>
        <w:tc>
          <w:tcPr>
            <w:tcW w:w="4343" w:type="dxa"/>
            <w:noWrap w:val="0"/>
            <w:vAlign w:val="center"/>
          </w:tcPr>
          <w:p w14:paraId="7F36416A">
            <w:pPr>
              <w:pStyle w:val="23"/>
              <w:bidi w:val="0"/>
              <w:rPr>
                <w:rFonts w:hint="default"/>
                <w:color w:val="auto"/>
                <w:u w:val="none" w:color="auto"/>
                <w:lang w:val="en-US" w:eastAsia="zh-CN"/>
              </w:rPr>
            </w:pPr>
            <w:r>
              <w:rPr>
                <w:rFonts w:hint="eastAsia"/>
                <w:color w:val="auto"/>
                <w:u w:val="none" w:color="auto"/>
                <w:lang w:val="en-US" w:eastAsia="zh-CN"/>
              </w:rPr>
              <w:t>当采用吸附回收（浓缩）、催化燃烧、热力焚烧、等离子体等方法进行末端治理时，应编制本单位事故火灾、爆炸等应急救援预案，配备应急救援人员和器材，并开展应急演练。</w:t>
            </w:r>
          </w:p>
        </w:tc>
        <w:tc>
          <w:tcPr>
            <w:tcW w:w="3294" w:type="dxa"/>
            <w:noWrap w:val="0"/>
            <w:vAlign w:val="center"/>
          </w:tcPr>
          <w:p w14:paraId="13D7B618">
            <w:pPr>
              <w:pStyle w:val="23"/>
              <w:bidi w:val="0"/>
              <w:rPr>
                <w:rFonts w:hint="default"/>
                <w:color w:val="auto"/>
                <w:u w:val="none" w:color="auto"/>
                <w:lang w:val="en-US" w:eastAsia="zh-CN"/>
              </w:rPr>
            </w:pPr>
            <w:r>
              <w:rPr>
                <w:rFonts w:hint="eastAsia"/>
                <w:color w:val="auto"/>
                <w:u w:val="none" w:color="auto"/>
                <w:lang w:val="en-US" w:eastAsia="zh-CN"/>
              </w:rPr>
              <w:t>本项目建成后将编制突发环境事件应急预案，要求配备应急救援人员和器材，并定期开展应急演练。</w:t>
            </w:r>
          </w:p>
        </w:tc>
        <w:tc>
          <w:tcPr>
            <w:tcW w:w="885" w:type="dxa"/>
            <w:noWrap w:val="0"/>
            <w:vAlign w:val="center"/>
          </w:tcPr>
          <w:p w14:paraId="55B5FB4C">
            <w:pPr>
              <w:pStyle w:val="23"/>
              <w:bidi w:val="0"/>
              <w:rPr>
                <w:rFonts w:hint="default"/>
                <w:color w:val="auto"/>
                <w:u w:val="none" w:color="auto"/>
                <w:lang w:val="en-US" w:eastAsia="zh-CN"/>
              </w:rPr>
            </w:pPr>
            <w:r>
              <w:rPr>
                <w:rFonts w:hint="eastAsia"/>
                <w:color w:val="auto"/>
                <w:u w:val="none" w:color="auto"/>
                <w:lang w:val="en-US" w:eastAsia="zh-CN"/>
              </w:rPr>
              <w:t>符合</w:t>
            </w:r>
          </w:p>
        </w:tc>
      </w:tr>
    </w:tbl>
    <w:p w14:paraId="30D955E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通过上表分析，项目基本符合《挥发性有机物（VOCs）污染防治技术政策》相关要求。</w:t>
      </w:r>
    </w:p>
    <w:p w14:paraId="1D7D8EC7">
      <w:pPr>
        <w:pStyle w:val="20"/>
        <w:bidi w:val="0"/>
        <w:rPr>
          <w:rFonts w:hint="default"/>
          <w:color w:val="auto"/>
          <w:u w:val="none" w:color="auto"/>
          <w:lang w:val="en-US"/>
        </w:rPr>
      </w:pPr>
      <w:r>
        <w:rPr>
          <w:rFonts w:hint="eastAsia"/>
          <w:color w:val="auto"/>
          <w:u w:val="none" w:color="auto"/>
          <w:lang w:eastAsia="zh-CN"/>
        </w:rPr>
        <w:t>（</w:t>
      </w:r>
      <w:r>
        <w:rPr>
          <w:rFonts w:hint="eastAsia"/>
          <w:color w:val="auto"/>
          <w:u w:val="none" w:color="auto"/>
          <w:lang w:val="en-US" w:eastAsia="zh-CN"/>
        </w:rPr>
        <w:t>3</w:t>
      </w:r>
      <w:r>
        <w:rPr>
          <w:rFonts w:hint="eastAsia"/>
          <w:color w:val="auto"/>
          <w:u w:val="none" w:color="auto"/>
          <w:lang w:eastAsia="zh-CN"/>
        </w:rPr>
        <w:t>）</w:t>
      </w:r>
      <w:r>
        <w:rPr>
          <w:rFonts w:hint="default"/>
          <w:color w:val="auto"/>
          <w:u w:val="none" w:color="auto"/>
          <w:lang w:eastAsia="zh-CN"/>
        </w:rPr>
        <w:t>与《</w:t>
      </w:r>
      <w:r>
        <w:rPr>
          <w:rFonts w:hint="default"/>
          <w:color w:val="auto"/>
          <w:u w:val="none" w:color="auto"/>
        </w:rPr>
        <w:t>挥发性有机物无组织排放控制标准（GB 37822</w:t>
      </w:r>
      <w:r>
        <w:rPr>
          <w:rFonts w:hint="eastAsia"/>
          <w:color w:val="auto"/>
          <w:u w:val="none" w:color="auto"/>
          <w:lang w:val="en-US" w:eastAsia="zh-CN"/>
        </w:rPr>
        <w:t>-</w:t>
      </w:r>
      <w:r>
        <w:rPr>
          <w:rFonts w:hint="default"/>
          <w:color w:val="auto"/>
          <w:u w:val="none" w:color="auto"/>
        </w:rPr>
        <w:t>2019）</w:t>
      </w:r>
      <w:r>
        <w:rPr>
          <w:rFonts w:hint="default"/>
          <w:color w:val="auto"/>
          <w:u w:val="none" w:color="auto"/>
          <w:lang w:eastAsia="zh-CN"/>
        </w:rPr>
        <w:t>》符合性分析</w:t>
      </w:r>
    </w:p>
    <w:p w14:paraId="699700E8">
      <w:pPr>
        <w:pStyle w:val="22"/>
        <w:bidi w:val="0"/>
        <w:rPr>
          <w:rFonts w:hint="default"/>
          <w:color w:val="auto"/>
          <w:u w:val="none" w:color="auto"/>
        </w:rPr>
      </w:pPr>
      <w:r>
        <w:rPr>
          <w:rFonts w:hint="default"/>
          <w:color w:val="auto"/>
          <w:u w:val="none" w:color="auto"/>
        </w:rPr>
        <w:t>表1.</w:t>
      </w:r>
      <w:r>
        <w:rPr>
          <w:rFonts w:hint="eastAsia"/>
          <w:color w:val="auto"/>
          <w:u w:val="none" w:color="auto"/>
          <w:lang w:val="en-US" w:eastAsia="zh-CN"/>
        </w:rPr>
        <w:t>3</w:t>
      </w:r>
      <w:r>
        <w:rPr>
          <w:rFonts w:hint="default"/>
          <w:color w:val="auto"/>
          <w:u w:val="none" w:color="auto"/>
        </w:rPr>
        <w:t>-</w:t>
      </w:r>
      <w:r>
        <w:rPr>
          <w:rFonts w:hint="eastAsia"/>
          <w:color w:val="auto"/>
          <w:u w:val="none" w:color="auto"/>
          <w:lang w:val="en-US" w:eastAsia="zh-CN"/>
        </w:rPr>
        <w:t>3</w:t>
      </w:r>
      <w:r>
        <w:rPr>
          <w:rFonts w:hint="default"/>
          <w:color w:val="auto"/>
          <w:u w:val="none" w:color="auto"/>
        </w:rPr>
        <w:t xml:space="preserve"> 本项目与《挥发性有机物无组织排放控制标准（GB 37822</w:t>
      </w:r>
      <w:r>
        <w:rPr>
          <w:rFonts w:hint="eastAsia"/>
          <w:color w:val="auto"/>
          <w:u w:val="none" w:color="auto"/>
          <w:lang w:val="en-US" w:eastAsia="zh-CN"/>
        </w:rPr>
        <w:t>-</w:t>
      </w:r>
      <w:r>
        <w:rPr>
          <w:rFonts w:hint="default"/>
          <w:color w:val="auto"/>
          <w:u w:val="none" w:color="auto"/>
        </w:rPr>
        <w:t>2019）》相关要求表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01"/>
        <w:gridCol w:w="3300"/>
        <w:gridCol w:w="1203"/>
      </w:tblGrid>
      <w:tr w14:paraId="7E6067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0F8FA867">
            <w:pPr>
              <w:pStyle w:val="23"/>
              <w:bidi w:val="0"/>
              <w:rPr>
                <w:rFonts w:hint="default"/>
                <w:b/>
                <w:bCs w:val="0"/>
                <w:color w:val="auto"/>
                <w:u w:val="none" w:color="auto"/>
                <w:lang w:val="en-US" w:eastAsia="zh-CN"/>
              </w:rPr>
            </w:pPr>
            <w:r>
              <w:rPr>
                <w:rFonts w:hint="default"/>
                <w:b/>
                <w:bCs w:val="0"/>
                <w:color w:val="auto"/>
                <w:u w:val="none" w:color="auto"/>
                <w:lang w:val="en-US" w:eastAsia="zh-CN"/>
              </w:rPr>
              <w:t>相关规定</w:t>
            </w:r>
          </w:p>
        </w:tc>
        <w:tc>
          <w:tcPr>
            <w:tcW w:w="3300" w:type="dxa"/>
            <w:noWrap w:val="0"/>
            <w:vAlign w:val="center"/>
          </w:tcPr>
          <w:p w14:paraId="01945211">
            <w:pPr>
              <w:pStyle w:val="23"/>
              <w:bidi w:val="0"/>
              <w:rPr>
                <w:rFonts w:hint="default"/>
                <w:b/>
                <w:bCs w:val="0"/>
                <w:color w:val="auto"/>
                <w:u w:val="none" w:color="auto"/>
                <w:lang w:val="en-US" w:eastAsia="zh-CN"/>
              </w:rPr>
            </w:pPr>
            <w:r>
              <w:rPr>
                <w:rFonts w:hint="default"/>
                <w:b/>
                <w:bCs w:val="0"/>
                <w:color w:val="auto"/>
                <w:u w:val="none" w:color="auto"/>
                <w:lang w:val="en-US" w:eastAsia="zh-CN"/>
              </w:rPr>
              <w:t>本项目已采取的措施及改进建议</w:t>
            </w:r>
          </w:p>
        </w:tc>
        <w:tc>
          <w:tcPr>
            <w:tcW w:w="1203" w:type="dxa"/>
            <w:noWrap w:val="0"/>
            <w:vAlign w:val="center"/>
          </w:tcPr>
          <w:p w14:paraId="06CA3755">
            <w:pPr>
              <w:pStyle w:val="23"/>
              <w:bidi w:val="0"/>
              <w:rPr>
                <w:rFonts w:hint="default"/>
                <w:b/>
                <w:bCs w:val="0"/>
                <w:color w:val="auto"/>
                <w:u w:val="none" w:color="auto"/>
                <w:lang w:val="en-US" w:eastAsia="zh-CN"/>
              </w:rPr>
            </w:pPr>
            <w:r>
              <w:rPr>
                <w:rFonts w:hint="eastAsia"/>
                <w:b/>
                <w:bCs w:val="0"/>
                <w:color w:val="auto"/>
                <w:u w:val="none" w:color="auto"/>
                <w:lang w:val="en-US" w:eastAsia="zh-CN"/>
              </w:rPr>
              <w:t>是否符合</w:t>
            </w:r>
          </w:p>
        </w:tc>
      </w:tr>
      <w:tr w14:paraId="7F3267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3"/>
            <w:noWrap w:val="0"/>
            <w:vAlign w:val="center"/>
          </w:tcPr>
          <w:p w14:paraId="2F28BF1B">
            <w:pPr>
              <w:pStyle w:val="23"/>
              <w:bidi w:val="0"/>
              <w:rPr>
                <w:rFonts w:hint="default"/>
                <w:color w:val="auto"/>
                <w:u w:val="none" w:color="auto"/>
              </w:rPr>
            </w:pPr>
            <w:r>
              <w:rPr>
                <w:rFonts w:hint="default"/>
                <w:color w:val="auto"/>
                <w:u w:val="none" w:color="auto"/>
              </w:rPr>
              <w:t>一、</w:t>
            </w:r>
            <w:r>
              <w:rPr>
                <w:rFonts w:hint="default"/>
                <w:color w:val="auto"/>
                <w:u w:val="none" w:color="auto"/>
                <w:lang w:eastAsia="zh-CN"/>
              </w:rPr>
              <w:t>基本要求</w:t>
            </w:r>
          </w:p>
        </w:tc>
      </w:tr>
      <w:tr w14:paraId="3A62B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11E17AC3">
            <w:pPr>
              <w:pStyle w:val="23"/>
              <w:bidi w:val="0"/>
              <w:rPr>
                <w:rFonts w:hint="default"/>
                <w:color w:val="auto"/>
                <w:u w:val="none" w:color="auto"/>
                <w:lang w:val="en-US" w:eastAsia="zh-CN"/>
              </w:rPr>
            </w:pPr>
            <w:r>
              <w:rPr>
                <w:rFonts w:hint="default"/>
                <w:color w:val="auto"/>
                <w:u w:val="none" w:color="auto"/>
                <w:lang w:val="en-US" w:eastAsia="zh-CN"/>
              </w:rPr>
              <w:t>VOCs物料应储存于密闭的容器、包装袋、储罐、储库、料仓中。</w:t>
            </w:r>
          </w:p>
        </w:tc>
        <w:tc>
          <w:tcPr>
            <w:tcW w:w="3300" w:type="dxa"/>
            <w:noWrap w:val="0"/>
            <w:vAlign w:val="center"/>
          </w:tcPr>
          <w:p w14:paraId="3826AD1E">
            <w:pPr>
              <w:pStyle w:val="23"/>
              <w:bidi w:val="0"/>
              <w:rPr>
                <w:rFonts w:hint="default"/>
                <w:color w:val="auto"/>
                <w:u w:val="none" w:color="auto"/>
                <w:lang w:val="en-US" w:eastAsia="zh-CN"/>
              </w:rPr>
            </w:pPr>
            <w:r>
              <w:rPr>
                <w:rFonts w:hint="default"/>
                <w:color w:val="auto"/>
                <w:u w:val="none" w:color="auto"/>
                <w:lang w:val="en-US" w:eastAsia="zh-CN"/>
              </w:rPr>
              <w:t>本项目使用的胶粘剂采用密闭桶装进行储存，符合要求。</w:t>
            </w:r>
          </w:p>
        </w:tc>
        <w:tc>
          <w:tcPr>
            <w:tcW w:w="1203" w:type="dxa"/>
            <w:noWrap w:val="0"/>
            <w:vAlign w:val="center"/>
          </w:tcPr>
          <w:p w14:paraId="00903EC1">
            <w:pPr>
              <w:pStyle w:val="23"/>
              <w:bidi w:val="0"/>
              <w:rPr>
                <w:rFonts w:hint="default"/>
                <w:color w:val="auto"/>
                <w:u w:val="none" w:color="auto"/>
                <w:lang w:val="en-US" w:eastAsia="zh-CN"/>
              </w:rPr>
            </w:pPr>
            <w:r>
              <w:rPr>
                <w:rFonts w:hint="eastAsia"/>
                <w:color w:val="auto"/>
                <w:u w:val="none" w:color="auto"/>
                <w:lang w:val="en-US" w:eastAsia="zh-CN"/>
              </w:rPr>
              <w:t>符合</w:t>
            </w:r>
          </w:p>
        </w:tc>
      </w:tr>
      <w:tr w14:paraId="261FEE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2C3E666A">
            <w:pPr>
              <w:pStyle w:val="23"/>
              <w:bidi w:val="0"/>
              <w:rPr>
                <w:rFonts w:hint="default"/>
                <w:color w:val="auto"/>
                <w:u w:val="none" w:color="auto"/>
                <w:lang w:val="en-US" w:eastAsia="zh-CN"/>
              </w:rPr>
            </w:pPr>
            <w:r>
              <w:rPr>
                <w:rFonts w:hint="default"/>
                <w:color w:val="auto"/>
                <w:u w:val="none" w:color="auto"/>
                <w:lang w:eastAsia="zh-CN"/>
              </w:rPr>
              <w:t>盛装</w:t>
            </w:r>
            <w:r>
              <w:rPr>
                <w:rFonts w:hint="default"/>
                <w:color w:val="auto"/>
                <w:u w:val="none" w:color="auto"/>
                <w:lang w:val="en-US" w:eastAsia="zh-CN"/>
              </w:rPr>
              <w:t>VOCs物料的容器或包装袋应存放于室内，或存放于设置有雨棚、遮阳和防渗设施的专用场地。盛装VOCs物料的容器或包装袋在非取用状态时应加盖、封口、保持密闭。</w:t>
            </w:r>
          </w:p>
        </w:tc>
        <w:tc>
          <w:tcPr>
            <w:tcW w:w="3300" w:type="dxa"/>
            <w:noWrap w:val="0"/>
            <w:vAlign w:val="center"/>
          </w:tcPr>
          <w:p w14:paraId="5828237C">
            <w:pPr>
              <w:pStyle w:val="23"/>
              <w:bidi w:val="0"/>
              <w:rPr>
                <w:rFonts w:hint="default"/>
                <w:color w:val="auto"/>
                <w:u w:val="none" w:color="auto"/>
                <w:lang w:val="en-US" w:eastAsia="zh-CN"/>
              </w:rPr>
            </w:pPr>
            <w:r>
              <w:rPr>
                <w:rFonts w:hint="default"/>
                <w:color w:val="auto"/>
                <w:u w:val="none" w:color="auto"/>
                <w:lang w:val="en-US" w:eastAsia="zh-CN"/>
              </w:rPr>
              <w:t>本项目原辅料均储存在室内，不露天堆放。</w:t>
            </w:r>
          </w:p>
        </w:tc>
        <w:tc>
          <w:tcPr>
            <w:tcW w:w="1203" w:type="dxa"/>
            <w:noWrap w:val="0"/>
            <w:vAlign w:val="center"/>
          </w:tcPr>
          <w:p w14:paraId="4459467A">
            <w:pPr>
              <w:pStyle w:val="23"/>
              <w:bidi w:val="0"/>
              <w:rPr>
                <w:rFonts w:hint="default"/>
                <w:color w:val="auto"/>
                <w:u w:val="none" w:color="auto"/>
                <w:lang w:val="en-US" w:eastAsia="zh-CN"/>
              </w:rPr>
            </w:pPr>
            <w:r>
              <w:rPr>
                <w:rFonts w:hint="eastAsia"/>
                <w:color w:val="auto"/>
                <w:u w:val="none" w:color="auto"/>
                <w:lang w:val="en-US" w:eastAsia="zh-CN"/>
              </w:rPr>
              <w:t>符合</w:t>
            </w:r>
          </w:p>
        </w:tc>
      </w:tr>
      <w:tr w14:paraId="71ED2A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2516B1F5">
            <w:pPr>
              <w:pStyle w:val="23"/>
              <w:bidi w:val="0"/>
              <w:rPr>
                <w:rFonts w:hint="default"/>
                <w:color w:val="auto"/>
                <w:u w:val="none" w:color="auto"/>
                <w:lang w:val="en-US" w:eastAsia="zh-CN"/>
              </w:rPr>
            </w:pPr>
            <w:r>
              <w:rPr>
                <w:rFonts w:hint="default"/>
                <w:color w:val="auto"/>
                <w:u w:val="none" w:color="auto"/>
                <w:lang w:val="en-US" w:eastAsia="zh-CN"/>
              </w:rPr>
              <w:t>VOCs物料储存、料仓应满足密闭空间的要求。</w:t>
            </w:r>
          </w:p>
        </w:tc>
        <w:tc>
          <w:tcPr>
            <w:tcW w:w="3300" w:type="dxa"/>
            <w:noWrap w:val="0"/>
            <w:vAlign w:val="center"/>
          </w:tcPr>
          <w:p w14:paraId="1C218610">
            <w:pPr>
              <w:pStyle w:val="23"/>
              <w:bidi w:val="0"/>
              <w:rPr>
                <w:rFonts w:hint="default"/>
                <w:color w:val="auto"/>
                <w:u w:val="none" w:color="auto"/>
                <w:lang w:val="en-US" w:eastAsia="zh-CN"/>
              </w:rPr>
            </w:pPr>
            <w:r>
              <w:rPr>
                <w:rFonts w:hint="default"/>
                <w:color w:val="auto"/>
                <w:u w:val="none" w:color="auto"/>
                <w:lang w:val="en-US" w:eastAsia="zh-CN"/>
              </w:rPr>
              <w:t>VOCs物料储存满足密闭空间的要求。符合要求</w:t>
            </w:r>
          </w:p>
        </w:tc>
        <w:tc>
          <w:tcPr>
            <w:tcW w:w="1203" w:type="dxa"/>
            <w:noWrap w:val="0"/>
            <w:vAlign w:val="center"/>
          </w:tcPr>
          <w:p w14:paraId="379F7FDA">
            <w:pPr>
              <w:pStyle w:val="23"/>
              <w:bidi w:val="0"/>
              <w:rPr>
                <w:rFonts w:hint="default"/>
                <w:color w:val="auto"/>
                <w:u w:val="none" w:color="auto"/>
                <w:lang w:val="en-US" w:eastAsia="zh-CN"/>
              </w:rPr>
            </w:pPr>
            <w:r>
              <w:rPr>
                <w:rFonts w:hint="eastAsia"/>
                <w:color w:val="auto"/>
                <w:u w:val="none" w:color="auto"/>
                <w:lang w:val="en-US" w:eastAsia="zh-CN"/>
              </w:rPr>
              <w:t>符合</w:t>
            </w:r>
          </w:p>
        </w:tc>
      </w:tr>
      <w:tr w14:paraId="568FA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3"/>
            <w:noWrap w:val="0"/>
            <w:vAlign w:val="center"/>
          </w:tcPr>
          <w:p w14:paraId="4F5C54D2">
            <w:pPr>
              <w:pStyle w:val="23"/>
              <w:bidi w:val="0"/>
              <w:rPr>
                <w:rFonts w:hint="default"/>
                <w:color w:val="auto"/>
                <w:u w:val="none" w:color="auto"/>
              </w:rPr>
            </w:pPr>
            <w:r>
              <w:rPr>
                <w:rFonts w:hint="default"/>
                <w:color w:val="auto"/>
                <w:u w:val="none" w:color="auto"/>
              </w:rPr>
              <w:t>二、</w:t>
            </w:r>
            <w:r>
              <w:rPr>
                <w:rFonts w:hint="default"/>
                <w:color w:val="auto"/>
                <w:u w:val="none" w:color="auto"/>
                <w:lang w:eastAsia="zh-CN"/>
              </w:rPr>
              <w:t>工艺过程</w:t>
            </w:r>
            <w:r>
              <w:rPr>
                <w:rFonts w:hint="default"/>
                <w:color w:val="auto"/>
                <w:u w:val="none" w:color="auto"/>
                <w:lang w:val="en-US" w:eastAsia="zh-CN"/>
              </w:rPr>
              <w:t>VOCs无组织排放控制要求</w:t>
            </w:r>
          </w:p>
        </w:tc>
      </w:tr>
      <w:tr w14:paraId="0C08B4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2847EA29">
            <w:pPr>
              <w:pStyle w:val="23"/>
              <w:bidi w:val="0"/>
              <w:rPr>
                <w:rFonts w:hint="default"/>
                <w:color w:val="auto"/>
                <w:u w:val="none" w:color="auto"/>
                <w:lang w:val="en-US" w:eastAsia="zh-CN"/>
              </w:rPr>
            </w:pPr>
            <w:r>
              <w:rPr>
                <w:rFonts w:hint="default"/>
                <w:color w:val="auto"/>
                <w:u w:val="none" w:color="auto"/>
                <w:lang w:val="en-US" w:eastAsia="zh-CN"/>
              </w:rPr>
              <w:t>VOCs物料卸（出、放）料过程应密闭，卸料废气应排至VOCs废气收集系统处理；无法密闭的，应采取局部气体收集措施，废气应排至VOCs废气收集处理系统。</w:t>
            </w:r>
          </w:p>
        </w:tc>
        <w:tc>
          <w:tcPr>
            <w:tcW w:w="3300" w:type="dxa"/>
            <w:noWrap w:val="0"/>
            <w:vAlign w:val="center"/>
          </w:tcPr>
          <w:p w14:paraId="55814FDE">
            <w:pPr>
              <w:pStyle w:val="23"/>
              <w:bidi w:val="0"/>
              <w:rPr>
                <w:rFonts w:hint="default"/>
                <w:color w:val="auto"/>
                <w:u w:val="none" w:color="auto"/>
                <w:lang w:val="en-US" w:eastAsia="zh-CN"/>
              </w:rPr>
            </w:pPr>
            <w:r>
              <w:rPr>
                <w:rFonts w:hint="default"/>
                <w:color w:val="auto"/>
                <w:u w:val="none" w:color="auto"/>
                <w:lang w:val="en-US" w:eastAsia="zh-CN"/>
              </w:rPr>
              <w:t>对</w:t>
            </w:r>
            <w:r>
              <w:rPr>
                <w:rFonts w:hint="eastAsia"/>
                <w:color w:val="auto"/>
                <w:u w:val="none" w:color="auto"/>
                <w:lang w:val="en-US" w:eastAsia="zh-CN"/>
              </w:rPr>
              <w:t>挤出</w:t>
            </w:r>
            <w:r>
              <w:rPr>
                <w:rFonts w:hint="default"/>
                <w:color w:val="auto"/>
                <w:u w:val="none" w:color="auto"/>
                <w:lang w:val="en-US" w:eastAsia="zh-CN"/>
              </w:rPr>
              <w:t>过程产生的废气采取集气罩收集后进入废气处理系统处</w:t>
            </w:r>
            <w:r>
              <w:rPr>
                <w:rFonts w:hint="eastAsia"/>
                <w:color w:val="auto"/>
                <w:u w:val="none" w:color="auto"/>
                <w:lang w:val="en-US" w:eastAsia="zh-CN"/>
              </w:rPr>
              <w:t>理</w:t>
            </w:r>
            <w:r>
              <w:rPr>
                <w:rFonts w:hint="default"/>
                <w:color w:val="auto"/>
                <w:u w:val="none" w:color="auto"/>
                <w:lang w:val="en-US" w:eastAsia="zh-CN"/>
              </w:rPr>
              <w:t>，符合要求。</w:t>
            </w:r>
          </w:p>
        </w:tc>
        <w:tc>
          <w:tcPr>
            <w:tcW w:w="1203" w:type="dxa"/>
            <w:noWrap w:val="0"/>
            <w:vAlign w:val="center"/>
          </w:tcPr>
          <w:p w14:paraId="2BF0AB80">
            <w:pPr>
              <w:pStyle w:val="23"/>
              <w:bidi w:val="0"/>
              <w:rPr>
                <w:rFonts w:hint="default"/>
                <w:color w:val="auto"/>
                <w:u w:val="none" w:color="auto"/>
                <w:lang w:val="en-US" w:eastAsia="zh-CN"/>
              </w:rPr>
            </w:pPr>
            <w:r>
              <w:rPr>
                <w:rFonts w:hint="eastAsia"/>
                <w:color w:val="auto"/>
                <w:u w:val="none" w:color="auto"/>
                <w:lang w:val="en-US" w:eastAsia="zh-CN"/>
              </w:rPr>
              <w:t>符合</w:t>
            </w:r>
          </w:p>
        </w:tc>
      </w:tr>
      <w:tr w14:paraId="43311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088C840E">
            <w:pPr>
              <w:pStyle w:val="23"/>
              <w:bidi w:val="0"/>
              <w:rPr>
                <w:rFonts w:hint="default"/>
                <w:color w:val="auto"/>
                <w:u w:val="none" w:color="auto"/>
                <w:lang w:val="en-US" w:eastAsia="zh-CN"/>
              </w:rPr>
            </w:pPr>
            <w:r>
              <w:rPr>
                <w:rFonts w:hint="default"/>
                <w:color w:val="auto"/>
                <w:u w:val="none" w:color="auto"/>
                <w:lang w:val="en-US" w:eastAsia="zh-CN"/>
              </w:rPr>
              <w:t>VOCs物料混合、搅拌、研磨、造粒、切片、压片等配料加工过程，以及含VOCs产品的包装（灌装、分装）过程应采用密闭设备或在密闭空间内操作，废气应排至VOCs废气收集处理系统；无法密闭的，应采取局部气体收集措施，废气应排至VOCs废气收集处理系统。</w:t>
            </w:r>
          </w:p>
        </w:tc>
        <w:tc>
          <w:tcPr>
            <w:tcW w:w="3300" w:type="dxa"/>
            <w:noWrap w:val="0"/>
            <w:vAlign w:val="center"/>
          </w:tcPr>
          <w:p w14:paraId="68316D65">
            <w:pPr>
              <w:pStyle w:val="23"/>
              <w:bidi w:val="0"/>
              <w:rPr>
                <w:rFonts w:hint="default"/>
                <w:color w:val="auto"/>
                <w:u w:val="none" w:color="auto"/>
                <w:lang w:val="en-US" w:eastAsia="zh-CN"/>
              </w:rPr>
            </w:pPr>
            <w:r>
              <w:rPr>
                <w:rFonts w:hint="default"/>
                <w:color w:val="auto"/>
                <w:u w:val="none" w:color="auto"/>
                <w:lang w:val="en-US" w:eastAsia="zh-CN"/>
              </w:rPr>
              <w:t>VOCs物料</w:t>
            </w:r>
            <w:r>
              <w:rPr>
                <w:rFonts w:hint="eastAsia"/>
                <w:color w:val="auto"/>
                <w:u w:val="none" w:color="auto"/>
                <w:lang w:val="en-US" w:eastAsia="zh-CN"/>
              </w:rPr>
              <w:t>挤出</w:t>
            </w:r>
            <w:r>
              <w:rPr>
                <w:rFonts w:hint="default"/>
                <w:color w:val="auto"/>
                <w:u w:val="none" w:color="auto"/>
                <w:lang w:val="en-US" w:eastAsia="zh-CN"/>
              </w:rPr>
              <w:t>等工序均在封闭设备进行，出口无法密闭处采用集气罩进行局部收集，后进入VOCs废气处理设施处理，符合要求。</w:t>
            </w:r>
          </w:p>
        </w:tc>
        <w:tc>
          <w:tcPr>
            <w:tcW w:w="1203" w:type="dxa"/>
            <w:noWrap w:val="0"/>
            <w:vAlign w:val="center"/>
          </w:tcPr>
          <w:p w14:paraId="00962540">
            <w:pPr>
              <w:pStyle w:val="23"/>
              <w:bidi w:val="0"/>
              <w:rPr>
                <w:rFonts w:hint="default"/>
                <w:color w:val="auto"/>
                <w:u w:val="none" w:color="auto"/>
                <w:lang w:val="en-US" w:eastAsia="zh-CN"/>
              </w:rPr>
            </w:pPr>
            <w:r>
              <w:rPr>
                <w:rFonts w:hint="eastAsia"/>
                <w:color w:val="auto"/>
                <w:u w:val="none" w:color="auto"/>
                <w:lang w:val="en-US" w:eastAsia="zh-CN"/>
              </w:rPr>
              <w:t>符合</w:t>
            </w:r>
          </w:p>
        </w:tc>
      </w:tr>
      <w:tr w14:paraId="0D275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2C3BCC6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eastAsia="zh-CN"/>
              </w:rPr>
              <w:t>VOCs质量占比大于等于10%的含VOCs产品，其使用过程应采用密闭设备或在密闭空间内操作，废气应排至VOCs废气收集处理系统</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lang w:eastAsia="zh-CN"/>
              </w:rPr>
              <w:t>无法密闭的，应采取局部气体收集措施，废气应排至VOCs废气收集处理系统</w:t>
            </w:r>
            <w:r>
              <w:rPr>
                <w:rFonts w:hint="default" w:ascii="Times New Roman" w:hAnsi="Times New Roman" w:cs="Times New Roman"/>
                <w:color w:val="auto"/>
                <w:u w:val="none" w:color="auto"/>
                <w:lang w:val="en-US" w:eastAsia="zh-CN"/>
              </w:rPr>
              <w:t>。</w:t>
            </w:r>
          </w:p>
        </w:tc>
        <w:tc>
          <w:tcPr>
            <w:tcW w:w="3300" w:type="dxa"/>
            <w:noWrap w:val="0"/>
            <w:vAlign w:val="center"/>
          </w:tcPr>
          <w:p w14:paraId="22AB409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项目覆膜工序施胶处</w:t>
            </w:r>
            <w:r>
              <w:rPr>
                <w:rFonts w:hint="default" w:ascii="Times New Roman" w:hAnsi="Times New Roman" w:cs="Times New Roman"/>
                <w:color w:val="auto"/>
                <w:u w:val="none" w:color="auto"/>
                <w:lang w:val="en-US" w:eastAsia="zh-CN"/>
              </w:rPr>
              <w:t>无法密闭</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采用集气罩进行局部收集，后进入VOCs废气处理设施处理，符合要求。</w:t>
            </w:r>
          </w:p>
        </w:tc>
        <w:tc>
          <w:tcPr>
            <w:tcW w:w="1203" w:type="dxa"/>
            <w:noWrap w:val="0"/>
            <w:vAlign w:val="center"/>
          </w:tcPr>
          <w:p w14:paraId="65B6135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符合</w:t>
            </w:r>
          </w:p>
        </w:tc>
      </w:tr>
      <w:tr w14:paraId="52D3C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0A0A7ED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有机聚合物产品用于制品生产的过程，在混合/混炼、塑炼/塑化/熔化、加工成型</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挤出、注射压制、压延、发泡、纺丝等</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等作业中应采用密闭设备或在密闭空间内操作，废气应排至 VOCs废气收集处理系统</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无法密闭的，应采取局部气体收集措施，废气应排至VOCs废气收集处理系统。</w:t>
            </w:r>
          </w:p>
        </w:tc>
        <w:tc>
          <w:tcPr>
            <w:tcW w:w="3300" w:type="dxa"/>
            <w:noWrap w:val="0"/>
            <w:vAlign w:val="center"/>
          </w:tcPr>
          <w:p w14:paraId="3F79029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项目覆膜工序施胶处</w:t>
            </w:r>
            <w:r>
              <w:rPr>
                <w:rFonts w:hint="default" w:ascii="Times New Roman" w:hAnsi="Times New Roman" w:cs="Times New Roman"/>
                <w:color w:val="auto"/>
                <w:u w:val="none" w:color="auto"/>
                <w:lang w:val="en-US" w:eastAsia="zh-CN"/>
              </w:rPr>
              <w:t>无法密闭</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采用集气罩进行局部收集，后进入VOCs废气处理设施处理，符合要求。</w:t>
            </w:r>
          </w:p>
        </w:tc>
        <w:tc>
          <w:tcPr>
            <w:tcW w:w="1203" w:type="dxa"/>
            <w:noWrap w:val="0"/>
            <w:vAlign w:val="center"/>
          </w:tcPr>
          <w:p w14:paraId="006CCB7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符合</w:t>
            </w:r>
          </w:p>
        </w:tc>
      </w:tr>
      <w:tr w14:paraId="5BDF6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2A6EB449">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企业应建立台账，记录含VOCs原辅材料和含 VOCs产品的名称、使用量、回收量、废弃量去向以及VOCs 含量等信息。台账保存期限不少于3年。</w:t>
            </w:r>
          </w:p>
        </w:tc>
        <w:tc>
          <w:tcPr>
            <w:tcW w:w="3300" w:type="dxa"/>
            <w:noWrap w:val="0"/>
            <w:vAlign w:val="center"/>
          </w:tcPr>
          <w:p w14:paraId="4B11791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本评价要求建设单位按要求建立台账，台账保存期限不少于3年</w:t>
            </w:r>
            <w:r>
              <w:rPr>
                <w:rFonts w:hint="default" w:ascii="Times New Roman" w:hAnsi="Times New Roman" w:cs="Times New Roman"/>
                <w:color w:val="auto"/>
                <w:u w:val="none" w:color="auto"/>
                <w:lang w:val="en-US" w:eastAsia="zh-CN"/>
              </w:rPr>
              <w:t>。</w:t>
            </w:r>
          </w:p>
        </w:tc>
        <w:tc>
          <w:tcPr>
            <w:tcW w:w="1203" w:type="dxa"/>
            <w:noWrap w:val="0"/>
            <w:vAlign w:val="center"/>
          </w:tcPr>
          <w:p w14:paraId="62D196E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符合</w:t>
            </w:r>
          </w:p>
        </w:tc>
      </w:tr>
      <w:tr w14:paraId="2DBCF4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3"/>
            <w:noWrap w:val="0"/>
            <w:vAlign w:val="center"/>
          </w:tcPr>
          <w:p w14:paraId="4C426434">
            <w:pPr>
              <w:pStyle w:val="23"/>
              <w:bidi w:val="0"/>
              <w:rPr>
                <w:rFonts w:hint="eastAsia"/>
                <w:color w:val="auto"/>
                <w:u w:val="none" w:color="auto"/>
                <w:lang w:val="en-US" w:eastAsia="zh-CN"/>
              </w:rPr>
            </w:pPr>
            <w:r>
              <w:rPr>
                <w:rFonts w:hint="eastAsia"/>
                <w:color w:val="auto"/>
                <w:u w:val="none" w:color="auto"/>
                <w:lang w:val="en-US" w:eastAsia="zh-CN"/>
              </w:rPr>
              <w:t>十、VOCs 无组织排放废气收集处理系统要求</w:t>
            </w:r>
          </w:p>
        </w:tc>
      </w:tr>
      <w:tr w14:paraId="20B767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01" w:type="dxa"/>
            <w:noWrap w:val="0"/>
            <w:vAlign w:val="center"/>
          </w:tcPr>
          <w:p w14:paraId="1A47B1D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收集的废气中NMHC初始排放速率&gt;3 kg</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h时，应配置VOCs处理设施，处理效率不应低于80%</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对于重点地区，收集的废气中NMHC 初始排放速率&gt;2kg</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h时，应配置VOCs处理设施，处理效率不应低于80%</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采用的原辅材料符合国家有关低VOCs含量产品规定的除外</w:t>
            </w:r>
            <w:r>
              <w:rPr>
                <w:rFonts w:hint="eastAsia" w:ascii="Times New Roman" w:hAnsi="Times New Roman" w:cs="Times New Roman"/>
                <w:color w:val="auto"/>
                <w:u w:val="none" w:color="auto"/>
                <w:lang w:val="en-US" w:eastAsia="zh-CN"/>
              </w:rPr>
              <w:t>。</w:t>
            </w:r>
          </w:p>
        </w:tc>
        <w:tc>
          <w:tcPr>
            <w:tcW w:w="3300" w:type="dxa"/>
            <w:noWrap w:val="0"/>
            <w:vAlign w:val="center"/>
          </w:tcPr>
          <w:p w14:paraId="276FECE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根据后续工程分析可知，本项目</w:t>
            </w:r>
            <w:r>
              <w:rPr>
                <w:rFonts w:hint="default" w:ascii="Times New Roman" w:hAnsi="Times New Roman" w:cs="Times New Roman"/>
                <w:color w:val="auto"/>
                <w:u w:val="none" w:color="auto"/>
                <w:lang w:val="en-US" w:eastAsia="zh-CN"/>
              </w:rPr>
              <w:t>VOCs</w:t>
            </w:r>
            <w:r>
              <w:rPr>
                <w:rFonts w:hint="eastAsia" w:ascii="Times New Roman" w:hAnsi="Times New Roman" w:cs="Times New Roman"/>
                <w:color w:val="auto"/>
                <w:u w:val="none" w:color="auto"/>
                <w:lang w:val="en-US" w:eastAsia="zh-CN"/>
              </w:rPr>
              <w:t>初始排放速率为</w:t>
            </w:r>
            <w:r>
              <w:rPr>
                <w:rFonts w:hint="eastAsia"/>
                <w:color w:val="auto"/>
                <w:u w:val="none" w:color="auto"/>
                <w:lang w:val="en-US" w:eastAsia="zh-CN"/>
              </w:rPr>
              <w:t>0.413</w:t>
            </w:r>
            <w:r>
              <w:rPr>
                <w:color w:val="auto"/>
                <w:u w:val="none" w:color="auto"/>
              </w:rPr>
              <w:t>千克/小时</w:t>
            </w:r>
            <w:r>
              <w:rPr>
                <w:rFonts w:hint="eastAsia"/>
                <w:color w:val="auto"/>
                <w:u w:val="none" w:color="auto"/>
                <w:lang w:eastAsia="zh-CN"/>
              </w:rPr>
              <w:t>、</w:t>
            </w:r>
            <w:r>
              <w:rPr>
                <w:rFonts w:hint="eastAsia"/>
                <w:color w:val="auto"/>
                <w:u w:val="none" w:color="auto"/>
                <w:lang w:val="en-US" w:eastAsia="zh-CN"/>
              </w:rPr>
              <w:t>0.459</w:t>
            </w:r>
            <w:r>
              <w:rPr>
                <w:color w:val="auto"/>
                <w:u w:val="none" w:color="auto"/>
              </w:rPr>
              <w:t>千克/小时</w:t>
            </w:r>
            <w:r>
              <w:rPr>
                <w:rFonts w:hint="eastAsia" w:ascii="Times New Roman" w:hAnsi="Times New Roman" w:cs="Times New Roman"/>
                <w:color w:val="auto"/>
                <w:u w:val="none" w:color="auto"/>
                <w:lang w:val="en-US" w:eastAsia="zh-CN"/>
              </w:rPr>
              <w:t>，本项目区域不属于重点地区，初始排放速率小于3</w:t>
            </w:r>
            <w:r>
              <w:rPr>
                <w:rFonts w:hint="default" w:ascii="Times New Roman" w:hAnsi="Times New Roman" w:cs="Times New Roman"/>
                <w:color w:val="auto"/>
                <w:u w:val="none" w:color="auto"/>
                <w:lang w:val="en-US" w:eastAsia="zh-CN"/>
              </w:rPr>
              <w:t>kg</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h</w:t>
            </w:r>
            <w:r>
              <w:rPr>
                <w:rFonts w:hint="eastAsia" w:ascii="Times New Roman" w:hAnsi="Times New Roman" w:cs="Times New Roman"/>
                <w:color w:val="auto"/>
                <w:u w:val="none" w:color="auto"/>
                <w:lang w:val="en-US" w:eastAsia="zh-CN"/>
              </w:rPr>
              <w:t>，无需满足处理效率要求，项目已配置两级活性炭对</w:t>
            </w:r>
            <w:r>
              <w:rPr>
                <w:rFonts w:hint="default" w:ascii="Times New Roman" w:hAnsi="Times New Roman" w:cs="Times New Roman"/>
                <w:color w:val="auto"/>
                <w:u w:val="none" w:color="auto"/>
                <w:lang w:val="en-US" w:eastAsia="zh-CN"/>
              </w:rPr>
              <w:t>VOCs</w:t>
            </w:r>
            <w:r>
              <w:rPr>
                <w:rFonts w:hint="eastAsia" w:ascii="Times New Roman" w:hAnsi="Times New Roman" w:cs="Times New Roman"/>
                <w:color w:val="auto"/>
                <w:u w:val="none" w:color="auto"/>
                <w:lang w:val="en-US" w:eastAsia="zh-CN"/>
              </w:rPr>
              <w:t>进行</w:t>
            </w:r>
            <w:r>
              <w:rPr>
                <w:rFonts w:hint="default" w:ascii="Times New Roman" w:hAnsi="Times New Roman" w:cs="Times New Roman"/>
                <w:color w:val="auto"/>
                <w:u w:val="none" w:color="auto"/>
                <w:lang w:val="en-US" w:eastAsia="zh-CN"/>
              </w:rPr>
              <w:t>处理</w:t>
            </w:r>
            <w:r>
              <w:rPr>
                <w:rFonts w:hint="eastAsia" w:ascii="Times New Roman" w:hAnsi="Times New Roman" w:cs="Times New Roman"/>
                <w:color w:val="auto"/>
                <w:u w:val="none" w:color="auto"/>
                <w:lang w:val="en-US" w:eastAsia="zh-CN"/>
              </w:rPr>
              <w:t>。</w:t>
            </w:r>
          </w:p>
        </w:tc>
        <w:tc>
          <w:tcPr>
            <w:tcW w:w="1203" w:type="dxa"/>
            <w:noWrap w:val="0"/>
            <w:vAlign w:val="center"/>
          </w:tcPr>
          <w:p w14:paraId="072B12C8">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符合</w:t>
            </w:r>
          </w:p>
        </w:tc>
      </w:tr>
    </w:tbl>
    <w:p w14:paraId="455BA00C">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通过上表分析，项目基本符合《挥发性有机物无组织排放控制标准（GB 37822</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2019）》相关要求。</w:t>
      </w:r>
    </w:p>
    <w:p w14:paraId="7B405B6B">
      <w:pPr>
        <w:pStyle w:val="20"/>
        <w:ind w:firstLine="480"/>
        <w:rPr>
          <w:color w:val="auto"/>
          <w:u w:val="none" w:color="auto"/>
        </w:rPr>
      </w:pPr>
      <w:bookmarkStart w:id="97" w:name="_Toc10262"/>
      <w:bookmarkStart w:id="98" w:name="_Toc28634"/>
      <w:bookmarkStart w:id="99" w:name="_Toc1538"/>
      <w:bookmarkStart w:id="100" w:name="_Toc24733"/>
      <w:r>
        <w:rPr>
          <w:color w:val="auto"/>
          <w:u w:val="none" w:color="auto"/>
        </w:rPr>
        <w:t>（</w:t>
      </w:r>
      <w:r>
        <w:rPr>
          <w:rFonts w:hint="eastAsia"/>
          <w:color w:val="auto"/>
          <w:u w:val="none" w:color="auto"/>
          <w:lang w:val="en-US" w:eastAsia="zh-CN"/>
        </w:rPr>
        <w:t>4</w:t>
      </w:r>
      <w:r>
        <w:rPr>
          <w:color w:val="auto"/>
          <w:u w:val="none" w:color="auto"/>
        </w:rPr>
        <w:t>）</w:t>
      </w:r>
      <w:r>
        <w:rPr>
          <w:rFonts w:hint="eastAsia"/>
          <w:color w:val="auto"/>
          <w:u w:val="none" w:color="auto"/>
        </w:rPr>
        <w:t>与《重点行业挥发性有机物综合治理方案》符合性分析</w:t>
      </w:r>
    </w:p>
    <w:p w14:paraId="4CA272E0">
      <w:pPr>
        <w:pStyle w:val="22"/>
        <w:bidi w:val="0"/>
        <w:rPr>
          <w:color w:val="auto"/>
          <w:u w:val="none" w:color="auto"/>
        </w:rPr>
      </w:pPr>
      <w:r>
        <w:rPr>
          <w:color w:val="auto"/>
          <w:u w:val="none" w:color="auto"/>
        </w:rPr>
        <w:t>表1.</w:t>
      </w:r>
      <w:r>
        <w:rPr>
          <w:rFonts w:hint="eastAsia"/>
          <w:color w:val="auto"/>
          <w:u w:val="none" w:color="auto"/>
          <w:lang w:val="en-US" w:eastAsia="zh-CN"/>
        </w:rPr>
        <w:t>3</w:t>
      </w:r>
      <w:r>
        <w:rPr>
          <w:color w:val="auto"/>
          <w:u w:val="none" w:color="auto"/>
        </w:rPr>
        <w:t>-</w:t>
      </w:r>
      <w:r>
        <w:rPr>
          <w:rFonts w:hint="eastAsia"/>
          <w:color w:val="auto"/>
          <w:u w:val="none" w:color="auto"/>
          <w:lang w:val="en-US" w:eastAsia="zh-CN"/>
        </w:rPr>
        <w:t>4</w:t>
      </w:r>
      <w:r>
        <w:rPr>
          <w:color w:val="auto"/>
          <w:u w:val="none" w:color="auto"/>
        </w:rPr>
        <w:t xml:space="preserve"> 本项目</w:t>
      </w:r>
      <w:r>
        <w:rPr>
          <w:rFonts w:hint="eastAsia"/>
          <w:color w:val="auto"/>
          <w:u w:val="none" w:color="auto"/>
        </w:rPr>
        <w:t>与《重点行业挥发性有机物综合治理方案》</w:t>
      </w:r>
      <w:r>
        <w:rPr>
          <w:color w:val="auto"/>
          <w:u w:val="none" w:color="auto"/>
        </w:rPr>
        <w:t>相关要求表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069"/>
        <w:gridCol w:w="2435"/>
      </w:tblGrid>
      <w:tr w14:paraId="203BB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9" w:type="dxa"/>
            <w:noWrap w:val="0"/>
            <w:vAlign w:val="center"/>
          </w:tcPr>
          <w:p w14:paraId="56C3F32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相关规定</w:t>
            </w:r>
          </w:p>
        </w:tc>
        <w:tc>
          <w:tcPr>
            <w:tcW w:w="2435" w:type="dxa"/>
            <w:noWrap w:val="0"/>
            <w:vAlign w:val="center"/>
          </w:tcPr>
          <w:p w14:paraId="7B892843">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相符性分析</w:t>
            </w:r>
          </w:p>
        </w:tc>
      </w:tr>
      <w:tr w14:paraId="4858D6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9" w:type="dxa"/>
            <w:noWrap w:val="0"/>
            <w:vAlign w:val="center"/>
          </w:tcPr>
          <w:p w14:paraId="0ED455C8">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pacing w:val="6"/>
                <w:kern w:val="24"/>
                <w:sz w:val="21"/>
                <w:szCs w:val="21"/>
                <w:u w:val="none" w:color="auto"/>
                <w:lang w:val="en-US" w:eastAsia="zh-CN" w:bidi="ar-SA"/>
              </w:rPr>
            </w:pPr>
            <w:r>
              <w:rPr>
                <w:color w:val="auto"/>
                <w:u w:val="none" w:color="auto"/>
              </w:rPr>
              <w:t>重点区域范围：京津冀及周边地区、长三角地区、汾渭平原</w:t>
            </w:r>
          </w:p>
        </w:tc>
        <w:tc>
          <w:tcPr>
            <w:tcW w:w="2435" w:type="dxa"/>
            <w:noWrap w:val="0"/>
            <w:vAlign w:val="center"/>
          </w:tcPr>
          <w:p w14:paraId="28FBA296">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pacing w:val="6"/>
                <w:kern w:val="24"/>
                <w:sz w:val="21"/>
                <w:szCs w:val="21"/>
                <w:u w:val="none" w:color="auto"/>
                <w:lang w:val="en-US" w:eastAsia="zh-CN" w:bidi="ar-SA"/>
              </w:rPr>
            </w:pPr>
            <w:r>
              <w:rPr>
                <w:color w:val="auto"/>
                <w:u w:val="none" w:color="auto"/>
              </w:rPr>
              <w:t>本项目位于湖南省汨罗市，不属于重点区域</w:t>
            </w:r>
          </w:p>
        </w:tc>
      </w:tr>
      <w:tr w14:paraId="3725EF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9" w:type="dxa"/>
            <w:noWrap w:val="0"/>
            <w:vAlign w:val="center"/>
          </w:tcPr>
          <w:p w14:paraId="4C4D895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pacing w:val="6"/>
                <w:kern w:val="24"/>
                <w:sz w:val="21"/>
                <w:szCs w:val="21"/>
                <w:u w:val="none" w:color="auto"/>
                <w:lang w:val="en-US" w:eastAsia="zh-CN" w:bidi="ar-SA"/>
              </w:rPr>
            </w:pPr>
            <w:r>
              <w:rPr>
                <w:color w:val="auto"/>
                <w:u w:val="none" w:color="auto"/>
              </w:rPr>
              <w:t>重点行业：石化、化工、工业涂装、包装印刷、油品储运销等行业（以下简称重点行业）是我国VOCs重点排放源。为打赢蓝天保卫战、进一步改善环境空气质量，迫切需要全面加强重点行业VOCs综合治理</w:t>
            </w:r>
          </w:p>
        </w:tc>
        <w:tc>
          <w:tcPr>
            <w:tcW w:w="2435" w:type="dxa"/>
            <w:noWrap w:val="0"/>
            <w:vAlign w:val="center"/>
          </w:tcPr>
          <w:p w14:paraId="2AC33D84">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pacing w:val="6"/>
                <w:kern w:val="24"/>
                <w:sz w:val="21"/>
                <w:szCs w:val="21"/>
                <w:u w:val="none" w:color="auto"/>
                <w:lang w:val="en-US" w:eastAsia="zh-CN" w:bidi="ar-SA"/>
              </w:rPr>
            </w:pPr>
            <w:r>
              <w:rPr>
                <w:color w:val="auto"/>
                <w:u w:val="none" w:color="auto"/>
              </w:rPr>
              <w:t>本项目不属于重点行业</w:t>
            </w:r>
          </w:p>
        </w:tc>
      </w:tr>
      <w:tr w14:paraId="7025C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9" w:type="dxa"/>
            <w:noWrap w:val="0"/>
            <w:vAlign w:val="center"/>
          </w:tcPr>
          <w:p w14:paraId="12C874B3">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14:paraId="7E8137B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加强政策引导。企业采用符合国家有关低VOCs 含量产品规定的涂料、油墨、胶粘剂等。</w:t>
            </w:r>
          </w:p>
        </w:tc>
        <w:tc>
          <w:tcPr>
            <w:tcW w:w="2435" w:type="dxa"/>
            <w:noWrap w:val="0"/>
            <w:vAlign w:val="center"/>
          </w:tcPr>
          <w:p w14:paraId="6A95DB4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rFonts w:hint="default" w:ascii="Times New Roman" w:hAnsi="Times New Roman" w:cs="Times New Roman"/>
                <w:color w:val="auto"/>
                <w:u w:val="none" w:color="auto"/>
                <w:lang w:val="en-US" w:eastAsia="zh-CN"/>
              </w:rPr>
              <w:t>本项目为塑料制品制造，</w:t>
            </w:r>
            <w:r>
              <w:rPr>
                <w:rFonts w:hint="eastAsia" w:cs="Times New Roman"/>
                <w:color w:val="auto"/>
                <w:u w:val="none" w:color="auto"/>
                <w:lang w:val="en-US" w:eastAsia="zh-CN"/>
              </w:rPr>
              <w:t>项目生产过程中需使用胶粘剂，其中大部分为水基型和热熔型</w:t>
            </w:r>
            <w:r>
              <w:rPr>
                <w:color w:val="auto"/>
                <w:u w:val="none" w:color="auto"/>
              </w:rPr>
              <w:t>低VOCs含量的胶粘剂</w:t>
            </w:r>
            <w:r>
              <w:rPr>
                <w:rFonts w:hint="eastAsia" w:cs="Times New Roman"/>
                <w:color w:val="auto"/>
                <w:u w:val="none" w:color="auto"/>
                <w:lang w:val="en-US" w:eastAsia="zh-CN"/>
              </w:rPr>
              <w:t>，为满足生产需求使用少量溶剂型胶粘剂</w:t>
            </w:r>
            <w:r>
              <w:rPr>
                <w:rFonts w:hint="default" w:ascii="Times New Roman" w:hAnsi="Times New Roman" w:cs="Times New Roman"/>
                <w:color w:val="auto"/>
                <w:u w:val="none" w:color="auto"/>
                <w:lang w:val="en-US" w:eastAsia="zh-CN"/>
              </w:rPr>
              <w:t>，符合要求</w:t>
            </w:r>
          </w:p>
        </w:tc>
      </w:tr>
      <w:tr w14:paraId="2D5C6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9" w:type="dxa"/>
            <w:noWrap w:val="0"/>
            <w:vAlign w:val="center"/>
          </w:tcPr>
          <w:p w14:paraId="749C30B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全面加强无组织排放控制。重点对含 VOCs 物料（包括含 VOCs 原辅材料、含 VOCs 产品、含 VOCs 废料以及有机聚合物材料等）储存、转移和输送、设备与管线组件泄漏、敞开液面逸散以及工艺过程等五类排放源实施管控，通过采取设备与场所密闭、工艺改进、废气有效收集等措施，削减 VOCs无组织排放。加强设备与场所密闭管理。含 VOCs 物料应储存于密闭容器、包装袋，高效密封储罐，封闭式储库、料仓等。含 VOCs 物料转移和输送，应采用密闭管道或密闭容器、罐车等。含 VOCs 物料生产和使用过程，应采取有效收集措施或在密闭空间中操作。推进使用先进生产工艺。通过采用全密闭、连续化、自动化等生产技术，以及高效工艺与设备等，减少工艺过程无组织排放。挥发性有机液体装载优先采用底部装载方式。</w:t>
            </w:r>
          </w:p>
          <w:p w14:paraId="4292611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 0.3 米/秒，有行业要求的按相关规定执行。</w:t>
            </w:r>
          </w:p>
        </w:tc>
        <w:tc>
          <w:tcPr>
            <w:tcW w:w="2435" w:type="dxa"/>
            <w:noWrap w:val="0"/>
            <w:vAlign w:val="center"/>
          </w:tcPr>
          <w:p w14:paraId="06DCA99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rFonts w:hint="eastAsia" w:ascii="Times New Roman" w:hAnsi="Times New Roman" w:cs="Times New Roman"/>
                <w:color w:val="auto"/>
                <w:u w:val="none" w:color="auto"/>
                <w:lang w:val="en-US" w:eastAsia="zh-CN"/>
              </w:rPr>
              <w:t>项目覆膜工序施胶处</w:t>
            </w:r>
            <w:r>
              <w:rPr>
                <w:rFonts w:hint="default" w:ascii="Times New Roman" w:hAnsi="Times New Roman" w:cs="Times New Roman"/>
                <w:color w:val="auto"/>
                <w:u w:val="none" w:color="auto"/>
                <w:lang w:val="en-US" w:eastAsia="zh-CN"/>
              </w:rPr>
              <w:t>无法密闭</w:t>
            </w:r>
            <w:r>
              <w:rPr>
                <w:rFonts w:hint="eastAsia" w:ascii="Times New Roman" w:hAnsi="Times New Roman" w:cs="Times New Roman"/>
                <w:color w:val="auto"/>
                <w:u w:val="none" w:color="auto"/>
                <w:lang w:val="en-US" w:eastAsia="zh-CN"/>
              </w:rPr>
              <w:t>，</w:t>
            </w:r>
            <w:r>
              <w:rPr>
                <w:rFonts w:hint="eastAsia"/>
                <w:color w:val="auto"/>
                <w:u w:val="none" w:color="auto"/>
                <w:lang w:val="en-US" w:eastAsia="zh-CN"/>
              </w:rPr>
              <w:t>采取</w:t>
            </w:r>
            <w:r>
              <w:rPr>
                <w:color w:val="auto"/>
                <w:u w:val="none" w:color="auto"/>
              </w:rPr>
              <w:t>集气罩收集有机废气后，通过</w:t>
            </w:r>
            <w:r>
              <w:rPr>
                <w:rFonts w:hint="eastAsia"/>
                <w:color w:val="auto"/>
                <w:u w:val="none" w:color="auto"/>
                <w:lang w:val="en-US" w:eastAsia="zh-CN"/>
              </w:rPr>
              <w:t>两级</w:t>
            </w:r>
            <w:r>
              <w:rPr>
                <w:color w:val="auto"/>
                <w:u w:val="none" w:color="auto"/>
              </w:rPr>
              <w:t>活性炭进行处理，符合要求</w:t>
            </w:r>
          </w:p>
          <w:p w14:paraId="62E34296">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本项目根据相关规范合理设置通风量，采用局部集气罩的，距集气罩开口面最远处的VOCs无组织排放位置，控制风速</w:t>
            </w:r>
            <w:r>
              <w:rPr>
                <w:rFonts w:hint="eastAsia"/>
                <w:color w:val="auto"/>
                <w:u w:val="none" w:color="auto"/>
              </w:rPr>
              <w:t>约</w:t>
            </w:r>
            <w:r>
              <w:rPr>
                <w:color w:val="auto"/>
                <w:u w:val="none" w:color="auto"/>
              </w:rPr>
              <w:t>0.3</w:t>
            </w:r>
            <w:r>
              <w:rPr>
                <w:rFonts w:hint="eastAsia"/>
                <w:color w:val="auto"/>
                <w:u w:val="none" w:color="auto"/>
              </w:rPr>
              <w:t>5</w:t>
            </w:r>
            <w:r>
              <w:rPr>
                <w:color w:val="auto"/>
                <w:u w:val="none" w:color="auto"/>
              </w:rPr>
              <w:t>米/秒，符合要求。</w:t>
            </w:r>
          </w:p>
        </w:tc>
      </w:tr>
      <w:tr w14:paraId="3DFEA9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069" w:type="dxa"/>
            <w:noWrap w:val="0"/>
            <w:vAlign w:val="center"/>
          </w:tcPr>
          <w:p w14:paraId="39EC85AC">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 VOCs 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1815D12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实行重点排放源排放浓度与去除效率双重控制。车间或生产设施收集排放的废气，VOCs初始排放速率大于等于3千克/小时、重点区域大于等于2千克/小时的，应加大控制力度，除确保排放浓度稳定达标外，还应实行去除效率控制，去除效率不低于80%；采用的原辅材料符合国家有关低VOCs含量产品规定的除外，有行业排放标准的按其相关规定执行。</w:t>
            </w:r>
          </w:p>
        </w:tc>
        <w:tc>
          <w:tcPr>
            <w:tcW w:w="2435" w:type="dxa"/>
            <w:noWrap w:val="0"/>
            <w:vAlign w:val="center"/>
          </w:tcPr>
          <w:p w14:paraId="76590E10">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u w:val="none" w:color="auto"/>
              </w:rPr>
            </w:pPr>
            <w:r>
              <w:rPr>
                <w:color w:val="auto"/>
                <w:u w:val="none" w:color="auto"/>
              </w:rPr>
              <w:t>本项目属于低浓度废气，采取</w:t>
            </w:r>
            <w:r>
              <w:rPr>
                <w:rFonts w:hint="eastAsia"/>
                <w:color w:val="auto"/>
                <w:u w:val="none" w:color="auto"/>
                <w:lang w:val="en-US" w:eastAsia="zh-CN"/>
              </w:rPr>
              <w:t>两级</w:t>
            </w:r>
            <w:r>
              <w:rPr>
                <w:color w:val="auto"/>
                <w:u w:val="none" w:color="auto"/>
              </w:rPr>
              <w:t>活性炭吸附进行处理，废活性炭交由有资质的单位处理</w:t>
            </w:r>
            <w:r>
              <w:rPr>
                <w:rFonts w:hint="eastAsia"/>
                <w:color w:val="auto"/>
                <w:u w:val="none" w:color="auto"/>
                <w:lang w:eastAsia="zh-CN"/>
              </w:rPr>
              <w:t>；</w:t>
            </w:r>
            <w:r>
              <w:rPr>
                <w:rFonts w:hint="eastAsia"/>
                <w:color w:val="auto"/>
                <w:u w:val="none" w:color="auto"/>
                <w:lang w:val="en-US" w:eastAsia="zh-CN"/>
              </w:rPr>
              <w:t>项目</w:t>
            </w:r>
            <w:r>
              <w:rPr>
                <w:color w:val="auto"/>
                <w:u w:val="none" w:color="auto"/>
              </w:rPr>
              <w:t>VOCs初始排放速率</w:t>
            </w:r>
            <w:r>
              <w:rPr>
                <w:rFonts w:hint="eastAsia"/>
                <w:color w:val="auto"/>
                <w:u w:val="none" w:color="auto"/>
                <w:lang w:val="en-US" w:eastAsia="zh-CN"/>
              </w:rPr>
              <w:t>为0.413</w:t>
            </w:r>
            <w:r>
              <w:rPr>
                <w:color w:val="auto"/>
                <w:u w:val="none" w:color="auto"/>
              </w:rPr>
              <w:t>千克/小时</w:t>
            </w:r>
            <w:r>
              <w:rPr>
                <w:rFonts w:hint="eastAsia"/>
                <w:color w:val="auto"/>
                <w:u w:val="none" w:color="auto"/>
                <w:lang w:eastAsia="zh-CN"/>
              </w:rPr>
              <w:t>、</w:t>
            </w:r>
            <w:r>
              <w:rPr>
                <w:rFonts w:hint="eastAsia"/>
                <w:color w:val="auto"/>
                <w:u w:val="none" w:color="auto"/>
                <w:lang w:val="en-US" w:eastAsia="zh-CN"/>
              </w:rPr>
              <w:t>0.459</w:t>
            </w:r>
            <w:r>
              <w:rPr>
                <w:color w:val="auto"/>
                <w:u w:val="none" w:color="auto"/>
              </w:rPr>
              <w:t>千克/小时</w:t>
            </w:r>
            <w:r>
              <w:rPr>
                <w:rFonts w:hint="eastAsia"/>
                <w:color w:val="auto"/>
                <w:u w:val="none" w:color="auto"/>
                <w:lang w:eastAsia="zh-CN"/>
              </w:rPr>
              <w:t>，</w:t>
            </w:r>
            <w:r>
              <w:rPr>
                <w:color w:val="auto"/>
                <w:u w:val="none" w:color="auto"/>
              </w:rPr>
              <w:t>本项目位于湖南省汨罗市，不属于重点区域</w:t>
            </w:r>
            <w:r>
              <w:rPr>
                <w:rFonts w:hint="eastAsia"/>
                <w:color w:val="auto"/>
                <w:u w:val="none" w:color="auto"/>
                <w:lang w:eastAsia="zh-CN"/>
              </w:rPr>
              <w:t>，</w:t>
            </w:r>
            <w:r>
              <w:rPr>
                <w:rFonts w:hint="eastAsia"/>
                <w:color w:val="auto"/>
                <w:u w:val="none" w:color="auto"/>
                <w:lang w:val="en-US" w:eastAsia="zh-CN"/>
              </w:rPr>
              <w:t>项目废气经处理可稳定达标排放，无需实行去除效率控制，</w:t>
            </w:r>
            <w:r>
              <w:rPr>
                <w:color w:val="auto"/>
                <w:u w:val="none" w:color="auto"/>
              </w:rPr>
              <w:t>基本符合要求</w:t>
            </w:r>
          </w:p>
        </w:tc>
      </w:tr>
    </w:tbl>
    <w:p w14:paraId="6D983C41">
      <w:pPr>
        <w:pStyle w:val="20"/>
        <w:keepNext w:val="0"/>
        <w:keepLines w:val="0"/>
        <w:pageBreakBefore w:val="0"/>
        <w:widowControl w:val="0"/>
        <w:kinsoku/>
        <w:wordWrap/>
        <w:overflowPunct/>
        <w:topLinePunct w:val="0"/>
        <w:autoSpaceDE/>
        <w:autoSpaceDN/>
        <w:bidi w:val="0"/>
        <w:adjustRightInd/>
        <w:snapToGrid/>
        <w:ind w:firstLine="480"/>
        <w:textAlignment w:val="auto"/>
        <w:rPr>
          <w:color w:val="auto"/>
          <w:u w:val="none" w:color="auto"/>
        </w:rPr>
      </w:pPr>
      <w:r>
        <w:rPr>
          <w:color w:val="auto"/>
          <w:u w:val="none" w:color="auto"/>
        </w:rPr>
        <w:t>通过上表分析，项目基本符合</w:t>
      </w:r>
      <w:r>
        <w:rPr>
          <w:rFonts w:hint="eastAsia"/>
          <w:color w:val="auto"/>
          <w:u w:val="none" w:color="auto"/>
        </w:rPr>
        <w:t>《重点行业挥发性有机物综合治理方案》</w:t>
      </w:r>
      <w:r>
        <w:rPr>
          <w:color w:val="auto"/>
          <w:u w:val="none" w:color="auto"/>
        </w:rPr>
        <w:t>相关要求</w:t>
      </w:r>
      <w:r>
        <w:rPr>
          <w:rFonts w:hint="eastAsia"/>
          <w:color w:val="auto"/>
          <w:u w:val="none" w:color="auto"/>
          <w:lang w:eastAsia="zh-CN"/>
        </w:rPr>
        <w:t>。</w:t>
      </w:r>
    </w:p>
    <w:bookmarkEnd w:id="86"/>
    <w:bookmarkEnd w:id="87"/>
    <w:bookmarkEnd w:id="88"/>
    <w:bookmarkEnd w:id="89"/>
    <w:bookmarkEnd w:id="90"/>
    <w:bookmarkEnd w:id="91"/>
    <w:bookmarkEnd w:id="92"/>
    <w:bookmarkEnd w:id="93"/>
    <w:bookmarkEnd w:id="94"/>
    <w:bookmarkEnd w:id="97"/>
    <w:bookmarkEnd w:id="98"/>
    <w:bookmarkEnd w:id="99"/>
    <w:bookmarkEnd w:id="100"/>
    <w:p w14:paraId="74D735D7">
      <w:pPr>
        <w:pStyle w:val="4"/>
        <w:rPr>
          <w:rFonts w:hint="default" w:ascii="Times New Roman" w:hAnsi="Times New Roman" w:cs="Times New Roman"/>
          <w:color w:val="auto"/>
          <w:u w:val="none" w:color="auto"/>
        </w:rPr>
      </w:pPr>
      <w:bookmarkStart w:id="101" w:name="_Toc20721"/>
      <w:bookmarkStart w:id="102" w:name="_Toc3636"/>
      <w:bookmarkStart w:id="103" w:name="_Toc18825"/>
      <w:bookmarkStart w:id="104" w:name="_Toc15516"/>
      <w:bookmarkStart w:id="105" w:name="_Toc5375"/>
      <w:bookmarkStart w:id="106" w:name="_Toc27181"/>
      <w:bookmarkStart w:id="107" w:name="_Toc140"/>
      <w:bookmarkStart w:id="108" w:name="_Toc15252"/>
      <w:bookmarkStart w:id="109" w:name="_Toc9839"/>
      <w:bookmarkStart w:id="110" w:name="_Toc257"/>
      <w:bookmarkStart w:id="111" w:name="_Toc13838"/>
      <w:bookmarkStart w:id="112" w:name="_Toc23562"/>
      <w:bookmarkStart w:id="113" w:name="_Toc11525"/>
      <w:bookmarkStart w:id="114" w:name="_Toc4005"/>
      <w:bookmarkStart w:id="115" w:name="_Toc10957"/>
      <w:bookmarkStart w:id="116" w:name="_Toc12980"/>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与</w:t>
      </w:r>
      <w:r>
        <w:rPr>
          <w:rFonts w:hint="eastAsia" w:ascii="Times New Roman" w:hAnsi="Times New Roman" w:cs="Times New Roman"/>
          <w:color w:val="auto"/>
          <w:u w:val="none" w:color="auto"/>
          <w:lang w:val="en-US" w:eastAsia="zh-CN"/>
        </w:rPr>
        <w:t>园区</w:t>
      </w:r>
      <w:r>
        <w:rPr>
          <w:rFonts w:hint="default" w:ascii="Times New Roman" w:hAnsi="Times New Roman" w:cs="Times New Roman"/>
          <w:color w:val="auto"/>
          <w:u w:val="none" w:color="auto"/>
        </w:rPr>
        <w:t>规划及规划环境影响评价符合性分析</w:t>
      </w:r>
      <w:bookmarkEnd w:id="101"/>
    </w:p>
    <w:p w14:paraId="1AFB02E3">
      <w:pPr>
        <w:pStyle w:val="20"/>
        <w:bidi w:val="0"/>
        <w:rPr>
          <w:rFonts w:hint="default"/>
          <w:color w:val="auto"/>
          <w:u w:val="none" w:color="auto"/>
        </w:rPr>
      </w:pPr>
      <w:r>
        <w:rPr>
          <w:rFonts w:hint="default"/>
          <w:b/>
          <w:bCs/>
          <w:color w:val="auto"/>
          <w:u w:val="none" w:color="auto"/>
        </w:rPr>
        <w:t>1、本项目与汨罗高新技术产业开发区总体规划符合性</w:t>
      </w:r>
    </w:p>
    <w:p w14:paraId="1976ECF7">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（1）与园区用地规划相符性分析</w:t>
      </w:r>
    </w:p>
    <w:p w14:paraId="493E2F97">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根据《汨罗高新技术产业开发区控制性详细规划》（2022-2035年）方案，湖南汨罗循环经济产业园（新市片）</w:t>
      </w:r>
      <w:r>
        <w:rPr>
          <w:rFonts w:hint="eastAsia" w:ascii="Times New Roman" w:hAnsi="Times New Roman" w:eastAsia="宋体" w:cs="Times New Roman"/>
          <w:color w:val="auto"/>
          <w:sz w:val="24"/>
          <w:szCs w:val="24"/>
          <w:u w:val="none" w:color="auto"/>
          <w:lang w:val="en-US" w:eastAsia="zh-CN"/>
        </w:rPr>
        <w:t>西</w:t>
      </w:r>
      <w:r>
        <w:rPr>
          <w:rFonts w:hint="default" w:ascii="Times New Roman" w:hAnsi="Times New Roman" w:eastAsia="宋体" w:cs="Times New Roman"/>
          <w:color w:val="auto"/>
          <w:sz w:val="24"/>
          <w:szCs w:val="24"/>
          <w:u w:val="none" w:color="auto"/>
        </w:rPr>
        <w:t>片区东至规划莲花路，南至规划车站大道，西至武广高铁，北至汨罗江大道，面积119.94公顷，</w:t>
      </w:r>
      <w:r>
        <w:rPr>
          <w:rFonts w:hint="eastAsia" w:ascii="Times New Roman" w:hAnsi="Times New Roman" w:eastAsia="宋体" w:cs="Times New Roman"/>
          <w:color w:val="auto"/>
          <w:sz w:val="24"/>
          <w:szCs w:val="24"/>
          <w:u w:val="none" w:color="auto"/>
          <w:lang w:val="en-US" w:eastAsia="zh-CN"/>
        </w:rPr>
        <w:t>本</w:t>
      </w:r>
      <w:r>
        <w:rPr>
          <w:rFonts w:hint="default" w:ascii="Times New Roman" w:hAnsi="Times New Roman" w:eastAsia="宋体" w:cs="Times New Roman"/>
          <w:color w:val="auto"/>
          <w:sz w:val="24"/>
          <w:szCs w:val="24"/>
          <w:u w:val="none" w:color="auto"/>
        </w:rPr>
        <w:t>项目所在区域属于汨罗高新技术产业开发区控制性详细规划中新市片区</w:t>
      </w:r>
      <w:r>
        <w:rPr>
          <w:rFonts w:hint="eastAsia" w:ascii="Times New Roman" w:hAnsi="Times New Roman" w:eastAsia="宋体" w:cs="Times New Roman"/>
          <w:color w:val="auto"/>
          <w:sz w:val="24"/>
          <w:szCs w:val="24"/>
          <w:u w:val="none" w:color="auto"/>
          <w:lang w:val="en-US" w:eastAsia="zh-CN"/>
        </w:rPr>
        <w:t>西</w:t>
      </w:r>
      <w:r>
        <w:rPr>
          <w:rFonts w:hint="default" w:ascii="Times New Roman" w:hAnsi="Times New Roman" w:eastAsia="宋体" w:cs="Times New Roman"/>
          <w:color w:val="auto"/>
          <w:sz w:val="24"/>
          <w:szCs w:val="24"/>
          <w:u w:val="none" w:color="auto"/>
        </w:rPr>
        <w:t>片区的规划范围内。根据《汨罗高新技术产业开发区控制性详细规划》（2022-2035年）中的土地利用规划图，项目用地性质为</w:t>
      </w:r>
      <w:r>
        <w:rPr>
          <w:rFonts w:hint="eastAsia" w:ascii="Times New Roman" w:hAnsi="Times New Roman" w:eastAsia="宋体" w:cs="Times New Roman"/>
          <w:color w:val="auto"/>
          <w:sz w:val="24"/>
          <w:szCs w:val="24"/>
          <w:u w:val="none" w:color="auto"/>
          <w:lang w:val="en-US" w:eastAsia="zh-CN"/>
        </w:rPr>
        <w:t>二</w:t>
      </w:r>
      <w:r>
        <w:rPr>
          <w:rFonts w:hint="default" w:ascii="Times New Roman" w:hAnsi="Times New Roman" w:eastAsia="宋体" w:cs="Times New Roman"/>
          <w:color w:val="auto"/>
          <w:sz w:val="24"/>
          <w:szCs w:val="24"/>
          <w:u w:val="none" w:color="auto"/>
        </w:rPr>
        <w:t>类工业用地，选址符合规划。</w:t>
      </w:r>
    </w:p>
    <w:p w14:paraId="02033002">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（2）与园区产业布局规划相符性分析</w:t>
      </w:r>
    </w:p>
    <w:p w14:paraId="4A083B94">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根据《湖南汨罗高新技术产业开发区产业发展规划（2022-2027）》及其批复（汨政函[2023]90号），汨罗高新技术产业开发区将通</w:t>
      </w:r>
      <w:r>
        <w:rPr>
          <w:rFonts w:hint="eastAsia" w:ascii="宋体" w:hAnsi="宋体" w:eastAsia="宋体" w:cs="宋体"/>
          <w:color w:val="auto"/>
          <w:sz w:val="24"/>
          <w:szCs w:val="24"/>
          <w:u w:val="none" w:color="auto"/>
        </w:rPr>
        <w:t>过打造“一园一主一特” 和新兴产业，即新市片（湖南汨罗循环经济产业园）以“废弃资源综合利用产业”为主导产业、“电子信息产业”为特色产业；弼时片（湖南工程机械配套产业园）以“先进装备制造产业”为主导产业、“汽车零部件及配件制造产业”为特色产业，培育“先进储能材料产业”一大新兴产业，积极发展现代服务业，形成“一园一主导一特色”、层次分明、科学合理的产业定位组合，以绿色循环经济</w:t>
      </w:r>
      <w:r>
        <w:rPr>
          <w:rFonts w:hint="default" w:ascii="Times New Roman" w:hAnsi="Times New Roman" w:eastAsia="宋体" w:cs="Times New Roman"/>
          <w:color w:val="auto"/>
          <w:sz w:val="24"/>
          <w:szCs w:val="24"/>
          <w:u w:val="none" w:color="auto"/>
        </w:rPr>
        <w:t>推动该地区的可持续高质量增长。</w:t>
      </w:r>
    </w:p>
    <w:p w14:paraId="3656F5BD">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eastAsia"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rPr>
        <w:t>项目</w:t>
      </w:r>
      <w:r>
        <w:rPr>
          <w:rFonts w:hint="eastAsia" w:ascii="Times New Roman" w:hAnsi="Times New Roman" w:eastAsia="宋体" w:cs="Times New Roman"/>
          <w:color w:val="auto"/>
          <w:sz w:val="24"/>
          <w:szCs w:val="24"/>
          <w:u w:val="none" w:color="auto"/>
          <w:lang w:val="en-US" w:eastAsia="zh-CN"/>
        </w:rPr>
        <w:t>是</w:t>
      </w:r>
      <w:r>
        <w:rPr>
          <w:rFonts w:hint="default" w:ascii="Times New Roman" w:hAnsi="Times New Roman" w:eastAsia="宋体" w:cs="Times New Roman"/>
          <w:color w:val="auto"/>
          <w:sz w:val="24"/>
          <w:szCs w:val="24"/>
          <w:u w:val="none" w:color="auto"/>
        </w:rPr>
        <w:t>以再生塑料为原料的</w:t>
      </w:r>
      <w:r>
        <w:rPr>
          <w:rFonts w:hint="eastAsia" w:ascii="Times New Roman" w:hAnsi="Times New Roman" w:eastAsia="宋体" w:cs="Times New Roman"/>
          <w:color w:val="auto"/>
          <w:sz w:val="24"/>
          <w:szCs w:val="24"/>
          <w:u w:val="none" w:color="auto"/>
          <w:lang w:val="en-US" w:eastAsia="zh-CN"/>
        </w:rPr>
        <w:t>塑料制品</w:t>
      </w:r>
      <w:r>
        <w:rPr>
          <w:rFonts w:hint="default" w:ascii="Times New Roman" w:hAnsi="Times New Roman" w:eastAsia="宋体" w:cs="Times New Roman"/>
          <w:color w:val="auto"/>
          <w:sz w:val="24"/>
          <w:szCs w:val="24"/>
          <w:u w:val="none" w:color="auto"/>
        </w:rPr>
        <w:t>制造</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属于废弃资源综合利用行业的延伸产业，</w:t>
      </w:r>
      <w:r>
        <w:rPr>
          <w:rFonts w:hint="eastAsia" w:ascii="Times New Roman" w:hAnsi="Times New Roman" w:eastAsia="宋体" w:cs="Times New Roman"/>
          <w:color w:val="auto"/>
          <w:sz w:val="24"/>
          <w:szCs w:val="24"/>
          <w:u w:val="none" w:color="auto"/>
          <w:lang w:val="en-US" w:eastAsia="zh-CN"/>
        </w:rPr>
        <w:t>废弃资源综合利用行业</w:t>
      </w:r>
      <w:r>
        <w:rPr>
          <w:rFonts w:hint="default" w:ascii="Times New Roman" w:hAnsi="Times New Roman" w:eastAsia="宋体" w:cs="Times New Roman"/>
          <w:color w:val="auto"/>
          <w:sz w:val="24"/>
          <w:szCs w:val="24"/>
          <w:u w:val="none" w:color="auto"/>
        </w:rPr>
        <w:t>是汨罗高新技术产业开发区新市片区</w:t>
      </w:r>
      <w:r>
        <w:rPr>
          <w:rFonts w:hint="eastAsia" w:ascii="Times New Roman" w:hAnsi="Times New Roman" w:eastAsia="宋体" w:cs="Times New Roman"/>
          <w:color w:val="auto"/>
          <w:sz w:val="24"/>
          <w:szCs w:val="24"/>
          <w:u w:val="none" w:color="auto"/>
          <w:lang w:val="en-US" w:eastAsia="zh-CN"/>
        </w:rPr>
        <w:t>西片区</w:t>
      </w:r>
      <w:r>
        <w:rPr>
          <w:rFonts w:hint="default" w:ascii="Times New Roman" w:hAnsi="Times New Roman" w:eastAsia="宋体" w:cs="Times New Roman"/>
          <w:color w:val="auto"/>
          <w:sz w:val="24"/>
          <w:szCs w:val="24"/>
          <w:u w:val="none" w:color="auto"/>
        </w:rPr>
        <w:t>的主导产业，</w:t>
      </w:r>
      <w:r>
        <w:rPr>
          <w:rFonts w:hint="eastAsia" w:ascii="Times New Roman" w:hAnsi="Times New Roman" w:eastAsia="宋体" w:cs="Times New Roman"/>
          <w:color w:val="auto"/>
          <w:sz w:val="24"/>
          <w:szCs w:val="24"/>
          <w:u w:val="none" w:color="auto"/>
          <w:lang w:val="en-US" w:eastAsia="zh-CN"/>
        </w:rPr>
        <w:t>根据后续分析可知，本项目</w:t>
      </w:r>
      <w:r>
        <w:rPr>
          <w:rFonts w:hint="default" w:ascii="Times New Roman" w:hAnsi="Times New Roman" w:eastAsia="宋体" w:cs="Times New Roman"/>
          <w:color w:val="auto"/>
          <w:sz w:val="24"/>
          <w:szCs w:val="24"/>
          <w:u w:val="none" w:color="auto"/>
        </w:rPr>
        <w:t>虽不属于园区的鼓励类，但也不是限制</w:t>
      </w:r>
      <w:r>
        <w:rPr>
          <w:rFonts w:hint="eastAsia" w:ascii="Times New Roman" w:hAnsi="Times New Roman" w:eastAsia="宋体" w:cs="Times New Roman"/>
          <w:color w:val="auto"/>
          <w:sz w:val="24"/>
          <w:szCs w:val="24"/>
          <w:u w:val="none" w:color="auto"/>
          <w:lang w:val="en-US" w:eastAsia="zh-CN"/>
        </w:rPr>
        <w:t>类</w:t>
      </w:r>
      <w:r>
        <w:rPr>
          <w:rFonts w:hint="default" w:ascii="Times New Roman" w:hAnsi="Times New Roman" w:eastAsia="宋体" w:cs="Times New Roman"/>
          <w:color w:val="auto"/>
          <w:sz w:val="24"/>
          <w:szCs w:val="24"/>
          <w:u w:val="none" w:color="auto"/>
        </w:rPr>
        <w:t>、禁止类，即视为允许类，</w:t>
      </w:r>
      <w:r>
        <w:rPr>
          <w:rFonts w:hint="eastAsia" w:ascii="Times New Roman" w:hAnsi="Times New Roman" w:eastAsia="宋体" w:cs="Times New Roman"/>
          <w:color w:val="auto"/>
          <w:sz w:val="24"/>
          <w:szCs w:val="24"/>
          <w:u w:val="none" w:color="auto"/>
          <w:lang w:val="en-US" w:eastAsia="zh-CN"/>
        </w:rPr>
        <w:t>且</w:t>
      </w:r>
      <w:r>
        <w:rPr>
          <w:rFonts w:hint="default" w:ascii="Times New Roman" w:hAnsi="Times New Roman" w:eastAsia="宋体" w:cs="Times New Roman"/>
          <w:color w:val="auto"/>
          <w:sz w:val="24"/>
          <w:szCs w:val="24"/>
          <w:u w:val="none" w:color="auto"/>
        </w:rPr>
        <w:t>取得了园区的同意</w:t>
      </w:r>
      <w:r>
        <w:rPr>
          <w:rFonts w:hint="eastAsia" w:ascii="Times New Roman" w:hAnsi="Times New Roman" w:eastAsia="宋体" w:cs="Times New Roman"/>
          <w:color w:val="auto"/>
          <w:sz w:val="24"/>
          <w:szCs w:val="24"/>
          <w:u w:val="none" w:color="auto"/>
          <w:lang w:eastAsia="zh-CN"/>
        </w:rPr>
        <w:t>。</w:t>
      </w:r>
    </w:p>
    <w:p w14:paraId="0E385C1D">
      <w:pPr>
        <w:pStyle w:val="27"/>
        <w:bidi w:val="0"/>
        <w:rPr>
          <w:rFonts w:hint="eastAsia"/>
          <w:b/>
          <w:bCs/>
          <w:color w:val="auto"/>
          <w:u w:val="none" w:color="auto"/>
          <w:lang w:val="en-US" w:eastAsia="zh-CN"/>
        </w:rPr>
      </w:pPr>
      <w:r>
        <w:rPr>
          <w:rFonts w:hint="eastAsia"/>
          <w:b/>
          <w:bCs/>
          <w:color w:val="auto"/>
          <w:u w:val="none" w:color="auto"/>
          <w:lang w:val="en-US" w:eastAsia="zh-CN"/>
        </w:rPr>
        <w:t>2、本项目与《汨罗高新技术产业开发区扩区规划环境影响报告书》（2024版）及其审查意见的符合性</w:t>
      </w:r>
    </w:p>
    <w:p w14:paraId="2EE91AE2">
      <w:pPr>
        <w:pStyle w:val="28"/>
        <w:keepNext w:val="0"/>
        <w:keepLines w:val="0"/>
        <w:pageBreakBefore w:val="0"/>
        <w:widowControl w:val="0"/>
        <w:kinsoku/>
        <w:wordWrap/>
        <w:overflowPunct/>
        <w:topLinePunct w:val="0"/>
        <w:autoSpaceDE/>
        <w:autoSpaceDN/>
        <w:bidi w:val="0"/>
        <w:adjustRightInd w:val="0"/>
        <w:snapToGrid/>
        <w:spacing w:before="0" w:line="240" w:lineRule="auto"/>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w:t>
      </w: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3-5</w:t>
      </w:r>
      <w:r>
        <w:rPr>
          <w:rFonts w:hint="default" w:ascii="Times New Roman" w:hAnsi="Times New Roman" w:eastAsia="宋体" w:cs="Times New Roman"/>
          <w:color w:val="auto"/>
          <w:sz w:val="21"/>
          <w:szCs w:val="21"/>
          <w:u w:val="none" w:color="auto"/>
        </w:rPr>
        <w:t xml:space="preserve"> 项目建设与园区规划环评审查意见（湘环评函[2024]41号）的相符性分析</w:t>
      </w:r>
    </w:p>
    <w:tbl>
      <w:tblPr>
        <w:tblStyle w:val="16"/>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44"/>
        <w:gridCol w:w="4724"/>
        <w:gridCol w:w="2527"/>
        <w:gridCol w:w="725"/>
      </w:tblGrid>
      <w:tr w14:paraId="6864F4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12" w:space="0"/>
              <w:left w:val="single" w:color="auto" w:sz="12" w:space="0"/>
              <w:bottom w:val="single" w:color="auto" w:sz="6" w:space="0"/>
              <w:right w:val="single" w:color="auto" w:sz="6" w:space="0"/>
            </w:tcBorders>
            <w:noWrap w:val="0"/>
            <w:vAlign w:val="center"/>
          </w:tcPr>
          <w:p w14:paraId="401B6145">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auto"/>
                <w:sz w:val="21"/>
                <w:szCs w:val="21"/>
                <w:u w:val="none" w:color="auto"/>
              </w:rPr>
            </w:pPr>
            <w:r>
              <w:rPr>
                <w:b/>
                <w:bCs/>
                <w:color w:val="auto"/>
                <w:sz w:val="21"/>
                <w:szCs w:val="21"/>
                <w:u w:val="none" w:color="auto"/>
              </w:rPr>
              <w:t>序号</w:t>
            </w:r>
          </w:p>
        </w:tc>
        <w:tc>
          <w:tcPr>
            <w:tcW w:w="2772" w:type="pct"/>
            <w:tcBorders>
              <w:top w:val="single" w:color="auto" w:sz="12" w:space="0"/>
              <w:left w:val="single" w:color="auto" w:sz="6" w:space="0"/>
              <w:bottom w:val="single" w:color="auto" w:sz="6" w:space="0"/>
              <w:right w:val="single" w:color="auto" w:sz="6" w:space="0"/>
            </w:tcBorders>
            <w:noWrap w:val="0"/>
            <w:vAlign w:val="center"/>
          </w:tcPr>
          <w:p w14:paraId="0CD0811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b/>
                <w:bCs/>
                <w:color w:val="auto"/>
                <w:sz w:val="21"/>
                <w:szCs w:val="21"/>
                <w:u w:val="none" w:color="auto"/>
                <w:lang w:val="en-US" w:eastAsia="zh-CN"/>
              </w:rPr>
            </w:pPr>
            <w:r>
              <w:rPr>
                <w:rFonts w:hint="eastAsia"/>
                <w:b/>
                <w:bCs/>
                <w:color w:val="auto"/>
                <w:sz w:val="21"/>
                <w:szCs w:val="21"/>
                <w:u w:val="none" w:color="auto"/>
                <w:lang w:val="en-US" w:eastAsia="zh-CN"/>
              </w:rPr>
              <w:t>审查意见</w:t>
            </w:r>
          </w:p>
        </w:tc>
        <w:tc>
          <w:tcPr>
            <w:tcW w:w="1482" w:type="pct"/>
            <w:tcBorders>
              <w:top w:val="single" w:color="auto" w:sz="12" w:space="0"/>
              <w:left w:val="single" w:color="auto" w:sz="6" w:space="0"/>
              <w:bottom w:val="single" w:color="auto" w:sz="6" w:space="0"/>
              <w:right w:val="single" w:color="auto" w:sz="6" w:space="0"/>
            </w:tcBorders>
            <w:noWrap w:val="0"/>
            <w:vAlign w:val="center"/>
          </w:tcPr>
          <w:p w14:paraId="5A32C69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auto"/>
                <w:sz w:val="21"/>
                <w:szCs w:val="21"/>
                <w:u w:val="none" w:color="auto"/>
              </w:rPr>
            </w:pPr>
            <w:r>
              <w:rPr>
                <w:b/>
                <w:bCs/>
                <w:color w:val="auto"/>
                <w:sz w:val="21"/>
                <w:szCs w:val="21"/>
                <w:u w:val="none" w:color="auto"/>
              </w:rPr>
              <w:t>项目情况</w:t>
            </w:r>
          </w:p>
        </w:tc>
        <w:tc>
          <w:tcPr>
            <w:tcW w:w="425" w:type="pct"/>
            <w:tcBorders>
              <w:top w:val="single" w:color="auto" w:sz="12" w:space="0"/>
              <w:left w:val="single" w:color="auto" w:sz="6" w:space="0"/>
              <w:bottom w:val="single" w:color="auto" w:sz="6" w:space="0"/>
              <w:right w:val="single" w:color="auto" w:sz="12" w:space="0"/>
            </w:tcBorders>
            <w:noWrap w:val="0"/>
            <w:vAlign w:val="center"/>
          </w:tcPr>
          <w:p w14:paraId="2F30B967">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b/>
                <w:bCs/>
                <w:color w:val="auto"/>
                <w:sz w:val="21"/>
                <w:szCs w:val="21"/>
                <w:u w:val="none" w:color="auto"/>
              </w:rPr>
            </w:pPr>
            <w:r>
              <w:rPr>
                <w:b/>
                <w:bCs/>
                <w:color w:val="auto"/>
                <w:sz w:val="21"/>
                <w:szCs w:val="21"/>
                <w:u w:val="none" w:color="auto"/>
              </w:rPr>
              <w:t>符合性</w:t>
            </w:r>
          </w:p>
        </w:tc>
      </w:tr>
      <w:tr w14:paraId="332803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372860D6">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1</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0CE9E8F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rFonts w:hint="eastAsia"/>
                <w:color w:val="auto"/>
                <w:sz w:val="21"/>
                <w:szCs w:val="21"/>
                <w:u w:val="none" w:color="auto"/>
              </w:rPr>
              <w:t>（一）做好功能布局，严格执行准入要求。园区应从环境相容性的角度优化区域功能布局，将空间管控要求融入园区规划实施全过程，以减小工业开发对城市居住及社会服务功能的影响。新市片西片区（区块一）部分区域现状已与集中居住区交错布局，该区域不再新引入以气型污染为主的、涉及重大风险源的工业项目，紧邻集中居住区的工业用地，后续应优化产业调整，逐步转为按一类工业用地规划布局，其现状已存在的二类工业企业不得新增污染物排放；新市片东片区（区块二）沿G107国道、老街路侧存在连片居住用地，建议毗邻居住用地的区域不作为三类工业用地规划，该区域已存在的工业企业不得新增污染物排放。弼时片区（区块三）中北部保障性住房仅限于园区企业员工倒班宿舍使用；建议该片区东北部和西南部规划的居住用地调整为一类工业用地。产业布局方面应落实《报告书》提出的调整建议，产业引进应落实园区生态分区环境管控要求，执行《报告书》提出的产业定位和产业生态环境准入清单。</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061DBB1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本项目位于新市片区西片区（区块一），项目属于</w:t>
            </w:r>
            <w:r>
              <w:rPr>
                <w:rFonts w:hint="eastAsia"/>
                <w:color w:val="auto"/>
                <w:sz w:val="21"/>
                <w:szCs w:val="21"/>
                <w:u w:val="none" w:color="auto"/>
              </w:rPr>
              <w:t>以气型污染为主的</w:t>
            </w:r>
            <w:r>
              <w:rPr>
                <w:rFonts w:hint="eastAsia"/>
                <w:color w:val="auto"/>
                <w:sz w:val="21"/>
                <w:szCs w:val="21"/>
                <w:u w:val="none" w:color="auto"/>
                <w:lang w:val="en-US" w:eastAsia="zh-CN"/>
              </w:rPr>
              <w:t>迁建项目，位于龙舟南路以东，不属于新市片西片区（区块一）中的区域现状已与集中居住区交错布局区域，不属于紧邻集中居住区的工业用地，项目西侧现有居民为拟拆迁区域，其用地已规划为二类工业用地，且本项目不涉及重大风险源</w:t>
            </w:r>
            <w:r>
              <w:rPr>
                <w:rFonts w:hint="eastAsia"/>
                <w:color w:val="auto"/>
                <w:sz w:val="21"/>
                <w:szCs w:val="21"/>
                <w:u w:val="none" w:color="auto"/>
                <w:lang w:eastAsia="zh-CN"/>
              </w:rPr>
              <w:t>。</w:t>
            </w:r>
            <w:r>
              <w:rPr>
                <w:rFonts w:hint="eastAsia"/>
                <w:color w:val="auto"/>
                <w:sz w:val="21"/>
                <w:szCs w:val="21"/>
                <w:u w:val="none" w:color="auto"/>
                <w:lang w:val="en-US" w:eastAsia="zh-CN"/>
              </w:rPr>
              <w:t>项目是以再生塑料为原料的塑料制品制造，属于废弃资源综合利用行业的延伸产业</w:t>
            </w:r>
            <w:r>
              <w:rPr>
                <w:rFonts w:hint="eastAsia" w:ascii="Times New Roman" w:hAnsi="Times New Roman" w:eastAsia="宋体" w:cs="Times New Roman"/>
                <w:color w:val="auto"/>
                <w:sz w:val="21"/>
                <w:szCs w:val="21"/>
                <w:u w:val="none" w:color="auto"/>
                <w:lang w:val="en-US" w:eastAsia="zh-CN"/>
              </w:rPr>
              <w:t>，用地类型属于二类工业用地。本项目虽不属于园区的鼓励类，但也不是限制类、禁止类，即视为允许类，符合</w:t>
            </w:r>
            <w:r>
              <w:rPr>
                <w:rFonts w:hint="eastAsia"/>
                <w:color w:val="auto"/>
                <w:sz w:val="21"/>
                <w:szCs w:val="21"/>
                <w:u w:val="none" w:color="auto"/>
              </w:rPr>
              <w:t>园区生态分区环境管控要求</w:t>
            </w:r>
            <w:r>
              <w:rPr>
                <w:rFonts w:hint="eastAsia"/>
                <w:color w:val="auto"/>
                <w:sz w:val="21"/>
                <w:szCs w:val="21"/>
                <w:u w:val="none" w:color="auto"/>
                <w:lang w:eastAsia="zh-CN"/>
              </w:rPr>
              <w:t>，</w:t>
            </w:r>
            <w:r>
              <w:rPr>
                <w:rFonts w:hint="eastAsia"/>
                <w:color w:val="auto"/>
                <w:sz w:val="21"/>
                <w:szCs w:val="21"/>
                <w:u w:val="none" w:color="auto"/>
                <w:lang w:val="en-US" w:eastAsia="zh-CN"/>
              </w:rPr>
              <w:t>不违背</w:t>
            </w:r>
            <w:r>
              <w:rPr>
                <w:rFonts w:hint="eastAsia"/>
                <w:color w:val="auto"/>
                <w:sz w:val="21"/>
                <w:szCs w:val="21"/>
                <w:u w:val="none" w:color="auto"/>
              </w:rPr>
              <w:t>《报告书》提出的产业定位和产业生态环境准入清单</w:t>
            </w:r>
            <w:r>
              <w:rPr>
                <w:rFonts w:hint="eastAsia"/>
                <w:color w:val="auto"/>
                <w:sz w:val="21"/>
                <w:szCs w:val="21"/>
                <w:u w:val="none" w:color="auto"/>
                <w:lang w:val="en-US" w:eastAsia="zh-CN"/>
              </w:rPr>
              <w:t>。</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2705CFF5">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674150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74484CF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2</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085E523C">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rFonts w:hint="eastAsia"/>
                <w:color w:val="auto"/>
                <w:sz w:val="21"/>
                <w:szCs w:val="21"/>
                <w:u w:val="none" w:color="auto"/>
              </w:rPr>
              <w:t>（二）落实管控措施，加强园区污染治理。园区应切实抓好污水处理设施及配套管网的建设和运维，做好雨污分流、污污分流，确保园区各片区生产生活废水应收尽收。做好新市片循环园污水处理厂、重金属污水处理厂、弼时片区污水处理设施及管网的建设与完善，确保污水处理设施及管网与项目建设同步规划、同步建设、同步投入运营；落实关于水污染防治、排水方案优化、环保基础设施建设运行等方面的规定要求。园区应落实国、省关于重点行业建设项目主要污染物排放区域削减的相关要求，着重从本园区现有企业深度治理、提质改造方面深挖减排潜力，重点控制相关特征污染物的无组织排放，加大VOCs及恶臭/异味治理排放的整治力度，对重点排放企业予以严格监管，确保其处理设施稳妥、持续有效运行，严格落实大气污染防治特护期及重污染天气应急响应的相关减排要求。做好工业固体废物和生活垃圾的分类收集、转运、综合利用和无害化处理，建立完善的固废管理体系。对危险废物应严格按照国家有关规定综合利用或妥善处置，对危险废物产生企业和经营单位，应强化日常环境监管。园区须严格落实排污许可制度和污染物排放总量控制，推动入园企业按规定要求开展清洁生产审核，减少污染物的排放量。园区应落实第三方环境治理工作相关政策要求，强化对园区重点产排污企业的监管与服务。</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18D7196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auto"/>
                <w:sz w:val="21"/>
                <w:szCs w:val="21"/>
                <w:u w:val="none" w:color="auto"/>
                <w:lang w:val="en-US" w:eastAsia="zh-CN"/>
              </w:rPr>
            </w:pPr>
            <w:r>
              <w:rPr>
                <w:rFonts w:hint="eastAsia"/>
                <w:color w:val="auto"/>
                <w:sz w:val="21"/>
                <w:szCs w:val="21"/>
                <w:u w:val="none" w:color="auto"/>
                <w:lang w:val="en-US" w:eastAsia="zh-CN"/>
              </w:rPr>
              <w:t>项目排水实行</w:t>
            </w:r>
            <w:r>
              <w:rPr>
                <w:rFonts w:hint="eastAsia"/>
                <w:color w:val="auto"/>
                <w:sz w:val="21"/>
                <w:szCs w:val="21"/>
                <w:u w:val="none" w:color="auto"/>
              </w:rPr>
              <w:t>雨污分流、污污分流，</w:t>
            </w:r>
            <w:r>
              <w:rPr>
                <w:rFonts w:hint="eastAsia"/>
                <w:color w:val="auto"/>
                <w:sz w:val="21"/>
                <w:szCs w:val="21"/>
                <w:u w:val="none" w:color="auto"/>
                <w:lang w:val="en-US" w:eastAsia="zh-CN"/>
              </w:rPr>
              <w:t>项目废水不涉及重金属，项目冷却水经处理后循环使用，不外排，</w:t>
            </w:r>
            <w:r>
              <w:rPr>
                <w:rFonts w:hint="eastAsia"/>
                <w:color w:val="auto"/>
                <w:u w:val="none" w:color="auto"/>
                <w:lang w:val="en-US" w:eastAsia="zh-CN"/>
              </w:rPr>
              <w:t>生活污水经化粪池处理后排入湖南汨罗高新技术产业开发区（循环园区）污水处理厂</w:t>
            </w:r>
            <w:r>
              <w:rPr>
                <w:rFonts w:hint="eastAsia"/>
                <w:color w:val="auto"/>
                <w:sz w:val="21"/>
                <w:szCs w:val="21"/>
                <w:u w:val="none" w:color="auto"/>
                <w:lang w:val="en-US" w:eastAsia="zh-CN"/>
              </w:rPr>
              <w:t>，污水管网已达项目所在地。项目是以再生塑料为原料的塑料制品制造，属于废弃资源综合利用行业的延伸产业</w:t>
            </w:r>
            <w:r>
              <w:rPr>
                <w:rFonts w:hint="eastAsia"/>
                <w:color w:val="auto"/>
                <w:sz w:val="21"/>
                <w:szCs w:val="21"/>
                <w:u w:val="none" w:color="auto"/>
                <w:lang w:eastAsia="zh-CN"/>
              </w:rPr>
              <w:t>，</w:t>
            </w:r>
            <w:r>
              <w:rPr>
                <w:rFonts w:hint="eastAsia"/>
                <w:color w:val="auto"/>
                <w:sz w:val="21"/>
                <w:szCs w:val="21"/>
                <w:u w:val="none" w:color="auto"/>
                <w:lang w:val="en-US" w:eastAsia="zh-CN"/>
              </w:rPr>
              <w:t>废气能够实现达标排放。项目</w:t>
            </w:r>
            <w:r>
              <w:rPr>
                <w:rFonts w:hint="eastAsia"/>
                <w:color w:val="auto"/>
                <w:sz w:val="21"/>
                <w:szCs w:val="21"/>
                <w:u w:val="none" w:color="auto"/>
              </w:rPr>
              <w:t>工业固体废物和生活垃圾分类收集、转运、综合利用和无害化处理</w:t>
            </w:r>
            <w:r>
              <w:rPr>
                <w:rFonts w:hint="eastAsia"/>
                <w:color w:val="auto"/>
                <w:sz w:val="21"/>
                <w:szCs w:val="21"/>
                <w:u w:val="none" w:color="auto"/>
                <w:lang w:eastAsia="zh-CN"/>
              </w:rPr>
              <w:t>，</w:t>
            </w:r>
            <w:r>
              <w:rPr>
                <w:rFonts w:hint="eastAsia"/>
                <w:color w:val="auto"/>
                <w:sz w:val="21"/>
                <w:szCs w:val="21"/>
                <w:u w:val="none" w:color="auto"/>
                <w:lang w:val="en-US" w:eastAsia="zh-CN"/>
              </w:rPr>
              <w:t>危险废物委托有资质的单位处置。项目</w:t>
            </w:r>
            <w:r>
              <w:rPr>
                <w:rFonts w:hint="eastAsia"/>
                <w:color w:val="auto"/>
                <w:sz w:val="21"/>
                <w:szCs w:val="21"/>
                <w:u w:val="none" w:color="auto"/>
              </w:rPr>
              <w:t>严格落实排污许可制度和污染物排放总量控制</w:t>
            </w:r>
            <w:r>
              <w:rPr>
                <w:rFonts w:hint="eastAsia"/>
                <w:color w:val="auto"/>
                <w:sz w:val="21"/>
                <w:szCs w:val="21"/>
                <w:u w:val="none" w:color="auto"/>
                <w:lang w:eastAsia="zh-CN"/>
              </w:rPr>
              <w:t>，</w:t>
            </w:r>
            <w:r>
              <w:rPr>
                <w:rFonts w:hint="eastAsia"/>
                <w:color w:val="auto"/>
                <w:sz w:val="21"/>
                <w:szCs w:val="21"/>
                <w:u w:val="none" w:color="auto"/>
                <w:lang w:val="en-US" w:eastAsia="zh-CN"/>
              </w:rPr>
              <w:t>在运行前申请排污许可证，严格控制污染物排放总量，积极配合园区及生态环境主管部门的监管。</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277A7177">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7C93F0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53F3E80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3</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0920657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rFonts w:hint="eastAsia"/>
                <w:color w:val="auto"/>
                <w:sz w:val="21"/>
                <w:szCs w:val="21"/>
                <w:u w:val="none" w:color="auto"/>
                <w:lang w:eastAsia="zh-CN"/>
              </w:rPr>
              <w:t>（</w:t>
            </w:r>
            <w:r>
              <w:rPr>
                <w:rFonts w:hint="eastAsia"/>
                <w:color w:val="auto"/>
                <w:sz w:val="21"/>
                <w:szCs w:val="21"/>
                <w:u w:val="none" w:color="auto"/>
              </w:rPr>
              <w:t>三）完善监测体系，监控环境质量变化状况。结合园区规划的功能分区、产业布局、重点企业分布、特征污染物的排放种类和状况、环境敏感目标分布等，建立健全各环境要素的监控体系。园区应加强对涉重金属排放企业、园区污水处理厂的监督性监测，并覆盖相关特征排放因子，严防企业废水废气偷排漏排或污染治理措施不正常运行。督促土壤污染重点监管单位按规定进行土壤污染状况监测及地下水监测。</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239F0F00">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项目是以再生塑料为原料的塑料制品制造，属于废弃资源综合利用行业的延伸产业</w:t>
            </w:r>
            <w:r>
              <w:rPr>
                <w:rFonts w:hint="eastAsia" w:ascii="Times New Roman" w:hAnsi="Times New Roman" w:eastAsia="宋体" w:cs="Times New Roman"/>
                <w:color w:val="auto"/>
                <w:sz w:val="21"/>
                <w:szCs w:val="21"/>
                <w:u w:val="none" w:color="auto"/>
                <w:lang w:val="en-US" w:eastAsia="zh-CN"/>
              </w:rPr>
              <w:t>，不涉及重金属污染物。项目确保各项污染治理措施正常运行，确保污染物达标排放，并按照相关要求落实相关监测要求，项目不属于</w:t>
            </w:r>
            <w:r>
              <w:rPr>
                <w:rFonts w:hint="eastAsia"/>
                <w:color w:val="auto"/>
                <w:sz w:val="21"/>
                <w:szCs w:val="21"/>
                <w:u w:val="none" w:color="auto"/>
              </w:rPr>
              <w:t>土壤污染重点监管单位</w:t>
            </w:r>
            <w:r>
              <w:rPr>
                <w:rFonts w:hint="eastAsia"/>
                <w:color w:val="auto"/>
                <w:sz w:val="21"/>
                <w:szCs w:val="21"/>
                <w:u w:val="none" w:color="auto"/>
                <w:lang w:eastAsia="zh-CN"/>
              </w:rPr>
              <w:t>。</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57FC574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5A1832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43B94DF8">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4</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4EE2C93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rFonts w:hint="eastAsia"/>
                <w:color w:val="auto"/>
                <w:sz w:val="21"/>
                <w:szCs w:val="21"/>
                <w:u w:val="none" w:color="auto"/>
              </w:rPr>
              <w:t>（四）强化风险管控，严防园区环境事故。建立健全园区环境风险管理工作长效机制，加强园区环境风险防控、预警和应急体系建设，全面提升园区环境风险防控和环境事故应急处置能力，确保区域环境安全。完善涉重金属废水排放企业事故应急池、围堰等环境风险防范设施，完善环境风险应急体系管控要求。加强对园区污水管网的日常监管、巡管，杜绝污水管网的泄漏。重点做好涉重、涉危险化学品企业的环境风险防控。</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344F2F13">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eastAsia="zh-CN"/>
              </w:rPr>
            </w:pPr>
            <w:r>
              <w:rPr>
                <w:rFonts w:hint="eastAsia"/>
                <w:color w:val="auto"/>
                <w:sz w:val="21"/>
                <w:szCs w:val="21"/>
                <w:u w:val="none" w:color="auto"/>
                <w:lang w:val="en-US" w:eastAsia="zh-CN"/>
              </w:rPr>
              <w:t>项目不涉及重金属废水产生或排放，建设单位</w:t>
            </w:r>
            <w:r>
              <w:rPr>
                <w:rFonts w:hint="eastAsia"/>
                <w:color w:val="auto"/>
                <w:sz w:val="21"/>
                <w:szCs w:val="21"/>
                <w:u w:val="none" w:color="auto"/>
              </w:rPr>
              <w:t>在项目建设过程中应加强风险防范措施的落实，储备相应的应急物资，</w:t>
            </w:r>
            <w:r>
              <w:rPr>
                <w:rFonts w:hint="eastAsia"/>
                <w:color w:val="auto"/>
                <w:sz w:val="21"/>
                <w:szCs w:val="21"/>
                <w:u w:val="none" w:color="auto"/>
                <w:lang w:val="en-US" w:eastAsia="zh-CN"/>
              </w:rPr>
              <w:t>项目</w:t>
            </w:r>
            <w:r>
              <w:rPr>
                <w:rFonts w:hint="eastAsia"/>
                <w:color w:val="auto"/>
                <w:sz w:val="21"/>
                <w:szCs w:val="21"/>
                <w:u w:val="none" w:color="auto"/>
              </w:rPr>
              <w:t>投产前编制环境风险事故应急预案，并与园区环境风险事故应急预案有效衔接</w:t>
            </w:r>
            <w:r>
              <w:rPr>
                <w:rFonts w:hint="eastAsia"/>
                <w:color w:val="auto"/>
                <w:sz w:val="21"/>
                <w:szCs w:val="21"/>
                <w:u w:val="none" w:color="auto"/>
                <w:lang w:eastAsia="zh-CN"/>
              </w:rPr>
              <w:t>。</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0065CAAA">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673FCA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6" w:space="0"/>
              <w:right w:val="single" w:color="auto" w:sz="6" w:space="0"/>
            </w:tcBorders>
            <w:noWrap w:val="0"/>
            <w:vAlign w:val="center"/>
          </w:tcPr>
          <w:p w14:paraId="6823C55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5</w:t>
            </w:r>
          </w:p>
        </w:tc>
        <w:tc>
          <w:tcPr>
            <w:tcW w:w="2772" w:type="pct"/>
            <w:tcBorders>
              <w:top w:val="single" w:color="auto" w:sz="6" w:space="0"/>
              <w:left w:val="single" w:color="auto" w:sz="6" w:space="0"/>
              <w:bottom w:val="single" w:color="auto" w:sz="6" w:space="0"/>
              <w:right w:val="single" w:color="auto" w:sz="6" w:space="0"/>
            </w:tcBorders>
            <w:noWrap w:val="0"/>
            <w:vAlign w:val="center"/>
          </w:tcPr>
          <w:p w14:paraId="4440EB0A">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u w:val="none" w:color="auto"/>
              </w:rPr>
            </w:pPr>
            <w:r>
              <w:rPr>
                <w:rFonts w:hint="eastAsia"/>
                <w:color w:val="auto"/>
                <w:sz w:val="21"/>
                <w:szCs w:val="21"/>
                <w:u w:val="none" w:color="auto"/>
              </w:rPr>
              <w:t>（五）做好周边控规，落实搬迁安置计划。园区管委会与地方政府应共同做好控规，杜绝在规划的工业用地上新增环境敏感目标，确保园区开发过程中的居民搬迁到位，园区不再新设拆迁安置区，搬迁以货币安置为主。对于具体项目环评设置防护距离和提出搬迁要求的，要确保予以落实，未落实的，园区应确保相关新建项目不得投产。</w:t>
            </w:r>
          </w:p>
        </w:tc>
        <w:tc>
          <w:tcPr>
            <w:tcW w:w="1482" w:type="pct"/>
            <w:tcBorders>
              <w:top w:val="single" w:color="auto" w:sz="6" w:space="0"/>
              <w:left w:val="single" w:color="auto" w:sz="6" w:space="0"/>
              <w:bottom w:val="single" w:color="auto" w:sz="6" w:space="0"/>
              <w:right w:val="single" w:color="auto" w:sz="6" w:space="0"/>
            </w:tcBorders>
            <w:noWrap w:val="0"/>
            <w:vAlign w:val="center"/>
          </w:tcPr>
          <w:p w14:paraId="0E5F79BA">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sz w:val="21"/>
                <w:szCs w:val="21"/>
                <w:u w:val="none" w:color="auto"/>
                <w:lang w:val="en-US" w:eastAsia="zh-CN"/>
              </w:rPr>
            </w:pPr>
            <w:r>
              <w:rPr>
                <w:rFonts w:hint="eastAsia"/>
                <w:color w:val="auto"/>
                <w:sz w:val="21"/>
                <w:szCs w:val="21"/>
                <w:u w:val="none" w:color="auto"/>
                <w:lang w:val="en-US" w:eastAsia="zh-CN"/>
              </w:rPr>
              <w:t>项目为搬迁扩建项目，项目西侧现有居民为拟拆迁区域，其用地已规划为二类工业用地，项目西侧居民的搬迁将在项目投入运行前完成。本</w:t>
            </w:r>
            <w:r>
              <w:rPr>
                <w:rFonts w:hint="eastAsia"/>
                <w:color w:val="auto"/>
                <w:sz w:val="21"/>
                <w:szCs w:val="21"/>
                <w:u w:val="none" w:color="auto"/>
              </w:rPr>
              <w:t>项目环评</w:t>
            </w:r>
            <w:r>
              <w:rPr>
                <w:rFonts w:hint="eastAsia"/>
                <w:color w:val="auto"/>
                <w:sz w:val="21"/>
                <w:szCs w:val="21"/>
                <w:u w:val="none" w:color="auto"/>
                <w:lang w:val="en-US" w:eastAsia="zh-CN"/>
              </w:rPr>
              <w:t>无需</w:t>
            </w:r>
            <w:r>
              <w:rPr>
                <w:rFonts w:hint="eastAsia"/>
                <w:color w:val="auto"/>
                <w:sz w:val="21"/>
                <w:szCs w:val="21"/>
                <w:u w:val="none" w:color="auto"/>
              </w:rPr>
              <w:t>设置防护距离</w:t>
            </w:r>
            <w:r>
              <w:rPr>
                <w:rFonts w:hint="eastAsia"/>
                <w:color w:val="auto"/>
                <w:sz w:val="21"/>
                <w:szCs w:val="21"/>
                <w:u w:val="none" w:color="auto"/>
                <w:lang w:eastAsia="zh-CN"/>
              </w:rPr>
              <w:t>。</w:t>
            </w:r>
          </w:p>
        </w:tc>
        <w:tc>
          <w:tcPr>
            <w:tcW w:w="425" w:type="pct"/>
            <w:tcBorders>
              <w:top w:val="single" w:color="auto" w:sz="6" w:space="0"/>
              <w:left w:val="single" w:color="auto" w:sz="6" w:space="0"/>
              <w:bottom w:val="single" w:color="auto" w:sz="6" w:space="0"/>
              <w:right w:val="single" w:color="auto" w:sz="12" w:space="0"/>
            </w:tcBorders>
            <w:noWrap w:val="0"/>
            <w:vAlign w:val="center"/>
          </w:tcPr>
          <w:p w14:paraId="6CB223A6">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r w14:paraId="09B0E0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19" w:type="pct"/>
            <w:tcBorders>
              <w:top w:val="single" w:color="auto" w:sz="6" w:space="0"/>
              <w:left w:val="single" w:color="auto" w:sz="12" w:space="0"/>
              <w:bottom w:val="single" w:color="auto" w:sz="12" w:space="0"/>
              <w:right w:val="single" w:color="auto" w:sz="6" w:space="0"/>
            </w:tcBorders>
            <w:noWrap w:val="0"/>
            <w:vAlign w:val="center"/>
          </w:tcPr>
          <w:p w14:paraId="6E638EB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6</w:t>
            </w:r>
          </w:p>
        </w:tc>
        <w:tc>
          <w:tcPr>
            <w:tcW w:w="2772" w:type="pct"/>
            <w:tcBorders>
              <w:top w:val="single" w:color="auto" w:sz="6" w:space="0"/>
              <w:left w:val="single" w:color="auto" w:sz="6" w:space="0"/>
              <w:bottom w:val="single" w:color="auto" w:sz="12" w:space="0"/>
              <w:right w:val="single" w:color="auto" w:sz="6" w:space="0"/>
            </w:tcBorders>
            <w:noWrap w:val="0"/>
            <w:vAlign w:val="center"/>
          </w:tcPr>
          <w:p w14:paraId="1BF13B25">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sz w:val="21"/>
                <w:szCs w:val="21"/>
                <w:u w:val="none" w:color="auto"/>
              </w:rPr>
            </w:pPr>
            <w:r>
              <w:rPr>
                <w:rFonts w:hint="eastAsia"/>
                <w:color w:val="auto"/>
                <w:sz w:val="21"/>
                <w:szCs w:val="21"/>
                <w:u w:val="none" w:color="auto"/>
              </w:rPr>
              <w:t>（六）做好园区建设期生态保护。尽可能保留自然水体，施工期对土石方开挖、堆存及回填要实施围挡、护坡等措施，裸露地及时恢复植被，杜绝施工建设对地表水体的污染。</w:t>
            </w:r>
          </w:p>
        </w:tc>
        <w:tc>
          <w:tcPr>
            <w:tcW w:w="1482" w:type="pct"/>
            <w:tcBorders>
              <w:top w:val="single" w:color="auto" w:sz="6" w:space="0"/>
              <w:left w:val="single" w:color="auto" w:sz="6" w:space="0"/>
              <w:bottom w:val="single" w:color="auto" w:sz="12" w:space="0"/>
              <w:right w:val="single" w:color="auto" w:sz="6" w:space="0"/>
            </w:tcBorders>
            <w:noWrap w:val="0"/>
            <w:vAlign w:val="center"/>
          </w:tcPr>
          <w:p w14:paraId="71DD783A">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color w:val="auto"/>
                <w:sz w:val="21"/>
                <w:szCs w:val="21"/>
                <w:u w:val="none" w:color="auto"/>
                <w:lang w:val="en-US" w:eastAsia="zh-CN"/>
              </w:rPr>
            </w:pPr>
            <w:r>
              <w:rPr>
                <w:rFonts w:hint="eastAsia"/>
                <w:color w:val="auto"/>
                <w:sz w:val="21"/>
                <w:szCs w:val="21"/>
                <w:u w:val="none" w:color="auto"/>
                <w:lang w:val="en-US" w:eastAsia="zh-CN"/>
              </w:rPr>
              <w:t>项目新购置地块无自然水体，本评价要求</w:t>
            </w:r>
            <w:r>
              <w:rPr>
                <w:rFonts w:hint="eastAsia"/>
                <w:color w:val="auto"/>
                <w:sz w:val="21"/>
                <w:szCs w:val="21"/>
                <w:u w:val="none" w:color="auto"/>
              </w:rPr>
              <w:t>施工期对土石方开挖、堆存及回填要实施围挡、护坡等措施，裸露地及时恢复植被</w:t>
            </w:r>
            <w:r>
              <w:rPr>
                <w:rFonts w:hint="eastAsia"/>
                <w:color w:val="auto"/>
                <w:sz w:val="21"/>
                <w:szCs w:val="21"/>
                <w:u w:val="none" w:color="auto"/>
                <w:lang w:val="en-US" w:eastAsia="zh-CN"/>
              </w:rPr>
              <w:t>。</w:t>
            </w:r>
          </w:p>
        </w:tc>
        <w:tc>
          <w:tcPr>
            <w:tcW w:w="425" w:type="pct"/>
            <w:tcBorders>
              <w:top w:val="single" w:color="auto" w:sz="6" w:space="0"/>
              <w:left w:val="single" w:color="auto" w:sz="6" w:space="0"/>
              <w:bottom w:val="single" w:color="auto" w:sz="12" w:space="0"/>
              <w:right w:val="single" w:color="auto" w:sz="12" w:space="0"/>
            </w:tcBorders>
            <w:noWrap w:val="0"/>
            <w:vAlign w:val="center"/>
          </w:tcPr>
          <w:p w14:paraId="5A76A48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 w:val="21"/>
                <w:szCs w:val="21"/>
                <w:u w:val="none" w:color="auto"/>
              </w:rPr>
            </w:pPr>
            <w:r>
              <w:rPr>
                <w:color w:val="auto"/>
                <w:sz w:val="21"/>
                <w:szCs w:val="21"/>
                <w:u w:val="none" w:color="auto"/>
              </w:rPr>
              <w:t>相符</w:t>
            </w:r>
          </w:p>
        </w:tc>
      </w:tr>
    </w:tbl>
    <w:p w14:paraId="08E9C6FE">
      <w:pPr>
        <w:pStyle w:val="20"/>
        <w:bidi w:val="0"/>
        <w:rPr>
          <w:rFonts w:hint="default"/>
          <w:color w:val="auto"/>
          <w:u w:val="none" w:color="auto"/>
          <w:lang w:val="en-US" w:eastAsia="zh-CN"/>
        </w:rPr>
      </w:pPr>
      <w:r>
        <w:rPr>
          <w:rFonts w:hint="default"/>
          <w:color w:val="auto"/>
          <w:u w:val="none" w:color="auto"/>
          <w:lang w:val="en-US" w:eastAsia="zh-CN"/>
        </w:rPr>
        <w:t>根据《汨罗高新技术产业开发区扩区规划环境影响报告书》中的“9.3 产业园环境准入”相关内容，本项目位于汨罗高新技术产业开发区新市片区东片区</w:t>
      </w:r>
      <w:r>
        <w:rPr>
          <w:rFonts w:hint="eastAsia" w:ascii="Times New Roman" w:hAnsi="Times New Roman" w:cs="Times New Roman"/>
          <w:color w:val="auto"/>
          <w:u w:val="none" w:color="auto"/>
          <w:lang w:val="en-US" w:eastAsia="zh-CN"/>
        </w:rPr>
        <w:t>同力路西侧</w:t>
      </w:r>
      <w:r>
        <w:rPr>
          <w:rFonts w:hint="default"/>
          <w:color w:val="auto"/>
          <w:u w:val="none" w:color="auto"/>
          <w:lang w:val="en-US" w:eastAsia="zh-CN"/>
        </w:rPr>
        <w:t>，项目与园区环境准入行业清单和环境准入工艺和产品负面清单符合性分析如下。</w:t>
      </w:r>
    </w:p>
    <w:p w14:paraId="613AA193">
      <w:pPr>
        <w:pStyle w:val="30"/>
        <w:bidi w:val="0"/>
        <w:rPr>
          <w:rFonts w:hint="default"/>
          <w:color w:val="auto"/>
          <w:u w:val="none" w:color="auto"/>
        </w:rPr>
      </w:pPr>
      <w:r>
        <w:rPr>
          <w:rFonts w:hint="default"/>
          <w:color w:val="auto"/>
          <w:u w:val="none" w:color="auto"/>
        </w:rPr>
        <w:t>表</w:t>
      </w:r>
      <w:r>
        <w:rPr>
          <w:rFonts w:hint="default"/>
          <w:color w:val="auto"/>
          <w:u w:val="none" w:color="auto"/>
          <w:lang w:val="en-US" w:eastAsia="zh-CN"/>
        </w:rPr>
        <w:t>1.</w:t>
      </w:r>
      <w:r>
        <w:rPr>
          <w:rFonts w:hint="eastAsia"/>
          <w:color w:val="auto"/>
          <w:u w:val="none" w:color="auto"/>
          <w:lang w:val="en-US" w:eastAsia="zh-CN"/>
        </w:rPr>
        <w:t>3</w:t>
      </w:r>
      <w:r>
        <w:rPr>
          <w:rFonts w:hint="default"/>
          <w:color w:val="auto"/>
          <w:u w:val="none" w:color="auto"/>
          <w:lang w:val="en-US" w:eastAsia="zh-CN"/>
        </w:rPr>
        <w:t>-</w:t>
      </w:r>
      <w:r>
        <w:rPr>
          <w:rFonts w:hint="eastAsia"/>
          <w:color w:val="auto"/>
          <w:u w:val="none" w:color="auto"/>
          <w:lang w:val="en-US" w:eastAsia="zh-CN"/>
        </w:rPr>
        <w:t>6</w:t>
      </w:r>
      <w:r>
        <w:rPr>
          <w:rFonts w:hint="default"/>
          <w:color w:val="auto"/>
          <w:u w:val="none" w:color="auto"/>
          <w:lang w:val="en-US" w:eastAsia="zh-CN"/>
        </w:rPr>
        <w:t xml:space="preserve"> </w:t>
      </w:r>
      <w:r>
        <w:rPr>
          <w:rFonts w:hint="default"/>
          <w:color w:val="auto"/>
          <w:u w:val="none" w:color="auto"/>
        </w:rPr>
        <w:t>环境准入行业清单</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10"/>
        <w:gridCol w:w="525"/>
        <w:gridCol w:w="435"/>
        <w:gridCol w:w="4875"/>
        <w:gridCol w:w="135"/>
        <w:gridCol w:w="2024"/>
      </w:tblGrid>
      <w:tr w14:paraId="4070019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10" w:type="dxa"/>
            <w:tcBorders>
              <w:tl2br w:val="nil"/>
              <w:tr2bl w:val="nil"/>
            </w:tcBorders>
            <w:noWrap w:val="0"/>
            <w:vAlign w:val="center"/>
          </w:tcPr>
          <w:p w14:paraId="4CC1037E">
            <w:pPr>
              <w:pStyle w:val="31"/>
              <w:bidi w:val="0"/>
              <w:rPr>
                <w:rFonts w:hint="default"/>
                <w:b/>
                <w:bCs/>
                <w:color w:val="auto"/>
                <w:u w:val="none" w:color="auto"/>
              </w:rPr>
            </w:pPr>
            <w:r>
              <w:rPr>
                <w:rFonts w:hint="default"/>
                <w:b/>
                <w:bCs/>
                <w:color w:val="auto"/>
                <w:u w:val="none" w:color="auto"/>
              </w:rPr>
              <w:t>片区</w:t>
            </w:r>
          </w:p>
        </w:tc>
        <w:tc>
          <w:tcPr>
            <w:tcW w:w="960" w:type="dxa"/>
            <w:gridSpan w:val="2"/>
            <w:tcBorders>
              <w:tl2br w:val="nil"/>
              <w:tr2bl w:val="nil"/>
            </w:tcBorders>
            <w:noWrap w:val="0"/>
            <w:vAlign w:val="center"/>
          </w:tcPr>
          <w:p w14:paraId="673E3D63">
            <w:pPr>
              <w:pStyle w:val="31"/>
              <w:bidi w:val="0"/>
              <w:rPr>
                <w:rFonts w:hint="default"/>
                <w:b/>
                <w:bCs/>
                <w:color w:val="auto"/>
                <w:u w:val="none" w:color="auto"/>
              </w:rPr>
            </w:pPr>
            <w:r>
              <w:rPr>
                <w:rFonts w:hint="default"/>
                <w:b/>
                <w:bCs/>
                <w:color w:val="auto"/>
                <w:u w:val="none" w:color="auto"/>
              </w:rPr>
              <w:t>类别</w:t>
            </w:r>
          </w:p>
        </w:tc>
        <w:tc>
          <w:tcPr>
            <w:tcW w:w="4875" w:type="dxa"/>
            <w:tcBorders>
              <w:tl2br w:val="nil"/>
              <w:tr2bl w:val="nil"/>
            </w:tcBorders>
            <w:noWrap w:val="0"/>
            <w:vAlign w:val="center"/>
          </w:tcPr>
          <w:p w14:paraId="35143215">
            <w:pPr>
              <w:pStyle w:val="31"/>
              <w:bidi w:val="0"/>
              <w:rPr>
                <w:rFonts w:hint="default"/>
                <w:b/>
                <w:bCs/>
                <w:color w:val="auto"/>
                <w:u w:val="none" w:color="auto"/>
              </w:rPr>
            </w:pPr>
            <w:r>
              <w:rPr>
                <w:rFonts w:hint="default"/>
                <w:b/>
                <w:bCs/>
                <w:color w:val="auto"/>
                <w:u w:val="none" w:color="auto"/>
              </w:rPr>
              <w:t>行业</w:t>
            </w:r>
          </w:p>
        </w:tc>
        <w:tc>
          <w:tcPr>
            <w:tcW w:w="2159" w:type="dxa"/>
            <w:gridSpan w:val="2"/>
            <w:tcBorders>
              <w:tl2br w:val="nil"/>
              <w:tr2bl w:val="nil"/>
            </w:tcBorders>
            <w:noWrap w:val="0"/>
            <w:vAlign w:val="center"/>
          </w:tcPr>
          <w:p w14:paraId="6F4EB242">
            <w:pPr>
              <w:pStyle w:val="31"/>
              <w:bidi w:val="0"/>
              <w:rPr>
                <w:rFonts w:hint="default"/>
                <w:b/>
                <w:bCs/>
                <w:color w:val="auto"/>
                <w:u w:val="none" w:color="auto"/>
                <w:lang w:val="en-US" w:eastAsia="zh-CN"/>
              </w:rPr>
            </w:pPr>
            <w:r>
              <w:rPr>
                <w:rFonts w:hint="default"/>
                <w:b/>
                <w:bCs/>
                <w:color w:val="auto"/>
                <w:u w:val="none" w:color="auto"/>
                <w:lang w:val="en-US" w:eastAsia="zh-CN"/>
              </w:rPr>
              <w:t>本项目情况</w:t>
            </w:r>
          </w:p>
        </w:tc>
      </w:tr>
      <w:tr w14:paraId="06D038E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8504" w:type="dxa"/>
            <w:gridSpan w:val="6"/>
            <w:tcBorders>
              <w:tl2br w:val="nil"/>
              <w:tr2bl w:val="nil"/>
            </w:tcBorders>
            <w:noWrap w:val="0"/>
            <w:vAlign w:val="center"/>
          </w:tcPr>
          <w:p w14:paraId="0CEBE0C8">
            <w:pPr>
              <w:pStyle w:val="31"/>
              <w:bidi w:val="0"/>
              <w:rPr>
                <w:rFonts w:hint="default"/>
                <w:b/>
                <w:bCs/>
                <w:color w:val="auto"/>
                <w:u w:val="none" w:color="auto"/>
              </w:rPr>
            </w:pPr>
            <w:r>
              <w:rPr>
                <w:rFonts w:hint="eastAsia"/>
                <w:b/>
                <w:bCs/>
                <w:color w:val="auto"/>
                <w:u w:val="none" w:color="auto"/>
                <w:lang w:val="en-US" w:eastAsia="zh-CN"/>
              </w:rPr>
              <w:t>园区环境准入行业清单</w:t>
            </w:r>
          </w:p>
        </w:tc>
      </w:tr>
      <w:tr w14:paraId="125F86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restart"/>
            <w:tcBorders>
              <w:tl2br w:val="nil"/>
              <w:tr2bl w:val="nil"/>
            </w:tcBorders>
            <w:noWrap w:val="0"/>
            <w:vAlign w:val="center"/>
          </w:tcPr>
          <w:p w14:paraId="1FF88729">
            <w:pPr>
              <w:pStyle w:val="31"/>
              <w:bidi w:val="0"/>
              <w:rPr>
                <w:rFonts w:hint="default"/>
                <w:color w:val="auto"/>
                <w:u w:val="none" w:color="auto"/>
              </w:rPr>
            </w:pPr>
            <w:r>
              <w:rPr>
                <w:rFonts w:hint="default"/>
                <w:color w:val="auto"/>
                <w:u w:val="none" w:color="auto"/>
              </w:rPr>
              <w:t>新市片西片区</w:t>
            </w:r>
          </w:p>
        </w:tc>
        <w:tc>
          <w:tcPr>
            <w:tcW w:w="960" w:type="dxa"/>
            <w:gridSpan w:val="2"/>
            <w:tcBorders>
              <w:tl2br w:val="nil"/>
              <w:tr2bl w:val="nil"/>
            </w:tcBorders>
            <w:noWrap w:val="0"/>
            <w:vAlign w:val="center"/>
          </w:tcPr>
          <w:p w14:paraId="59A03F59">
            <w:pPr>
              <w:pStyle w:val="31"/>
              <w:bidi w:val="0"/>
              <w:rPr>
                <w:rFonts w:hint="default"/>
                <w:color w:val="auto"/>
                <w:u w:val="none" w:color="auto"/>
              </w:rPr>
            </w:pPr>
            <w:r>
              <w:rPr>
                <w:rFonts w:hint="default"/>
                <w:color w:val="auto"/>
                <w:u w:val="none" w:color="auto"/>
              </w:rPr>
              <w:t>推荐类</w:t>
            </w:r>
          </w:p>
        </w:tc>
        <w:tc>
          <w:tcPr>
            <w:tcW w:w="5010" w:type="dxa"/>
            <w:gridSpan w:val="2"/>
            <w:tcBorders>
              <w:tl2br w:val="nil"/>
              <w:tr2bl w:val="nil"/>
            </w:tcBorders>
            <w:noWrap w:val="0"/>
            <w:vAlign w:val="center"/>
          </w:tcPr>
          <w:p w14:paraId="7044BAC9">
            <w:pPr>
              <w:pStyle w:val="31"/>
              <w:bidi w:val="0"/>
              <w:rPr>
                <w:rFonts w:hint="eastAsia"/>
                <w:color w:val="auto"/>
                <w:u w:val="none" w:color="auto"/>
              </w:rPr>
            </w:pPr>
            <w:r>
              <w:rPr>
                <w:rFonts w:hint="eastAsia"/>
                <w:color w:val="auto"/>
                <w:u w:val="none" w:color="auto"/>
              </w:rPr>
              <w:t>以发展电子信息业、先进装备制造业为主，①先进装备制造业：C34通用设备制造，C35专用设备制造，C381电机制造，重点发展农业机械专用设备制造、工程机械配套产业。</w:t>
            </w:r>
          </w:p>
          <w:p w14:paraId="707E8488">
            <w:pPr>
              <w:pStyle w:val="31"/>
              <w:bidi w:val="0"/>
              <w:rPr>
                <w:rFonts w:hint="default"/>
                <w:color w:val="auto"/>
                <w:u w:val="none" w:color="auto"/>
                <w:lang w:eastAsia="zh-CN"/>
              </w:rPr>
            </w:pPr>
            <w:r>
              <w:rPr>
                <w:rFonts w:hint="eastAsia"/>
                <w:color w:val="auto"/>
                <w:u w:val="none" w:color="auto"/>
              </w:rPr>
              <w:t>②电子信息业：C3824电力电子元器件制造；C389电气信号设备装置制造，C391计算机制造，C392通信设备制造，C395非专业视听设备制造，C396智能消费设备制造，C397电子器件制造，C399其他电子设备制造。（以上不包括电子半导体材料、线路板、电子化工专用材料，生产工艺涉及蚀刻、电镀的项目。）</w:t>
            </w:r>
          </w:p>
        </w:tc>
        <w:tc>
          <w:tcPr>
            <w:tcW w:w="2024" w:type="dxa"/>
            <w:vMerge w:val="restart"/>
            <w:tcBorders>
              <w:tl2br w:val="nil"/>
              <w:tr2bl w:val="nil"/>
            </w:tcBorders>
            <w:noWrap w:val="0"/>
            <w:vAlign w:val="center"/>
          </w:tcPr>
          <w:p w14:paraId="4E218ECB">
            <w:pPr>
              <w:pStyle w:val="31"/>
              <w:bidi w:val="0"/>
              <w:rPr>
                <w:rFonts w:hint="default" w:eastAsia="宋体"/>
                <w:color w:val="auto"/>
                <w:u w:val="none" w:color="auto"/>
                <w:lang w:val="en-US" w:eastAsia="zh-CN"/>
              </w:rPr>
            </w:pPr>
            <w:r>
              <w:rPr>
                <w:rFonts w:hint="eastAsia"/>
                <w:color w:val="auto"/>
                <w:u w:val="none" w:color="auto"/>
                <w:lang w:val="en-US" w:eastAsia="zh-CN"/>
              </w:rPr>
              <w:t>本项目是以再生塑料为原料的塑料制品制造，属于废弃资源综合利用行业的延伸产业，不属于电子信息业、先进装备制造业，不是两高项目，不属于大气重点排污单位。不属于化工项目，不属于国家限制及淘汰类中提及的内容。本项目以气型污染为主，项目涉及恶臭，不涉及重大危险源，</w:t>
            </w:r>
            <w:r>
              <w:rPr>
                <w:rFonts w:hint="eastAsia"/>
                <w:color w:val="auto"/>
                <w:sz w:val="21"/>
                <w:szCs w:val="21"/>
                <w:u w:val="none" w:color="auto"/>
                <w:lang w:val="en-US" w:eastAsia="zh-CN"/>
              </w:rPr>
              <w:t>项目西侧现有居民为拟拆迁区域，其用地已规划为二类工业用地，不属于规划的居住用地</w:t>
            </w:r>
            <w:r>
              <w:rPr>
                <w:rFonts w:hint="eastAsia"/>
                <w:color w:val="auto"/>
                <w:u w:val="none" w:color="auto"/>
                <w:lang w:val="en-US" w:eastAsia="zh-CN"/>
              </w:rPr>
              <w:t>；项目不属于</w:t>
            </w:r>
            <w:r>
              <w:rPr>
                <w:rFonts w:hint="eastAsia" w:ascii="宋体" w:hAnsi="宋体" w:eastAsia="宋体" w:cs="宋体"/>
                <w:sz w:val="21"/>
                <w:u w:val="none"/>
              </w:rPr>
              <w:t>电子半导体材料、线路板、电子化工专用材料的项目</w:t>
            </w:r>
            <w:r>
              <w:rPr>
                <w:rFonts w:hint="eastAsia" w:ascii="宋体" w:hAnsi="宋体" w:eastAsia="宋体" w:cs="宋体"/>
                <w:sz w:val="21"/>
                <w:u w:val="none"/>
                <w:lang w:eastAsia="zh-CN"/>
              </w:rPr>
              <w:t>，</w:t>
            </w:r>
            <w:r>
              <w:rPr>
                <w:rFonts w:hint="eastAsia" w:ascii="宋体" w:hAnsi="宋体" w:eastAsia="宋体" w:cs="宋体"/>
                <w:sz w:val="21"/>
                <w:u w:val="none"/>
                <w:lang w:val="en-US" w:eastAsia="zh-CN"/>
              </w:rPr>
              <w:t>不</w:t>
            </w:r>
            <w:r>
              <w:rPr>
                <w:rFonts w:hint="eastAsia" w:ascii="宋体" w:hAnsi="宋体" w:eastAsia="宋体" w:cs="宋体"/>
                <w:sz w:val="21"/>
                <w:u w:val="none"/>
              </w:rPr>
              <w:t>涉及蚀刻、电镀</w:t>
            </w:r>
            <w:r>
              <w:rPr>
                <w:rFonts w:hint="eastAsia"/>
                <w:color w:val="auto"/>
                <w:u w:val="none" w:color="auto"/>
                <w:lang w:val="en-US" w:eastAsia="zh-CN"/>
              </w:rPr>
              <w:t>；不属于</w:t>
            </w:r>
            <w:r>
              <w:rPr>
                <w:rFonts w:hint="eastAsia" w:ascii="宋体" w:hAnsi="宋体" w:eastAsia="宋体" w:cs="宋体"/>
                <w:sz w:val="21"/>
                <w:u w:val="none"/>
              </w:rPr>
              <w:t>有色金属冶炼项目和废弃资源综合利用产业中涉及冶炼、精深加工的项目</w:t>
            </w:r>
            <w:r>
              <w:rPr>
                <w:rFonts w:hint="eastAsia" w:ascii="宋体" w:hAnsi="宋体" w:eastAsia="宋体" w:cs="宋体"/>
                <w:sz w:val="21"/>
                <w:u w:val="none"/>
                <w:lang w:eastAsia="zh-CN"/>
              </w:rPr>
              <w:t>，</w:t>
            </w:r>
            <w:r>
              <w:rPr>
                <w:rFonts w:hint="eastAsia" w:ascii="宋体" w:hAnsi="宋体" w:eastAsia="宋体" w:cs="宋体"/>
                <w:sz w:val="21"/>
                <w:u w:val="none"/>
                <w:lang w:val="en-US" w:eastAsia="zh-CN"/>
              </w:rPr>
              <w:t>项目不回收医疗废物，</w:t>
            </w:r>
            <w:r>
              <w:rPr>
                <w:rFonts w:hint="eastAsia"/>
                <w:color w:val="auto"/>
                <w:u w:val="none" w:color="auto"/>
                <w:lang w:val="en-US" w:eastAsia="zh-CN"/>
              </w:rPr>
              <w:t>项目不属于高能耗、高物耗、污染重的的项目。</w:t>
            </w:r>
          </w:p>
        </w:tc>
      </w:tr>
      <w:tr w14:paraId="04099F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429294E6">
            <w:pPr>
              <w:pStyle w:val="31"/>
              <w:bidi w:val="0"/>
              <w:rPr>
                <w:rFonts w:hint="default"/>
                <w:color w:val="auto"/>
                <w:u w:val="none" w:color="auto"/>
              </w:rPr>
            </w:pPr>
          </w:p>
        </w:tc>
        <w:tc>
          <w:tcPr>
            <w:tcW w:w="960" w:type="dxa"/>
            <w:gridSpan w:val="2"/>
            <w:tcBorders>
              <w:tl2br w:val="nil"/>
              <w:tr2bl w:val="nil"/>
            </w:tcBorders>
            <w:noWrap w:val="0"/>
            <w:vAlign w:val="center"/>
          </w:tcPr>
          <w:p w14:paraId="604AED6B">
            <w:pPr>
              <w:pStyle w:val="31"/>
              <w:bidi w:val="0"/>
              <w:rPr>
                <w:rFonts w:hint="default"/>
                <w:color w:val="auto"/>
                <w:u w:val="none" w:color="auto"/>
              </w:rPr>
            </w:pPr>
            <w:r>
              <w:rPr>
                <w:rFonts w:hint="default"/>
                <w:color w:val="auto"/>
                <w:u w:val="none" w:color="auto"/>
              </w:rPr>
              <w:t>限制类</w:t>
            </w:r>
          </w:p>
        </w:tc>
        <w:tc>
          <w:tcPr>
            <w:tcW w:w="5010" w:type="dxa"/>
            <w:gridSpan w:val="2"/>
            <w:tcBorders>
              <w:tl2br w:val="nil"/>
              <w:tr2bl w:val="nil"/>
            </w:tcBorders>
            <w:noWrap w:val="0"/>
            <w:vAlign w:val="center"/>
          </w:tcPr>
          <w:p w14:paraId="25B96716">
            <w:pPr>
              <w:pStyle w:val="31"/>
              <w:bidi w:val="0"/>
              <w:rPr>
                <w:rFonts w:hint="default"/>
                <w:color w:val="auto"/>
                <w:u w:val="none" w:color="auto"/>
              </w:rPr>
            </w:pPr>
            <w:r>
              <w:rPr>
                <w:rFonts w:hint="default"/>
                <w:color w:val="auto"/>
                <w:u w:val="none" w:color="auto"/>
              </w:rPr>
              <w:t>①《产业结构调整指导目录（2024 年本）》中限制类。</w:t>
            </w:r>
          </w:p>
          <w:p w14:paraId="450AD5F7">
            <w:pPr>
              <w:pStyle w:val="31"/>
              <w:bidi w:val="0"/>
              <w:rPr>
                <w:rFonts w:hint="default"/>
                <w:color w:val="auto"/>
                <w:u w:val="none" w:color="auto"/>
              </w:rPr>
            </w:pPr>
            <w:r>
              <w:rPr>
                <w:rFonts w:hint="default"/>
                <w:color w:val="auto"/>
                <w:u w:val="none" w:color="auto"/>
              </w:rPr>
              <w:t>②《湖南省“两高”项目管理目录》中项目。</w:t>
            </w:r>
          </w:p>
          <w:p w14:paraId="1DFF48C5">
            <w:pPr>
              <w:pStyle w:val="32"/>
              <w:spacing w:line="240" w:lineRule="auto"/>
              <w:ind w:firstLine="0" w:firstLineChars="0"/>
              <w:rPr>
                <w:rFonts w:hint="eastAsia" w:ascii="宋体" w:hAnsi="宋体" w:eastAsia="宋体" w:cs="宋体"/>
                <w:sz w:val="21"/>
                <w:u w:val="none"/>
              </w:rPr>
            </w:pPr>
            <w:r>
              <w:rPr>
                <w:rFonts w:hint="default"/>
                <w:color w:val="auto"/>
                <w:u w:val="none" w:color="auto"/>
              </w:rPr>
              <w:t>③</w:t>
            </w:r>
            <w:r>
              <w:rPr>
                <w:rFonts w:hint="eastAsia" w:ascii="宋体" w:hAnsi="宋体" w:eastAsia="宋体" w:cs="宋体"/>
                <w:sz w:val="21"/>
                <w:u w:val="none"/>
              </w:rPr>
              <w:t>限制满足大气环境重点排污单位条件的企业入驻；</w:t>
            </w:r>
          </w:p>
          <w:p w14:paraId="63CF654F">
            <w:pPr>
              <w:pStyle w:val="31"/>
              <w:bidi w:val="0"/>
              <w:rPr>
                <w:rFonts w:hint="default"/>
                <w:color w:val="auto"/>
                <w:u w:val="none" w:color="auto"/>
              </w:rPr>
            </w:pPr>
            <w:r>
              <w:rPr>
                <w:rFonts w:hint="eastAsia" w:ascii="宋体" w:hAnsi="宋体" w:eastAsia="宋体" w:cs="宋体"/>
                <w:sz w:val="21"/>
                <w:u w:val="none"/>
              </w:rPr>
              <w:t>④规划居住用地周边限制涉及恶臭气体的企业入驻</w:t>
            </w:r>
            <w:r>
              <w:rPr>
                <w:rFonts w:hint="default"/>
                <w:color w:val="auto"/>
                <w:u w:val="none" w:color="auto"/>
              </w:rPr>
              <w:t>。</w:t>
            </w:r>
          </w:p>
        </w:tc>
        <w:tc>
          <w:tcPr>
            <w:tcW w:w="2024" w:type="dxa"/>
            <w:vMerge w:val="continue"/>
            <w:tcBorders>
              <w:tl2br w:val="nil"/>
              <w:tr2bl w:val="nil"/>
            </w:tcBorders>
            <w:noWrap w:val="0"/>
            <w:vAlign w:val="center"/>
          </w:tcPr>
          <w:p w14:paraId="30279DBB">
            <w:pPr>
              <w:pStyle w:val="31"/>
              <w:bidi w:val="0"/>
              <w:rPr>
                <w:rFonts w:hint="default"/>
                <w:color w:val="auto"/>
                <w:u w:val="none" w:color="auto"/>
                <w:lang w:val="en-US"/>
              </w:rPr>
            </w:pPr>
          </w:p>
        </w:tc>
      </w:tr>
      <w:tr w14:paraId="545DA5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334CDF59">
            <w:pPr>
              <w:pStyle w:val="31"/>
              <w:bidi w:val="0"/>
              <w:rPr>
                <w:rFonts w:hint="default"/>
                <w:color w:val="auto"/>
                <w:u w:val="none" w:color="auto"/>
              </w:rPr>
            </w:pPr>
          </w:p>
        </w:tc>
        <w:tc>
          <w:tcPr>
            <w:tcW w:w="960" w:type="dxa"/>
            <w:gridSpan w:val="2"/>
            <w:tcBorders>
              <w:tl2br w:val="nil"/>
              <w:tr2bl w:val="nil"/>
            </w:tcBorders>
            <w:noWrap w:val="0"/>
            <w:vAlign w:val="center"/>
          </w:tcPr>
          <w:p w14:paraId="071B8BC5">
            <w:pPr>
              <w:pStyle w:val="31"/>
              <w:bidi w:val="0"/>
              <w:rPr>
                <w:rFonts w:hint="default"/>
                <w:color w:val="auto"/>
                <w:u w:val="none" w:color="auto"/>
              </w:rPr>
            </w:pPr>
            <w:r>
              <w:rPr>
                <w:rFonts w:hint="default"/>
                <w:color w:val="auto"/>
                <w:u w:val="none" w:color="auto"/>
              </w:rPr>
              <w:t>禁止类</w:t>
            </w:r>
          </w:p>
        </w:tc>
        <w:tc>
          <w:tcPr>
            <w:tcW w:w="5010" w:type="dxa"/>
            <w:gridSpan w:val="2"/>
            <w:tcBorders>
              <w:tl2br w:val="nil"/>
              <w:tr2bl w:val="nil"/>
            </w:tcBorders>
            <w:noWrap w:val="0"/>
            <w:vAlign w:val="center"/>
          </w:tcPr>
          <w:p w14:paraId="29F388F2">
            <w:pPr>
              <w:pStyle w:val="31"/>
              <w:bidi w:val="0"/>
              <w:rPr>
                <w:rFonts w:hint="default"/>
                <w:color w:val="auto"/>
                <w:u w:val="none" w:color="auto"/>
              </w:rPr>
            </w:pPr>
            <w:r>
              <w:rPr>
                <w:rFonts w:hint="default"/>
                <w:color w:val="auto"/>
                <w:u w:val="none" w:color="auto"/>
              </w:rPr>
              <w:t>①园区本次未作为化工园区（片区）进行规划，不得新引进国、省相关规定要求须强制入化工园区发展的项目。</w:t>
            </w:r>
          </w:p>
          <w:p w14:paraId="099D5926">
            <w:pPr>
              <w:pStyle w:val="31"/>
              <w:bidi w:val="0"/>
              <w:rPr>
                <w:rFonts w:hint="default"/>
                <w:color w:val="auto"/>
                <w:u w:val="none" w:color="auto"/>
              </w:rPr>
            </w:pPr>
            <w:r>
              <w:rPr>
                <w:rFonts w:hint="default"/>
                <w:color w:val="auto"/>
                <w:u w:val="none" w:color="auto"/>
              </w:rPr>
              <w:t>②不能满足《废塑料综合利用行业规范条件》、《废塑料回收与再生利用污染控制技术规范（试行）》、《铝行业规范条件》、《铜冶炼行业规范条件》、《废钢铁加工行业准入条件》、《废铜铝加工利用行业规范条件》要求的项目。</w:t>
            </w:r>
          </w:p>
          <w:p w14:paraId="05CA36A5">
            <w:pPr>
              <w:pStyle w:val="31"/>
              <w:bidi w:val="0"/>
              <w:rPr>
                <w:rFonts w:hint="default"/>
                <w:color w:val="auto"/>
                <w:u w:val="none" w:color="auto"/>
              </w:rPr>
            </w:pPr>
            <w:r>
              <w:rPr>
                <w:rFonts w:hint="default"/>
                <w:color w:val="auto"/>
                <w:u w:val="none" w:color="auto"/>
              </w:rPr>
              <w:t>③禁止以气型污染为主的新项目、涉及重大危险源的新项目紧邻规划居住用地布局。</w:t>
            </w:r>
          </w:p>
          <w:p w14:paraId="62D0727A">
            <w:pPr>
              <w:pStyle w:val="32"/>
              <w:spacing w:line="240" w:lineRule="auto"/>
              <w:ind w:firstLine="0" w:firstLineChars="0"/>
              <w:rPr>
                <w:rFonts w:hint="eastAsia" w:ascii="宋体" w:hAnsi="宋体" w:eastAsia="宋体" w:cs="宋体"/>
                <w:sz w:val="21"/>
                <w:u w:val="none"/>
              </w:rPr>
            </w:pPr>
            <w:r>
              <w:rPr>
                <w:rFonts w:hint="eastAsia" w:ascii="宋体" w:hAnsi="宋体" w:eastAsia="宋体" w:cs="宋体"/>
                <w:sz w:val="21"/>
                <w:u w:val="none"/>
              </w:rPr>
              <w:t>④中部电子信息及相关产业区和南部电子信息产业禁止引进电子半导体材料、线路板、电子化工专用材料的项目，生产工艺涉及蚀刻、电镀的项目；禁止新引进涉及重大风险源的项目。</w:t>
            </w:r>
          </w:p>
          <w:p w14:paraId="38BB978B">
            <w:pPr>
              <w:pStyle w:val="32"/>
              <w:spacing w:line="240" w:lineRule="auto"/>
              <w:ind w:firstLine="0" w:firstLineChars="0"/>
              <w:rPr>
                <w:rFonts w:hint="eastAsia" w:ascii="宋体" w:hAnsi="宋体" w:eastAsia="宋体" w:cs="宋体"/>
                <w:sz w:val="21"/>
                <w:u w:val="none"/>
                <w:lang w:eastAsia="zh-CN"/>
              </w:rPr>
            </w:pPr>
            <w:r>
              <w:rPr>
                <w:rFonts w:hint="eastAsia" w:ascii="宋体" w:hAnsi="宋体" w:eastAsia="宋体" w:cs="宋体"/>
                <w:sz w:val="21"/>
                <w:u w:val="none"/>
              </w:rPr>
              <w:t>⑤禁止新引进有色金属冶炼项目和废弃资源综合利用产业中涉及冶炼、精深加工的项目</w:t>
            </w:r>
            <w:r>
              <w:rPr>
                <w:rFonts w:hint="eastAsia" w:ascii="宋体" w:hAnsi="宋体" w:eastAsia="宋体" w:cs="宋体"/>
                <w:sz w:val="21"/>
                <w:u w:val="none"/>
                <w:lang w:eastAsia="zh-CN"/>
              </w:rPr>
              <w:t>。</w:t>
            </w:r>
          </w:p>
          <w:p w14:paraId="32A9836F">
            <w:pPr>
              <w:pStyle w:val="32"/>
              <w:spacing w:line="240" w:lineRule="auto"/>
              <w:ind w:firstLine="0" w:firstLineChars="0"/>
              <w:rPr>
                <w:rFonts w:hint="eastAsia" w:ascii="宋体" w:hAnsi="宋体" w:eastAsia="宋体" w:cs="宋体"/>
                <w:sz w:val="21"/>
                <w:u w:val="none"/>
              </w:rPr>
            </w:pPr>
            <w:r>
              <w:rPr>
                <w:rFonts w:hint="eastAsia" w:ascii="宋体" w:hAnsi="宋体" w:eastAsia="宋体" w:cs="宋体"/>
                <w:sz w:val="21"/>
                <w:u w:val="none"/>
              </w:rPr>
              <w:t>⑥禁止以医疗废物为原料生产塑料制品的项目。</w:t>
            </w:r>
          </w:p>
          <w:p w14:paraId="2AE090A4">
            <w:pPr>
              <w:pStyle w:val="32"/>
              <w:spacing w:line="240" w:lineRule="auto"/>
              <w:ind w:firstLine="0" w:firstLineChars="0"/>
              <w:rPr>
                <w:rFonts w:hint="eastAsia" w:ascii="宋体" w:hAnsi="宋体" w:eastAsia="宋体" w:cs="宋体"/>
                <w:sz w:val="21"/>
                <w:u w:val="none"/>
              </w:rPr>
            </w:pPr>
            <w:r>
              <w:rPr>
                <w:rFonts w:hint="eastAsia" w:ascii="宋体" w:hAnsi="宋体" w:eastAsia="宋体" w:cs="宋体"/>
                <w:sz w:val="21"/>
                <w:u w:val="none"/>
              </w:rPr>
              <w:t>⑦禁止重大危险源企业紧邻规划居住用地布局。</w:t>
            </w:r>
          </w:p>
          <w:p w14:paraId="402EDC7E">
            <w:pPr>
              <w:pStyle w:val="32"/>
              <w:spacing w:line="240" w:lineRule="auto"/>
              <w:ind w:firstLine="0" w:firstLineChars="0"/>
              <w:rPr>
                <w:rFonts w:hint="eastAsia" w:ascii="宋体" w:hAnsi="宋体" w:eastAsia="宋体" w:cs="宋体"/>
                <w:sz w:val="21"/>
                <w:u w:val="none"/>
              </w:rPr>
            </w:pPr>
            <w:r>
              <w:rPr>
                <w:rFonts w:hint="eastAsia" w:ascii="宋体" w:hAnsi="宋体" w:eastAsia="宋体" w:cs="宋体"/>
                <w:sz w:val="21"/>
                <w:u w:val="none"/>
              </w:rPr>
              <w:t>⑧禁止涉及原矿冶炼的有色金属项目。</w:t>
            </w:r>
          </w:p>
          <w:p w14:paraId="168F4FBC">
            <w:pPr>
              <w:pStyle w:val="32"/>
              <w:spacing w:line="240" w:lineRule="auto"/>
              <w:ind w:firstLine="0" w:firstLineChars="0"/>
              <w:rPr>
                <w:rFonts w:hint="eastAsia" w:ascii="宋体" w:hAnsi="宋体" w:eastAsia="宋体" w:cs="宋体"/>
                <w:sz w:val="21"/>
                <w:u w:val="none"/>
              </w:rPr>
            </w:pPr>
            <w:r>
              <w:rPr>
                <w:rFonts w:hint="eastAsia" w:ascii="宋体" w:hAnsi="宋体" w:eastAsia="宋体" w:cs="宋体"/>
                <w:sz w:val="21"/>
                <w:u w:val="none"/>
              </w:rPr>
              <w:t>⑨产业结构调整指导目录（</w:t>
            </w:r>
            <w:r>
              <w:rPr>
                <w:rFonts w:hint="default" w:ascii="Times New Roman" w:hAnsi="Times New Roman" w:eastAsia="宋体" w:cs="Times New Roman"/>
                <w:sz w:val="21"/>
                <w:u w:val="none"/>
              </w:rPr>
              <w:t>2024</w:t>
            </w:r>
            <w:r>
              <w:rPr>
                <w:rFonts w:hint="eastAsia" w:ascii="宋体" w:hAnsi="宋体" w:eastAsia="宋体" w:cs="宋体"/>
                <w:sz w:val="21"/>
                <w:u w:val="none"/>
              </w:rPr>
              <w:t>年本）》中淘汰类。</w:t>
            </w:r>
          </w:p>
          <w:p w14:paraId="78DAF83C">
            <w:pPr>
              <w:pStyle w:val="31"/>
              <w:bidi w:val="0"/>
              <w:rPr>
                <w:rFonts w:hint="default"/>
                <w:color w:val="auto"/>
                <w:u w:val="none" w:color="auto"/>
              </w:rPr>
            </w:pPr>
            <w:r>
              <w:rPr>
                <w:rFonts w:hint="eastAsia" w:ascii="宋体" w:hAnsi="宋体" w:eastAsia="宋体" w:cs="宋体"/>
                <w:sz w:val="21"/>
                <w:u w:val="none"/>
              </w:rPr>
              <w:t>⑩国家命令淘法和禁止发展的高能耗、高物耗、污染重，不符合产业政策的建设项目</w:t>
            </w:r>
            <w:r>
              <w:rPr>
                <w:rFonts w:hint="default"/>
                <w:color w:val="auto"/>
                <w:u w:val="none" w:color="auto"/>
              </w:rPr>
              <w:t>。</w:t>
            </w:r>
          </w:p>
        </w:tc>
        <w:tc>
          <w:tcPr>
            <w:tcW w:w="2024" w:type="dxa"/>
            <w:vMerge w:val="continue"/>
            <w:tcBorders>
              <w:tl2br w:val="nil"/>
              <w:tr2bl w:val="nil"/>
            </w:tcBorders>
            <w:noWrap w:val="0"/>
            <w:vAlign w:val="center"/>
          </w:tcPr>
          <w:p w14:paraId="4B873FD5">
            <w:pPr>
              <w:pStyle w:val="31"/>
              <w:bidi w:val="0"/>
              <w:rPr>
                <w:rFonts w:hint="default"/>
                <w:color w:val="auto"/>
                <w:u w:val="none" w:color="auto"/>
                <w:lang w:val="en-US" w:eastAsia="zh-CN"/>
              </w:rPr>
            </w:pPr>
          </w:p>
        </w:tc>
      </w:tr>
      <w:tr w14:paraId="0BE3F52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04" w:type="dxa"/>
            <w:gridSpan w:val="6"/>
            <w:tcBorders>
              <w:tl2br w:val="nil"/>
              <w:tr2bl w:val="nil"/>
            </w:tcBorders>
            <w:noWrap w:val="0"/>
            <w:vAlign w:val="center"/>
          </w:tcPr>
          <w:p w14:paraId="25124D83">
            <w:pPr>
              <w:pStyle w:val="31"/>
              <w:bidi w:val="0"/>
              <w:rPr>
                <w:rFonts w:hint="default"/>
                <w:color w:val="auto"/>
                <w:u w:val="none" w:color="auto"/>
              </w:rPr>
            </w:pPr>
            <w:r>
              <w:rPr>
                <w:rFonts w:hint="eastAsia"/>
                <w:b/>
                <w:bCs/>
                <w:color w:val="auto"/>
                <w:u w:val="none" w:color="auto"/>
                <w:lang w:val="en-US" w:eastAsia="zh-CN"/>
              </w:rPr>
              <w:t>园区环境准入工艺和产品负面清单</w:t>
            </w:r>
          </w:p>
        </w:tc>
      </w:tr>
      <w:tr w14:paraId="12C6C3F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restart"/>
            <w:tcBorders>
              <w:tl2br w:val="nil"/>
              <w:tr2bl w:val="nil"/>
            </w:tcBorders>
            <w:noWrap w:val="0"/>
            <w:vAlign w:val="center"/>
          </w:tcPr>
          <w:p w14:paraId="291BFAE5">
            <w:pPr>
              <w:pStyle w:val="31"/>
              <w:bidi w:val="0"/>
              <w:rPr>
                <w:rFonts w:hint="default"/>
                <w:color w:val="auto"/>
                <w:u w:val="none" w:color="auto"/>
                <w:lang w:val="en-US" w:eastAsia="zh-CN"/>
              </w:rPr>
            </w:pPr>
            <w:r>
              <w:rPr>
                <w:rFonts w:hint="default"/>
                <w:color w:val="auto"/>
                <w:u w:val="none" w:color="auto"/>
                <w:lang w:val="en-US" w:eastAsia="zh-CN"/>
              </w:rPr>
              <w:t>新市片区</w:t>
            </w:r>
          </w:p>
        </w:tc>
        <w:tc>
          <w:tcPr>
            <w:tcW w:w="525" w:type="dxa"/>
            <w:vMerge w:val="restart"/>
            <w:tcBorders>
              <w:tl2br w:val="nil"/>
              <w:tr2bl w:val="nil"/>
            </w:tcBorders>
            <w:noWrap w:val="0"/>
            <w:vAlign w:val="center"/>
          </w:tcPr>
          <w:p w14:paraId="23B7A28A">
            <w:pPr>
              <w:pStyle w:val="31"/>
              <w:bidi w:val="0"/>
              <w:rPr>
                <w:rFonts w:hint="default"/>
                <w:color w:val="auto"/>
                <w:u w:val="none" w:color="auto"/>
              </w:rPr>
            </w:pPr>
            <w:r>
              <w:rPr>
                <w:rFonts w:hint="default"/>
                <w:color w:val="auto"/>
                <w:u w:val="none" w:color="auto"/>
              </w:rPr>
              <w:t>废弃资源综合利用产业</w:t>
            </w:r>
          </w:p>
        </w:tc>
        <w:tc>
          <w:tcPr>
            <w:tcW w:w="435" w:type="dxa"/>
            <w:vMerge w:val="restart"/>
            <w:tcBorders>
              <w:tl2br w:val="nil"/>
              <w:tr2bl w:val="nil"/>
            </w:tcBorders>
            <w:noWrap w:val="0"/>
            <w:vAlign w:val="center"/>
          </w:tcPr>
          <w:p w14:paraId="7DE9FD45">
            <w:pPr>
              <w:pStyle w:val="31"/>
              <w:bidi w:val="0"/>
              <w:rPr>
                <w:rFonts w:hint="default"/>
                <w:color w:val="auto"/>
                <w:u w:val="none" w:color="auto"/>
                <w:lang w:val="en-US" w:eastAsia="zh-CN"/>
              </w:rPr>
            </w:pPr>
            <w:r>
              <w:rPr>
                <w:rFonts w:hint="default"/>
                <w:color w:val="auto"/>
                <w:u w:val="none" w:color="auto"/>
                <w:lang w:val="en-US" w:eastAsia="zh-CN"/>
              </w:rPr>
              <w:t>限制类</w:t>
            </w:r>
          </w:p>
        </w:tc>
        <w:tc>
          <w:tcPr>
            <w:tcW w:w="4875" w:type="dxa"/>
            <w:tcBorders>
              <w:tl2br w:val="nil"/>
              <w:tr2bl w:val="nil"/>
            </w:tcBorders>
            <w:noWrap w:val="0"/>
            <w:vAlign w:val="center"/>
          </w:tcPr>
          <w:p w14:paraId="5284B639">
            <w:pPr>
              <w:pStyle w:val="31"/>
              <w:bidi w:val="0"/>
              <w:rPr>
                <w:rFonts w:hint="default"/>
                <w:color w:val="auto"/>
                <w:u w:val="none" w:color="auto"/>
              </w:rPr>
            </w:pPr>
            <w:r>
              <w:rPr>
                <w:color w:val="auto"/>
                <w:u w:val="none" w:color="auto"/>
              </w:rPr>
              <w:t>直径600</w:t>
            </w:r>
            <w:r>
              <w:rPr>
                <w:rFonts w:hint="default"/>
                <w:color w:val="auto"/>
                <w:u w:val="none" w:color="auto"/>
              </w:rPr>
              <w:t>毫米以下或</w:t>
            </w:r>
            <w:r>
              <w:rPr>
                <w:color w:val="auto"/>
                <w:u w:val="none" w:color="auto"/>
              </w:rPr>
              <w:t>2</w:t>
            </w:r>
            <w:r>
              <w:rPr>
                <w:rFonts w:hint="default"/>
                <w:color w:val="auto"/>
                <w:u w:val="none" w:color="auto"/>
              </w:rPr>
              <w:t>万吨</w:t>
            </w:r>
            <w:r>
              <w:rPr>
                <w:color w:val="auto"/>
                <w:u w:val="none" w:color="auto"/>
              </w:rPr>
              <w:t>/</w:t>
            </w:r>
            <w:r>
              <w:rPr>
                <w:rFonts w:hint="default"/>
                <w:color w:val="auto"/>
                <w:u w:val="none" w:color="auto"/>
              </w:rPr>
              <w:t>年以下的超高功率石墨电极生产线</w:t>
            </w:r>
          </w:p>
        </w:tc>
        <w:tc>
          <w:tcPr>
            <w:tcW w:w="2159" w:type="dxa"/>
            <w:gridSpan w:val="2"/>
            <w:vMerge w:val="restart"/>
            <w:tcBorders>
              <w:tl2br w:val="nil"/>
              <w:tr2bl w:val="nil"/>
            </w:tcBorders>
            <w:noWrap w:val="0"/>
            <w:vAlign w:val="center"/>
          </w:tcPr>
          <w:p w14:paraId="54765D03">
            <w:pPr>
              <w:pStyle w:val="31"/>
              <w:bidi w:val="0"/>
              <w:rPr>
                <w:rFonts w:hint="default"/>
                <w:color w:val="auto"/>
                <w:u w:val="none" w:color="auto"/>
                <w:lang w:val="en-US"/>
              </w:rPr>
            </w:pPr>
            <w:r>
              <w:rPr>
                <w:rFonts w:hint="eastAsia"/>
                <w:color w:val="auto"/>
                <w:u w:val="none" w:color="auto"/>
                <w:lang w:val="en-US" w:eastAsia="zh-CN"/>
              </w:rPr>
              <w:t>本项目为以再生塑料为原料的塑料制品制造项目，属于废弃资源综合利用产业。项目不属于所列限制类项目。</w:t>
            </w:r>
          </w:p>
        </w:tc>
      </w:tr>
      <w:tr w14:paraId="786E742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41770452">
            <w:pPr>
              <w:pStyle w:val="31"/>
              <w:bidi w:val="0"/>
              <w:rPr>
                <w:rFonts w:hint="default"/>
                <w:color w:val="auto"/>
                <w:u w:val="none" w:color="auto"/>
              </w:rPr>
            </w:pPr>
          </w:p>
        </w:tc>
        <w:tc>
          <w:tcPr>
            <w:tcW w:w="525" w:type="dxa"/>
            <w:vMerge w:val="continue"/>
            <w:tcBorders>
              <w:tl2br w:val="nil"/>
              <w:tr2bl w:val="nil"/>
            </w:tcBorders>
            <w:noWrap w:val="0"/>
            <w:vAlign w:val="center"/>
          </w:tcPr>
          <w:p w14:paraId="6AB1ED17">
            <w:pPr>
              <w:pStyle w:val="31"/>
              <w:bidi w:val="0"/>
              <w:rPr>
                <w:rFonts w:hint="default"/>
                <w:color w:val="auto"/>
                <w:u w:val="none" w:color="auto"/>
              </w:rPr>
            </w:pPr>
          </w:p>
        </w:tc>
        <w:tc>
          <w:tcPr>
            <w:tcW w:w="435" w:type="dxa"/>
            <w:vMerge w:val="continue"/>
            <w:tcBorders>
              <w:tl2br w:val="nil"/>
              <w:tr2bl w:val="nil"/>
            </w:tcBorders>
            <w:noWrap w:val="0"/>
            <w:vAlign w:val="center"/>
          </w:tcPr>
          <w:p w14:paraId="74D4406E">
            <w:pPr>
              <w:pStyle w:val="31"/>
              <w:bidi w:val="0"/>
              <w:rPr>
                <w:rFonts w:hint="default"/>
                <w:color w:val="auto"/>
                <w:u w:val="none" w:color="auto"/>
              </w:rPr>
            </w:pPr>
          </w:p>
        </w:tc>
        <w:tc>
          <w:tcPr>
            <w:tcW w:w="4875" w:type="dxa"/>
            <w:tcBorders>
              <w:tl2br w:val="nil"/>
              <w:tr2bl w:val="nil"/>
            </w:tcBorders>
            <w:noWrap w:val="0"/>
            <w:vAlign w:val="center"/>
          </w:tcPr>
          <w:p w14:paraId="52C64A3D">
            <w:pPr>
              <w:pStyle w:val="31"/>
              <w:bidi w:val="0"/>
              <w:rPr>
                <w:rFonts w:hint="default"/>
                <w:color w:val="auto"/>
                <w:u w:val="none" w:color="auto"/>
              </w:rPr>
            </w:pPr>
            <w:r>
              <w:rPr>
                <w:color w:val="auto"/>
                <w:u w:val="none" w:color="auto"/>
              </w:rPr>
              <w:t>8</w:t>
            </w:r>
            <w:r>
              <w:rPr>
                <w:rFonts w:hint="default"/>
                <w:color w:val="auto"/>
                <w:u w:val="none" w:color="auto"/>
              </w:rPr>
              <w:t>万吨</w:t>
            </w:r>
            <w:r>
              <w:rPr>
                <w:color w:val="auto"/>
                <w:u w:val="none" w:color="auto"/>
              </w:rPr>
              <w:t>/</w:t>
            </w:r>
            <w:r>
              <w:rPr>
                <w:rFonts w:hint="default"/>
                <w:color w:val="auto"/>
                <w:u w:val="none" w:color="auto"/>
              </w:rPr>
              <w:t>年以下预焙阳极（炭块）、</w:t>
            </w:r>
            <w:r>
              <w:rPr>
                <w:color w:val="auto"/>
                <w:u w:val="none" w:color="auto"/>
              </w:rPr>
              <w:t>2</w:t>
            </w:r>
            <w:r>
              <w:rPr>
                <w:rFonts w:hint="default"/>
                <w:color w:val="auto"/>
                <w:u w:val="none" w:color="auto"/>
              </w:rPr>
              <w:t>万吨</w:t>
            </w:r>
            <w:r>
              <w:rPr>
                <w:color w:val="auto"/>
                <w:u w:val="none" w:color="auto"/>
              </w:rPr>
              <w:t>/</w:t>
            </w:r>
            <w:r>
              <w:rPr>
                <w:rFonts w:hint="default"/>
                <w:color w:val="auto"/>
                <w:u w:val="none" w:color="auto"/>
              </w:rPr>
              <w:t>年以下普通阴极炭块、</w:t>
            </w:r>
            <w:r>
              <w:rPr>
                <w:color w:val="auto"/>
                <w:u w:val="none" w:color="auto"/>
              </w:rPr>
              <w:t>4</w:t>
            </w:r>
            <w:r>
              <w:rPr>
                <w:rFonts w:hint="default"/>
                <w:color w:val="auto"/>
                <w:u w:val="none" w:color="auto"/>
              </w:rPr>
              <w:t>万吨</w:t>
            </w:r>
            <w:r>
              <w:rPr>
                <w:color w:val="auto"/>
                <w:u w:val="none" w:color="auto"/>
              </w:rPr>
              <w:t>/</w:t>
            </w:r>
            <w:r>
              <w:rPr>
                <w:rFonts w:hint="default"/>
                <w:color w:val="auto"/>
                <w:u w:val="none" w:color="auto"/>
              </w:rPr>
              <w:t>年以下炭电极生产线</w:t>
            </w:r>
          </w:p>
        </w:tc>
        <w:tc>
          <w:tcPr>
            <w:tcW w:w="2159" w:type="dxa"/>
            <w:gridSpan w:val="2"/>
            <w:vMerge w:val="continue"/>
            <w:tcBorders>
              <w:tl2br w:val="nil"/>
              <w:tr2bl w:val="nil"/>
            </w:tcBorders>
            <w:noWrap w:val="0"/>
            <w:vAlign w:val="center"/>
          </w:tcPr>
          <w:p w14:paraId="45CF6EE8">
            <w:pPr>
              <w:pStyle w:val="31"/>
              <w:bidi w:val="0"/>
              <w:rPr>
                <w:rFonts w:hint="default"/>
                <w:color w:val="auto"/>
                <w:u w:val="none" w:color="auto"/>
              </w:rPr>
            </w:pPr>
          </w:p>
        </w:tc>
      </w:tr>
      <w:tr w14:paraId="46B1AED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44DD211A">
            <w:pPr>
              <w:pStyle w:val="31"/>
              <w:bidi w:val="0"/>
              <w:rPr>
                <w:rFonts w:hint="default"/>
                <w:color w:val="auto"/>
                <w:u w:val="none" w:color="auto"/>
              </w:rPr>
            </w:pPr>
          </w:p>
        </w:tc>
        <w:tc>
          <w:tcPr>
            <w:tcW w:w="525" w:type="dxa"/>
            <w:vMerge w:val="continue"/>
            <w:tcBorders>
              <w:tl2br w:val="nil"/>
              <w:tr2bl w:val="nil"/>
            </w:tcBorders>
            <w:noWrap w:val="0"/>
            <w:vAlign w:val="center"/>
          </w:tcPr>
          <w:p w14:paraId="20E83E11">
            <w:pPr>
              <w:pStyle w:val="31"/>
              <w:bidi w:val="0"/>
              <w:rPr>
                <w:rFonts w:hint="default"/>
                <w:color w:val="auto"/>
                <w:u w:val="none" w:color="auto"/>
              </w:rPr>
            </w:pPr>
          </w:p>
        </w:tc>
        <w:tc>
          <w:tcPr>
            <w:tcW w:w="435" w:type="dxa"/>
            <w:vMerge w:val="continue"/>
            <w:tcBorders>
              <w:tl2br w:val="nil"/>
              <w:tr2bl w:val="nil"/>
            </w:tcBorders>
            <w:noWrap w:val="0"/>
            <w:vAlign w:val="center"/>
          </w:tcPr>
          <w:p w14:paraId="0BDB7542">
            <w:pPr>
              <w:pStyle w:val="31"/>
              <w:bidi w:val="0"/>
              <w:rPr>
                <w:rFonts w:hint="default"/>
                <w:color w:val="auto"/>
                <w:u w:val="none" w:color="auto"/>
              </w:rPr>
            </w:pPr>
          </w:p>
        </w:tc>
        <w:tc>
          <w:tcPr>
            <w:tcW w:w="4875" w:type="dxa"/>
            <w:tcBorders>
              <w:tl2br w:val="nil"/>
              <w:tr2bl w:val="nil"/>
            </w:tcBorders>
            <w:noWrap w:val="0"/>
            <w:vAlign w:val="center"/>
          </w:tcPr>
          <w:p w14:paraId="5A27FBDC">
            <w:pPr>
              <w:pStyle w:val="31"/>
              <w:bidi w:val="0"/>
              <w:rPr>
                <w:rFonts w:hint="default"/>
                <w:color w:val="auto"/>
                <w:u w:val="none" w:color="auto"/>
              </w:rPr>
            </w:pPr>
            <w:r>
              <w:rPr>
                <w:rFonts w:hint="default"/>
                <w:color w:val="auto"/>
                <w:u w:val="none" w:color="auto"/>
              </w:rPr>
              <w:t>单系列</w:t>
            </w:r>
            <w:r>
              <w:rPr>
                <w:color w:val="auto"/>
                <w:u w:val="none" w:color="auto"/>
              </w:rPr>
              <w:t>10</w:t>
            </w:r>
            <w:r>
              <w:rPr>
                <w:rFonts w:hint="default"/>
                <w:color w:val="auto"/>
                <w:u w:val="none" w:color="auto"/>
              </w:rPr>
              <w:t>万啊规模以下</w:t>
            </w:r>
            <w:r>
              <w:rPr>
                <w:color w:val="auto"/>
                <w:u w:val="none" w:color="auto"/>
              </w:rPr>
              <w:t>PS</w:t>
            </w:r>
            <w:r>
              <w:rPr>
                <w:rFonts w:hint="default"/>
                <w:color w:val="auto"/>
                <w:u w:val="none" w:color="auto"/>
              </w:rPr>
              <w:t>转炉吹炼工艺的铜冶炼项目</w:t>
            </w:r>
          </w:p>
        </w:tc>
        <w:tc>
          <w:tcPr>
            <w:tcW w:w="2159" w:type="dxa"/>
            <w:gridSpan w:val="2"/>
            <w:vMerge w:val="continue"/>
            <w:tcBorders>
              <w:tl2br w:val="nil"/>
              <w:tr2bl w:val="nil"/>
            </w:tcBorders>
            <w:noWrap w:val="0"/>
            <w:vAlign w:val="center"/>
          </w:tcPr>
          <w:p w14:paraId="0D859644">
            <w:pPr>
              <w:pStyle w:val="31"/>
              <w:bidi w:val="0"/>
              <w:rPr>
                <w:rFonts w:hint="default"/>
                <w:color w:val="auto"/>
                <w:u w:val="none" w:color="auto"/>
              </w:rPr>
            </w:pPr>
          </w:p>
        </w:tc>
      </w:tr>
      <w:tr w14:paraId="3A7AB4B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2C8DAC60">
            <w:pPr>
              <w:pStyle w:val="31"/>
              <w:bidi w:val="0"/>
              <w:rPr>
                <w:rFonts w:hint="default"/>
                <w:color w:val="auto"/>
                <w:u w:val="none" w:color="auto"/>
              </w:rPr>
            </w:pPr>
          </w:p>
        </w:tc>
        <w:tc>
          <w:tcPr>
            <w:tcW w:w="525" w:type="dxa"/>
            <w:vMerge w:val="continue"/>
            <w:tcBorders>
              <w:tl2br w:val="nil"/>
              <w:tr2bl w:val="nil"/>
            </w:tcBorders>
            <w:noWrap w:val="0"/>
            <w:vAlign w:val="center"/>
          </w:tcPr>
          <w:p w14:paraId="74048AC3">
            <w:pPr>
              <w:pStyle w:val="31"/>
              <w:bidi w:val="0"/>
              <w:rPr>
                <w:rFonts w:hint="default"/>
                <w:color w:val="auto"/>
                <w:u w:val="none" w:color="auto"/>
              </w:rPr>
            </w:pPr>
          </w:p>
        </w:tc>
        <w:tc>
          <w:tcPr>
            <w:tcW w:w="435" w:type="dxa"/>
            <w:vMerge w:val="continue"/>
            <w:tcBorders>
              <w:tl2br w:val="nil"/>
              <w:tr2bl w:val="nil"/>
            </w:tcBorders>
            <w:noWrap w:val="0"/>
            <w:vAlign w:val="center"/>
          </w:tcPr>
          <w:p w14:paraId="23F2263A">
            <w:pPr>
              <w:pStyle w:val="31"/>
              <w:bidi w:val="0"/>
              <w:rPr>
                <w:rFonts w:hint="default"/>
                <w:color w:val="auto"/>
                <w:u w:val="none" w:color="auto"/>
              </w:rPr>
            </w:pPr>
          </w:p>
        </w:tc>
        <w:tc>
          <w:tcPr>
            <w:tcW w:w="4875" w:type="dxa"/>
            <w:tcBorders>
              <w:tl2br w:val="nil"/>
              <w:tr2bl w:val="nil"/>
            </w:tcBorders>
            <w:noWrap w:val="0"/>
            <w:vAlign w:val="center"/>
          </w:tcPr>
          <w:p w14:paraId="669FCBCE">
            <w:pPr>
              <w:pStyle w:val="31"/>
              <w:bidi w:val="0"/>
              <w:rPr>
                <w:rFonts w:hint="default"/>
                <w:color w:val="auto"/>
                <w:u w:val="none" w:color="auto"/>
              </w:rPr>
            </w:pPr>
            <w:r>
              <w:rPr>
                <w:rFonts w:hint="default"/>
                <w:color w:val="auto"/>
                <w:u w:val="none" w:color="auto"/>
              </w:rPr>
              <w:t>新建、扩建电解铝项目（产能置换项目除外）</w:t>
            </w:r>
          </w:p>
        </w:tc>
        <w:tc>
          <w:tcPr>
            <w:tcW w:w="2159" w:type="dxa"/>
            <w:gridSpan w:val="2"/>
            <w:vMerge w:val="continue"/>
            <w:tcBorders>
              <w:tl2br w:val="nil"/>
              <w:tr2bl w:val="nil"/>
            </w:tcBorders>
            <w:noWrap w:val="0"/>
            <w:vAlign w:val="center"/>
          </w:tcPr>
          <w:p w14:paraId="668F4144">
            <w:pPr>
              <w:pStyle w:val="31"/>
              <w:bidi w:val="0"/>
              <w:rPr>
                <w:rFonts w:hint="default"/>
                <w:color w:val="auto"/>
                <w:u w:val="none" w:color="auto"/>
              </w:rPr>
            </w:pPr>
          </w:p>
        </w:tc>
      </w:tr>
      <w:tr w14:paraId="017607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2A28DCCA">
            <w:pPr>
              <w:pStyle w:val="31"/>
              <w:bidi w:val="0"/>
              <w:rPr>
                <w:rFonts w:hint="default"/>
                <w:color w:val="auto"/>
                <w:u w:val="none" w:color="auto"/>
              </w:rPr>
            </w:pPr>
          </w:p>
        </w:tc>
        <w:tc>
          <w:tcPr>
            <w:tcW w:w="525" w:type="dxa"/>
            <w:vMerge w:val="continue"/>
            <w:tcBorders>
              <w:tl2br w:val="nil"/>
              <w:tr2bl w:val="nil"/>
            </w:tcBorders>
            <w:noWrap w:val="0"/>
            <w:vAlign w:val="center"/>
          </w:tcPr>
          <w:p w14:paraId="6331D83A">
            <w:pPr>
              <w:pStyle w:val="31"/>
              <w:bidi w:val="0"/>
              <w:rPr>
                <w:rFonts w:hint="default"/>
                <w:color w:val="auto"/>
                <w:u w:val="none" w:color="auto"/>
              </w:rPr>
            </w:pPr>
          </w:p>
        </w:tc>
        <w:tc>
          <w:tcPr>
            <w:tcW w:w="435" w:type="dxa"/>
            <w:vMerge w:val="continue"/>
            <w:tcBorders>
              <w:tl2br w:val="nil"/>
              <w:tr2bl w:val="nil"/>
            </w:tcBorders>
            <w:noWrap w:val="0"/>
            <w:vAlign w:val="center"/>
          </w:tcPr>
          <w:p w14:paraId="74B49A37">
            <w:pPr>
              <w:pStyle w:val="31"/>
              <w:bidi w:val="0"/>
              <w:rPr>
                <w:rFonts w:hint="default"/>
                <w:color w:val="auto"/>
                <w:u w:val="none" w:color="auto"/>
              </w:rPr>
            </w:pPr>
          </w:p>
        </w:tc>
        <w:tc>
          <w:tcPr>
            <w:tcW w:w="4875" w:type="dxa"/>
            <w:tcBorders>
              <w:tl2br w:val="nil"/>
              <w:tr2bl w:val="nil"/>
            </w:tcBorders>
            <w:noWrap w:val="0"/>
            <w:vAlign w:val="center"/>
          </w:tcPr>
          <w:p w14:paraId="3BED3401">
            <w:pPr>
              <w:pStyle w:val="31"/>
              <w:bidi w:val="0"/>
              <w:rPr>
                <w:rFonts w:hint="default"/>
                <w:color w:val="auto"/>
                <w:u w:val="none" w:color="auto"/>
              </w:rPr>
            </w:pPr>
            <w:r>
              <w:rPr>
                <w:rFonts w:hint="default"/>
                <w:color w:val="auto"/>
                <w:u w:val="none" w:color="auto"/>
              </w:rPr>
              <w:t>单系列</w:t>
            </w:r>
            <w:r>
              <w:rPr>
                <w:color w:val="auto"/>
                <w:u w:val="none" w:color="auto"/>
              </w:rPr>
              <w:t>5</w:t>
            </w:r>
            <w:r>
              <w:rPr>
                <w:rFonts w:hint="default"/>
                <w:color w:val="auto"/>
                <w:u w:val="none" w:color="auto"/>
              </w:rPr>
              <w:t>万吨</w:t>
            </w:r>
            <w:r>
              <w:rPr>
                <w:color w:val="auto"/>
                <w:u w:val="none" w:color="auto"/>
              </w:rPr>
              <w:t>/</w:t>
            </w:r>
            <w:r>
              <w:rPr>
                <w:rFonts w:hint="default"/>
                <w:color w:val="auto"/>
                <w:u w:val="none" w:color="auto"/>
              </w:rPr>
              <w:t>年规模以下铅冶炼、再生铅项目</w:t>
            </w:r>
          </w:p>
        </w:tc>
        <w:tc>
          <w:tcPr>
            <w:tcW w:w="2159" w:type="dxa"/>
            <w:gridSpan w:val="2"/>
            <w:vMerge w:val="continue"/>
            <w:tcBorders>
              <w:tl2br w:val="nil"/>
              <w:tr2bl w:val="nil"/>
            </w:tcBorders>
            <w:noWrap w:val="0"/>
            <w:vAlign w:val="center"/>
          </w:tcPr>
          <w:p w14:paraId="28A8130F">
            <w:pPr>
              <w:pStyle w:val="31"/>
              <w:bidi w:val="0"/>
              <w:rPr>
                <w:rFonts w:hint="default"/>
                <w:color w:val="auto"/>
                <w:u w:val="none" w:color="auto"/>
              </w:rPr>
            </w:pPr>
          </w:p>
        </w:tc>
      </w:tr>
      <w:tr w14:paraId="583868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4E442323">
            <w:pPr>
              <w:pStyle w:val="31"/>
              <w:bidi w:val="0"/>
              <w:rPr>
                <w:rFonts w:hint="default"/>
                <w:color w:val="auto"/>
                <w:u w:val="none" w:color="auto"/>
              </w:rPr>
            </w:pPr>
          </w:p>
        </w:tc>
        <w:tc>
          <w:tcPr>
            <w:tcW w:w="525" w:type="dxa"/>
            <w:vMerge w:val="continue"/>
            <w:tcBorders>
              <w:tl2br w:val="nil"/>
              <w:tr2bl w:val="nil"/>
            </w:tcBorders>
            <w:noWrap w:val="0"/>
            <w:vAlign w:val="center"/>
          </w:tcPr>
          <w:p w14:paraId="534FAB9F">
            <w:pPr>
              <w:pStyle w:val="31"/>
              <w:bidi w:val="0"/>
              <w:rPr>
                <w:rFonts w:hint="default"/>
                <w:color w:val="auto"/>
                <w:u w:val="none" w:color="auto"/>
              </w:rPr>
            </w:pPr>
          </w:p>
        </w:tc>
        <w:tc>
          <w:tcPr>
            <w:tcW w:w="435" w:type="dxa"/>
            <w:vMerge w:val="continue"/>
            <w:tcBorders>
              <w:tl2br w:val="nil"/>
              <w:tr2bl w:val="nil"/>
            </w:tcBorders>
            <w:noWrap w:val="0"/>
            <w:vAlign w:val="center"/>
          </w:tcPr>
          <w:p w14:paraId="36658ACC">
            <w:pPr>
              <w:pStyle w:val="31"/>
              <w:bidi w:val="0"/>
              <w:rPr>
                <w:rFonts w:hint="default"/>
                <w:color w:val="auto"/>
                <w:u w:val="none" w:color="auto"/>
              </w:rPr>
            </w:pPr>
          </w:p>
        </w:tc>
        <w:tc>
          <w:tcPr>
            <w:tcW w:w="4875" w:type="dxa"/>
            <w:tcBorders>
              <w:tl2br w:val="nil"/>
              <w:tr2bl w:val="nil"/>
            </w:tcBorders>
            <w:noWrap w:val="0"/>
            <w:vAlign w:val="center"/>
          </w:tcPr>
          <w:p w14:paraId="331EFC77">
            <w:pPr>
              <w:pStyle w:val="31"/>
              <w:bidi w:val="0"/>
              <w:rPr>
                <w:rFonts w:hint="default"/>
                <w:color w:val="auto"/>
                <w:u w:val="none" w:color="auto"/>
              </w:rPr>
            </w:pPr>
            <w:r>
              <w:rPr>
                <w:color w:val="auto"/>
                <w:u w:val="none" w:color="auto"/>
              </w:rPr>
              <w:t>10</w:t>
            </w:r>
            <w:r>
              <w:rPr>
                <w:rFonts w:hint="default"/>
                <w:color w:val="auto"/>
                <w:u w:val="none" w:color="auto"/>
              </w:rPr>
              <w:t>万吨</w:t>
            </w:r>
            <w:r>
              <w:rPr>
                <w:color w:val="auto"/>
                <w:u w:val="none" w:color="auto"/>
              </w:rPr>
              <w:t>/</w:t>
            </w:r>
            <w:r>
              <w:rPr>
                <w:rFonts w:hint="default"/>
                <w:color w:val="auto"/>
                <w:u w:val="none" w:color="auto"/>
              </w:rPr>
              <w:t>年以下的独立铝用炭素项目</w:t>
            </w:r>
          </w:p>
        </w:tc>
        <w:tc>
          <w:tcPr>
            <w:tcW w:w="2159" w:type="dxa"/>
            <w:gridSpan w:val="2"/>
            <w:vMerge w:val="continue"/>
            <w:tcBorders>
              <w:tl2br w:val="nil"/>
              <w:tr2bl w:val="nil"/>
            </w:tcBorders>
            <w:noWrap w:val="0"/>
            <w:vAlign w:val="center"/>
          </w:tcPr>
          <w:p w14:paraId="5F00CCE1">
            <w:pPr>
              <w:pStyle w:val="31"/>
              <w:bidi w:val="0"/>
              <w:rPr>
                <w:rFonts w:hint="default"/>
                <w:color w:val="auto"/>
                <w:u w:val="none" w:color="auto"/>
              </w:rPr>
            </w:pPr>
          </w:p>
        </w:tc>
      </w:tr>
      <w:tr w14:paraId="11EECC7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0369BCE0">
            <w:pPr>
              <w:pStyle w:val="31"/>
              <w:bidi w:val="0"/>
              <w:rPr>
                <w:rFonts w:hint="default"/>
                <w:color w:val="auto"/>
                <w:u w:val="none" w:color="auto"/>
              </w:rPr>
            </w:pPr>
          </w:p>
        </w:tc>
        <w:tc>
          <w:tcPr>
            <w:tcW w:w="525" w:type="dxa"/>
            <w:vMerge w:val="continue"/>
            <w:tcBorders>
              <w:tl2br w:val="nil"/>
              <w:tr2bl w:val="nil"/>
            </w:tcBorders>
            <w:noWrap w:val="0"/>
            <w:vAlign w:val="center"/>
          </w:tcPr>
          <w:p w14:paraId="2AD91E6C">
            <w:pPr>
              <w:pStyle w:val="31"/>
              <w:bidi w:val="0"/>
              <w:rPr>
                <w:rFonts w:hint="default"/>
                <w:color w:val="auto"/>
                <w:u w:val="none" w:color="auto"/>
              </w:rPr>
            </w:pPr>
          </w:p>
        </w:tc>
        <w:tc>
          <w:tcPr>
            <w:tcW w:w="435" w:type="dxa"/>
            <w:vMerge w:val="continue"/>
            <w:tcBorders>
              <w:tl2br w:val="nil"/>
              <w:tr2bl w:val="nil"/>
            </w:tcBorders>
            <w:noWrap w:val="0"/>
            <w:vAlign w:val="center"/>
          </w:tcPr>
          <w:p w14:paraId="0BC8B056">
            <w:pPr>
              <w:pStyle w:val="31"/>
              <w:bidi w:val="0"/>
              <w:rPr>
                <w:rFonts w:hint="default"/>
                <w:color w:val="auto"/>
                <w:u w:val="none" w:color="auto"/>
              </w:rPr>
            </w:pPr>
          </w:p>
        </w:tc>
        <w:tc>
          <w:tcPr>
            <w:tcW w:w="4875" w:type="dxa"/>
            <w:tcBorders>
              <w:tl2br w:val="nil"/>
              <w:tr2bl w:val="nil"/>
            </w:tcBorders>
            <w:noWrap w:val="0"/>
            <w:vAlign w:val="center"/>
          </w:tcPr>
          <w:p w14:paraId="28E273E7">
            <w:pPr>
              <w:pStyle w:val="31"/>
              <w:bidi w:val="0"/>
              <w:rPr>
                <w:rFonts w:hint="default"/>
                <w:color w:val="auto"/>
                <w:u w:val="none" w:color="auto"/>
              </w:rPr>
            </w:pPr>
            <w:r>
              <w:rPr>
                <w:color w:val="auto"/>
                <w:u w:val="none" w:color="auto"/>
              </w:rPr>
              <w:t>直径600</w:t>
            </w:r>
            <w:r>
              <w:rPr>
                <w:rFonts w:hint="default"/>
                <w:color w:val="auto"/>
                <w:u w:val="none" w:color="auto"/>
              </w:rPr>
              <w:t>毫米以下或</w:t>
            </w:r>
            <w:r>
              <w:rPr>
                <w:color w:val="auto"/>
                <w:u w:val="none" w:color="auto"/>
              </w:rPr>
              <w:t>2</w:t>
            </w:r>
            <w:r>
              <w:rPr>
                <w:rFonts w:hint="default"/>
                <w:color w:val="auto"/>
                <w:u w:val="none" w:color="auto"/>
              </w:rPr>
              <w:t>万吨</w:t>
            </w:r>
            <w:r>
              <w:rPr>
                <w:color w:val="auto"/>
                <w:u w:val="none" w:color="auto"/>
              </w:rPr>
              <w:t>/</w:t>
            </w:r>
            <w:r>
              <w:rPr>
                <w:rFonts w:hint="default"/>
                <w:color w:val="auto"/>
                <w:u w:val="none" w:color="auto"/>
              </w:rPr>
              <w:t>年以下的超高功率石墨电极生产线</w:t>
            </w:r>
          </w:p>
        </w:tc>
        <w:tc>
          <w:tcPr>
            <w:tcW w:w="2159" w:type="dxa"/>
            <w:gridSpan w:val="2"/>
            <w:vMerge w:val="continue"/>
            <w:tcBorders>
              <w:tl2br w:val="nil"/>
              <w:tr2bl w:val="nil"/>
            </w:tcBorders>
            <w:noWrap w:val="0"/>
            <w:vAlign w:val="center"/>
          </w:tcPr>
          <w:p w14:paraId="2FACF47E">
            <w:pPr>
              <w:pStyle w:val="31"/>
              <w:bidi w:val="0"/>
              <w:rPr>
                <w:rFonts w:hint="default"/>
                <w:color w:val="auto"/>
                <w:u w:val="none" w:color="auto"/>
              </w:rPr>
            </w:pPr>
          </w:p>
        </w:tc>
      </w:tr>
      <w:tr w14:paraId="201C7A8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52C9DAED">
            <w:pPr>
              <w:pStyle w:val="31"/>
              <w:bidi w:val="0"/>
              <w:rPr>
                <w:rFonts w:hint="default"/>
                <w:color w:val="auto"/>
                <w:u w:val="none" w:color="auto"/>
              </w:rPr>
            </w:pPr>
          </w:p>
        </w:tc>
        <w:tc>
          <w:tcPr>
            <w:tcW w:w="525" w:type="dxa"/>
            <w:vMerge w:val="continue"/>
            <w:tcBorders>
              <w:tl2br w:val="nil"/>
              <w:tr2bl w:val="nil"/>
            </w:tcBorders>
            <w:noWrap w:val="0"/>
            <w:vAlign w:val="center"/>
          </w:tcPr>
          <w:p w14:paraId="034D6B29">
            <w:pPr>
              <w:pStyle w:val="31"/>
              <w:bidi w:val="0"/>
              <w:rPr>
                <w:rFonts w:hint="default"/>
                <w:color w:val="auto"/>
                <w:u w:val="none" w:color="auto"/>
              </w:rPr>
            </w:pPr>
          </w:p>
        </w:tc>
        <w:tc>
          <w:tcPr>
            <w:tcW w:w="435" w:type="dxa"/>
            <w:vMerge w:val="restart"/>
            <w:tcBorders>
              <w:tl2br w:val="nil"/>
              <w:tr2bl w:val="nil"/>
            </w:tcBorders>
            <w:noWrap w:val="0"/>
            <w:vAlign w:val="center"/>
          </w:tcPr>
          <w:p w14:paraId="698810BB">
            <w:pPr>
              <w:pStyle w:val="31"/>
              <w:bidi w:val="0"/>
              <w:rPr>
                <w:rFonts w:hint="default"/>
                <w:color w:val="auto"/>
                <w:u w:val="none" w:color="auto"/>
                <w:lang w:val="en-US" w:eastAsia="zh-CN"/>
              </w:rPr>
            </w:pPr>
            <w:r>
              <w:rPr>
                <w:rFonts w:hint="default"/>
                <w:color w:val="auto"/>
                <w:u w:val="none" w:color="auto"/>
                <w:lang w:val="en-US" w:eastAsia="zh-CN"/>
              </w:rPr>
              <w:t>禁止类</w:t>
            </w:r>
          </w:p>
        </w:tc>
        <w:tc>
          <w:tcPr>
            <w:tcW w:w="4875" w:type="dxa"/>
            <w:tcBorders>
              <w:tl2br w:val="nil"/>
              <w:tr2bl w:val="nil"/>
            </w:tcBorders>
            <w:noWrap w:val="0"/>
            <w:vAlign w:val="center"/>
          </w:tcPr>
          <w:p w14:paraId="7CB878D8">
            <w:pPr>
              <w:pStyle w:val="31"/>
              <w:bidi w:val="0"/>
              <w:rPr>
                <w:rFonts w:hint="default"/>
                <w:color w:val="auto"/>
                <w:u w:val="none" w:color="auto"/>
              </w:rPr>
            </w:pPr>
            <w:r>
              <w:rPr>
                <w:color w:val="auto"/>
                <w:u w:val="none" w:color="auto"/>
              </w:rPr>
              <w:t>采用明火高温加热方式生产油品的釜式蒸馏装置</w:t>
            </w:r>
          </w:p>
        </w:tc>
        <w:tc>
          <w:tcPr>
            <w:tcW w:w="2159" w:type="dxa"/>
            <w:gridSpan w:val="2"/>
            <w:vMerge w:val="restart"/>
            <w:tcBorders>
              <w:tl2br w:val="nil"/>
              <w:tr2bl w:val="nil"/>
            </w:tcBorders>
            <w:noWrap w:val="0"/>
            <w:vAlign w:val="center"/>
          </w:tcPr>
          <w:p w14:paraId="6AE03355">
            <w:pPr>
              <w:pStyle w:val="31"/>
              <w:bidi w:val="0"/>
              <w:rPr>
                <w:rFonts w:hint="default"/>
                <w:color w:val="auto"/>
                <w:u w:val="none" w:color="auto"/>
                <w:lang w:val="en-US" w:eastAsia="zh-CN"/>
              </w:rPr>
            </w:pPr>
            <w:r>
              <w:rPr>
                <w:rFonts w:hint="eastAsia"/>
                <w:color w:val="auto"/>
                <w:u w:val="none" w:color="auto"/>
                <w:lang w:val="en-US" w:eastAsia="zh-CN"/>
              </w:rPr>
              <w:t>本项目为以再生塑料为原料的塑料制品制造项目，属于废弃资源综合利用行业的延伸产业。项目不属于所列限制类项目。</w:t>
            </w:r>
          </w:p>
          <w:p w14:paraId="600F2C4D">
            <w:pPr>
              <w:pStyle w:val="31"/>
              <w:bidi w:val="0"/>
              <w:rPr>
                <w:rFonts w:hint="default"/>
                <w:color w:val="auto"/>
                <w:u w:val="none" w:color="auto"/>
              </w:rPr>
            </w:pPr>
            <w:r>
              <w:rPr>
                <w:rFonts w:hint="eastAsia"/>
                <w:color w:val="auto"/>
                <w:u w:val="none" w:color="auto"/>
                <w:lang w:val="en-US" w:eastAsia="zh-CN"/>
              </w:rPr>
              <w:t>不属于所列淘汰类项目。</w:t>
            </w:r>
          </w:p>
        </w:tc>
      </w:tr>
      <w:tr w14:paraId="212BA2C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53474117">
            <w:pPr>
              <w:pStyle w:val="31"/>
              <w:bidi w:val="0"/>
              <w:rPr>
                <w:rFonts w:hint="default"/>
                <w:color w:val="auto"/>
                <w:u w:val="none" w:color="auto"/>
              </w:rPr>
            </w:pPr>
          </w:p>
        </w:tc>
        <w:tc>
          <w:tcPr>
            <w:tcW w:w="525" w:type="dxa"/>
            <w:vMerge w:val="continue"/>
            <w:tcBorders>
              <w:tl2br w:val="nil"/>
              <w:tr2bl w:val="nil"/>
            </w:tcBorders>
            <w:noWrap w:val="0"/>
            <w:vAlign w:val="center"/>
          </w:tcPr>
          <w:p w14:paraId="5A2C866E">
            <w:pPr>
              <w:pStyle w:val="31"/>
              <w:bidi w:val="0"/>
              <w:rPr>
                <w:rFonts w:hint="default"/>
                <w:color w:val="auto"/>
                <w:u w:val="none" w:color="auto"/>
              </w:rPr>
            </w:pPr>
          </w:p>
        </w:tc>
        <w:tc>
          <w:tcPr>
            <w:tcW w:w="435" w:type="dxa"/>
            <w:vMerge w:val="continue"/>
            <w:tcBorders>
              <w:tl2br w:val="nil"/>
              <w:tr2bl w:val="nil"/>
            </w:tcBorders>
            <w:noWrap w:val="0"/>
            <w:vAlign w:val="center"/>
          </w:tcPr>
          <w:p w14:paraId="29F3B1CA">
            <w:pPr>
              <w:pStyle w:val="31"/>
              <w:bidi w:val="0"/>
              <w:rPr>
                <w:rFonts w:hint="default"/>
                <w:color w:val="auto"/>
                <w:u w:val="none" w:color="auto"/>
              </w:rPr>
            </w:pPr>
          </w:p>
        </w:tc>
        <w:tc>
          <w:tcPr>
            <w:tcW w:w="4875" w:type="dxa"/>
            <w:tcBorders>
              <w:tl2br w:val="nil"/>
              <w:tr2bl w:val="nil"/>
            </w:tcBorders>
            <w:noWrap w:val="0"/>
            <w:vAlign w:val="center"/>
          </w:tcPr>
          <w:p w14:paraId="7D50BBEE">
            <w:pPr>
              <w:pStyle w:val="31"/>
              <w:bidi w:val="0"/>
              <w:rPr>
                <w:rFonts w:hint="default"/>
                <w:color w:val="auto"/>
                <w:u w:val="none" w:color="auto"/>
              </w:rPr>
            </w:pPr>
            <w:r>
              <w:rPr>
                <w:color w:val="auto"/>
                <w:u w:val="none" w:color="auto"/>
              </w:rPr>
              <w:t>废旧橡胶和塑料土法炼油工艺</w:t>
            </w:r>
          </w:p>
        </w:tc>
        <w:tc>
          <w:tcPr>
            <w:tcW w:w="2159" w:type="dxa"/>
            <w:gridSpan w:val="2"/>
            <w:vMerge w:val="continue"/>
            <w:tcBorders>
              <w:tl2br w:val="nil"/>
              <w:tr2bl w:val="nil"/>
            </w:tcBorders>
            <w:noWrap w:val="0"/>
            <w:vAlign w:val="center"/>
          </w:tcPr>
          <w:p w14:paraId="604F3955">
            <w:pPr>
              <w:pStyle w:val="31"/>
              <w:bidi w:val="0"/>
              <w:rPr>
                <w:rFonts w:hint="default"/>
                <w:color w:val="auto"/>
                <w:u w:val="none" w:color="auto"/>
              </w:rPr>
            </w:pPr>
          </w:p>
        </w:tc>
      </w:tr>
      <w:tr w14:paraId="2AE4AA2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150E13AF">
            <w:pPr>
              <w:pStyle w:val="31"/>
              <w:bidi w:val="0"/>
              <w:rPr>
                <w:rFonts w:hint="default"/>
                <w:color w:val="auto"/>
                <w:u w:val="none" w:color="auto"/>
              </w:rPr>
            </w:pPr>
          </w:p>
        </w:tc>
        <w:tc>
          <w:tcPr>
            <w:tcW w:w="525" w:type="dxa"/>
            <w:vMerge w:val="continue"/>
            <w:tcBorders>
              <w:tl2br w:val="nil"/>
              <w:tr2bl w:val="nil"/>
            </w:tcBorders>
            <w:noWrap w:val="0"/>
            <w:vAlign w:val="center"/>
          </w:tcPr>
          <w:p w14:paraId="19A4686E">
            <w:pPr>
              <w:pStyle w:val="31"/>
              <w:bidi w:val="0"/>
              <w:rPr>
                <w:rFonts w:hint="default"/>
                <w:color w:val="auto"/>
                <w:u w:val="none" w:color="auto"/>
              </w:rPr>
            </w:pPr>
          </w:p>
        </w:tc>
        <w:tc>
          <w:tcPr>
            <w:tcW w:w="435" w:type="dxa"/>
            <w:vMerge w:val="continue"/>
            <w:tcBorders>
              <w:tl2br w:val="nil"/>
              <w:tr2bl w:val="nil"/>
            </w:tcBorders>
            <w:noWrap w:val="0"/>
            <w:vAlign w:val="center"/>
          </w:tcPr>
          <w:p w14:paraId="6AEEB226">
            <w:pPr>
              <w:pStyle w:val="31"/>
              <w:bidi w:val="0"/>
              <w:rPr>
                <w:rFonts w:hint="default"/>
                <w:color w:val="auto"/>
                <w:u w:val="none" w:color="auto"/>
              </w:rPr>
            </w:pPr>
          </w:p>
        </w:tc>
        <w:tc>
          <w:tcPr>
            <w:tcW w:w="4875" w:type="dxa"/>
            <w:tcBorders>
              <w:tl2br w:val="nil"/>
              <w:tr2bl w:val="nil"/>
            </w:tcBorders>
            <w:noWrap w:val="0"/>
            <w:vAlign w:val="center"/>
          </w:tcPr>
          <w:p w14:paraId="73EA027D">
            <w:pPr>
              <w:pStyle w:val="31"/>
              <w:bidi w:val="0"/>
              <w:rPr>
                <w:rFonts w:hint="default"/>
                <w:color w:val="auto"/>
                <w:u w:val="none" w:color="auto"/>
              </w:rPr>
            </w:pPr>
            <w:r>
              <w:rPr>
                <w:color w:val="auto"/>
                <w:u w:val="none" w:color="auto"/>
              </w:rPr>
              <w:t>采用马弗炉、马槽炉、横罐、小竖罐等进行焙烧、简易冷凝设施进行收尘等落后方式炼锌或生产氧化锌工艺装备</w:t>
            </w:r>
          </w:p>
        </w:tc>
        <w:tc>
          <w:tcPr>
            <w:tcW w:w="2159" w:type="dxa"/>
            <w:gridSpan w:val="2"/>
            <w:vMerge w:val="continue"/>
            <w:tcBorders>
              <w:tl2br w:val="nil"/>
              <w:tr2bl w:val="nil"/>
            </w:tcBorders>
            <w:noWrap w:val="0"/>
            <w:vAlign w:val="center"/>
          </w:tcPr>
          <w:p w14:paraId="7B8BDD2B">
            <w:pPr>
              <w:pStyle w:val="31"/>
              <w:bidi w:val="0"/>
              <w:rPr>
                <w:rFonts w:hint="default"/>
                <w:color w:val="auto"/>
                <w:u w:val="none" w:color="auto"/>
              </w:rPr>
            </w:pPr>
          </w:p>
        </w:tc>
      </w:tr>
      <w:tr w14:paraId="50E0F74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10" w:type="dxa"/>
            <w:vMerge w:val="continue"/>
            <w:tcBorders>
              <w:tl2br w:val="nil"/>
              <w:tr2bl w:val="nil"/>
            </w:tcBorders>
            <w:noWrap w:val="0"/>
            <w:vAlign w:val="center"/>
          </w:tcPr>
          <w:p w14:paraId="513FA7A7">
            <w:pPr>
              <w:pStyle w:val="31"/>
              <w:bidi w:val="0"/>
              <w:rPr>
                <w:rFonts w:hint="default"/>
                <w:color w:val="auto"/>
                <w:u w:val="none" w:color="auto"/>
              </w:rPr>
            </w:pPr>
          </w:p>
        </w:tc>
        <w:tc>
          <w:tcPr>
            <w:tcW w:w="525" w:type="dxa"/>
            <w:vMerge w:val="continue"/>
            <w:tcBorders>
              <w:tl2br w:val="nil"/>
              <w:tr2bl w:val="nil"/>
            </w:tcBorders>
            <w:noWrap w:val="0"/>
            <w:vAlign w:val="center"/>
          </w:tcPr>
          <w:p w14:paraId="79B3FF83">
            <w:pPr>
              <w:pStyle w:val="31"/>
              <w:bidi w:val="0"/>
              <w:rPr>
                <w:rFonts w:hint="default"/>
                <w:color w:val="auto"/>
                <w:u w:val="none" w:color="auto"/>
              </w:rPr>
            </w:pPr>
          </w:p>
        </w:tc>
        <w:tc>
          <w:tcPr>
            <w:tcW w:w="435" w:type="dxa"/>
            <w:vMerge w:val="continue"/>
            <w:tcBorders>
              <w:tl2br w:val="nil"/>
              <w:tr2bl w:val="nil"/>
            </w:tcBorders>
            <w:noWrap w:val="0"/>
            <w:vAlign w:val="center"/>
          </w:tcPr>
          <w:p w14:paraId="34C7FF07">
            <w:pPr>
              <w:pStyle w:val="31"/>
              <w:bidi w:val="0"/>
              <w:rPr>
                <w:rFonts w:hint="default"/>
                <w:color w:val="auto"/>
                <w:u w:val="none" w:color="auto"/>
              </w:rPr>
            </w:pPr>
          </w:p>
        </w:tc>
        <w:tc>
          <w:tcPr>
            <w:tcW w:w="4875" w:type="dxa"/>
            <w:tcBorders>
              <w:tl2br w:val="nil"/>
              <w:tr2bl w:val="nil"/>
            </w:tcBorders>
            <w:noWrap w:val="0"/>
            <w:vAlign w:val="center"/>
          </w:tcPr>
          <w:p w14:paraId="2E452C5E">
            <w:pPr>
              <w:pStyle w:val="31"/>
              <w:bidi w:val="0"/>
              <w:rPr>
                <w:rFonts w:hint="default"/>
                <w:color w:val="auto"/>
                <w:u w:val="none" w:color="auto"/>
              </w:rPr>
            </w:pPr>
            <w:r>
              <w:rPr>
                <w:color w:val="auto"/>
                <w:u w:val="none" w:color="auto"/>
              </w:rPr>
              <w:t xml:space="preserve">160kA </w:t>
            </w:r>
            <w:r>
              <w:rPr>
                <w:rFonts w:hint="default"/>
                <w:color w:val="auto"/>
                <w:u w:val="none" w:color="auto"/>
              </w:rPr>
              <w:t>以下预焙阳极铝电解槽</w:t>
            </w:r>
          </w:p>
        </w:tc>
        <w:tc>
          <w:tcPr>
            <w:tcW w:w="2159" w:type="dxa"/>
            <w:gridSpan w:val="2"/>
            <w:vMerge w:val="continue"/>
            <w:tcBorders>
              <w:tl2br w:val="nil"/>
              <w:tr2bl w:val="nil"/>
            </w:tcBorders>
            <w:noWrap w:val="0"/>
            <w:vAlign w:val="center"/>
          </w:tcPr>
          <w:p w14:paraId="4BD1B22A">
            <w:pPr>
              <w:pStyle w:val="31"/>
              <w:bidi w:val="0"/>
              <w:rPr>
                <w:rFonts w:hint="default"/>
                <w:color w:val="auto"/>
                <w:u w:val="none" w:color="auto"/>
              </w:rPr>
            </w:pPr>
          </w:p>
        </w:tc>
      </w:tr>
      <w:tr w14:paraId="6DDC4A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5EACEF7E">
            <w:pPr>
              <w:pStyle w:val="31"/>
              <w:bidi w:val="0"/>
              <w:rPr>
                <w:rFonts w:hint="default"/>
                <w:color w:val="auto"/>
                <w:u w:val="none" w:color="auto"/>
              </w:rPr>
            </w:pPr>
          </w:p>
        </w:tc>
        <w:tc>
          <w:tcPr>
            <w:tcW w:w="525" w:type="dxa"/>
            <w:vMerge w:val="continue"/>
            <w:tcBorders>
              <w:tl2br w:val="nil"/>
              <w:tr2bl w:val="nil"/>
            </w:tcBorders>
            <w:noWrap w:val="0"/>
            <w:vAlign w:val="center"/>
          </w:tcPr>
          <w:p w14:paraId="4FC6AAF8">
            <w:pPr>
              <w:pStyle w:val="31"/>
              <w:bidi w:val="0"/>
              <w:rPr>
                <w:rFonts w:hint="default"/>
                <w:color w:val="auto"/>
                <w:u w:val="none" w:color="auto"/>
              </w:rPr>
            </w:pPr>
          </w:p>
        </w:tc>
        <w:tc>
          <w:tcPr>
            <w:tcW w:w="435" w:type="dxa"/>
            <w:vMerge w:val="continue"/>
            <w:tcBorders>
              <w:tl2br w:val="nil"/>
              <w:tr2bl w:val="nil"/>
            </w:tcBorders>
            <w:noWrap w:val="0"/>
            <w:vAlign w:val="center"/>
          </w:tcPr>
          <w:p w14:paraId="448CAED5">
            <w:pPr>
              <w:pStyle w:val="31"/>
              <w:bidi w:val="0"/>
              <w:rPr>
                <w:rFonts w:hint="default"/>
                <w:color w:val="auto"/>
                <w:u w:val="none" w:color="auto"/>
              </w:rPr>
            </w:pPr>
          </w:p>
        </w:tc>
        <w:tc>
          <w:tcPr>
            <w:tcW w:w="4875" w:type="dxa"/>
            <w:tcBorders>
              <w:tl2br w:val="nil"/>
              <w:tr2bl w:val="nil"/>
            </w:tcBorders>
            <w:noWrap w:val="0"/>
            <w:vAlign w:val="center"/>
          </w:tcPr>
          <w:p w14:paraId="0F2C77FA">
            <w:pPr>
              <w:pStyle w:val="31"/>
              <w:bidi w:val="0"/>
              <w:rPr>
                <w:rFonts w:hint="default"/>
                <w:color w:val="auto"/>
                <w:u w:val="none" w:color="auto"/>
              </w:rPr>
            </w:pPr>
            <w:r>
              <w:rPr>
                <w:color w:val="auto"/>
                <w:u w:val="none" w:color="auto"/>
              </w:rPr>
              <w:t>鼓风炉、电炉、反射炉（再生铜非直接燃煤反射炉除外）炼铜工艺及设备</w:t>
            </w:r>
          </w:p>
        </w:tc>
        <w:tc>
          <w:tcPr>
            <w:tcW w:w="2159" w:type="dxa"/>
            <w:gridSpan w:val="2"/>
            <w:vMerge w:val="continue"/>
            <w:tcBorders>
              <w:tl2br w:val="nil"/>
              <w:tr2bl w:val="nil"/>
            </w:tcBorders>
            <w:noWrap w:val="0"/>
            <w:vAlign w:val="center"/>
          </w:tcPr>
          <w:p w14:paraId="7A76F81A">
            <w:pPr>
              <w:pStyle w:val="31"/>
              <w:bidi w:val="0"/>
              <w:rPr>
                <w:rFonts w:hint="default"/>
                <w:color w:val="auto"/>
                <w:u w:val="none" w:color="auto"/>
              </w:rPr>
            </w:pPr>
          </w:p>
        </w:tc>
      </w:tr>
      <w:tr w14:paraId="680662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10" w:type="dxa"/>
            <w:vMerge w:val="continue"/>
            <w:tcBorders>
              <w:tl2br w:val="nil"/>
              <w:tr2bl w:val="nil"/>
            </w:tcBorders>
            <w:noWrap w:val="0"/>
            <w:vAlign w:val="center"/>
          </w:tcPr>
          <w:p w14:paraId="086A9D82">
            <w:pPr>
              <w:pStyle w:val="31"/>
              <w:bidi w:val="0"/>
              <w:rPr>
                <w:rFonts w:hint="default"/>
                <w:color w:val="auto"/>
                <w:u w:val="none" w:color="auto"/>
              </w:rPr>
            </w:pPr>
          </w:p>
        </w:tc>
        <w:tc>
          <w:tcPr>
            <w:tcW w:w="525" w:type="dxa"/>
            <w:vMerge w:val="continue"/>
            <w:tcBorders>
              <w:tl2br w:val="nil"/>
              <w:tr2bl w:val="nil"/>
            </w:tcBorders>
            <w:noWrap w:val="0"/>
            <w:vAlign w:val="center"/>
          </w:tcPr>
          <w:p w14:paraId="2C0888B7">
            <w:pPr>
              <w:pStyle w:val="31"/>
              <w:bidi w:val="0"/>
              <w:rPr>
                <w:rFonts w:hint="default"/>
                <w:color w:val="auto"/>
                <w:u w:val="none" w:color="auto"/>
              </w:rPr>
            </w:pPr>
          </w:p>
        </w:tc>
        <w:tc>
          <w:tcPr>
            <w:tcW w:w="435" w:type="dxa"/>
            <w:vMerge w:val="continue"/>
            <w:tcBorders>
              <w:tl2br w:val="nil"/>
              <w:tr2bl w:val="nil"/>
            </w:tcBorders>
            <w:noWrap w:val="0"/>
            <w:vAlign w:val="center"/>
          </w:tcPr>
          <w:p w14:paraId="1FFEB76D">
            <w:pPr>
              <w:pStyle w:val="31"/>
              <w:bidi w:val="0"/>
              <w:rPr>
                <w:rFonts w:hint="default"/>
                <w:color w:val="auto"/>
                <w:u w:val="none" w:color="auto"/>
              </w:rPr>
            </w:pPr>
          </w:p>
        </w:tc>
        <w:tc>
          <w:tcPr>
            <w:tcW w:w="4875" w:type="dxa"/>
            <w:tcBorders>
              <w:tl2br w:val="nil"/>
              <w:tr2bl w:val="nil"/>
            </w:tcBorders>
            <w:noWrap w:val="0"/>
            <w:vAlign w:val="center"/>
          </w:tcPr>
          <w:p w14:paraId="7B57E3D6">
            <w:pPr>
              <w:pStyle w:val="31"/>
              <w:bidi w:val="0"/>
              <w:rPr>
                <w:rFonts w:hint="default"/>
                <w:color w:val="auto"/>
                <w:u w:val="none" w:color="auto"/>
              </w:rPr>
            </w:pPr>
            <w:r>
              <w:rPr>
                <w:color w:val="auto"/>
                <w:u w:val="none" w:color="auto"/>
              </w:rPr>
              <w:t>烟气制酸干法净化和热浓酸洗涤技术</w:t>
            </w:r>
          </w:p>
        </w:tc>
        <w:tc>
          <w:tcPr>
            <w:tcW w:w="2159" w:type="dxa"/>
            <w:gridSpan w:val="2"/>
            <w:vMerge w:val="continue"/>
            <w:tcBorders>
              <w:tl2br w:val="nil"/>
              <w:tr2bl w:val="nil"/>
            </w:tcBorders>
            <w:noWrap w:val="0"/>
            <w:vAlign w:val="center"/>
          </w:tcPr>
          <w:p w14:paraId="56994D25">
            <w:pPr>
              <w:pStyle w:val="31"/>
              <w:bidi w:val="0"/>
              <w:rPr>
                <w:rFonts w:hint="default"/>
                <w:color w:val="auto"/>
                <w:u w:val="none" w:color="auto"/>
              </w:rPr>
            </w:pPr>
          </w:p>
        </w:tc>
      </w:tr>
      <w:tr w14:paraId="421260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34BC5468">
            <w:pPr>
              <w:pStyle w:val="31"/>
              <w:bidi w:val="0"/>
              <w:rPr>
                <w:rFonts w:hint="default"/>
                <w:color w:val="auto"/>
                <w:u w:val="none" w:color="auto"/>
              </w:rPr>
            </w:pPr>
          </w:p>
        </w:tc>
        <w:tc>
          <w:tcPr>
            <w:tcW w:w="525" w:type="dxa"/>
            <w:vMerge w:val="continue"/>
            <w:tcBorders>
              <w:tl2br w:val="nil"/>
              <w:tr2bl w:val="nil"/>
            </w:tcBorders>
            <w:noWrap w:val="0"/>
            <w:vAlign w:val="center"/>
          </w:tcPr>
          <w:p w14:paraId="71E32EE3">
            <w:pPr>
              <w:pStyle w:val="31"/>
              <w:bidi w:val="0"/>
              <w:rPr>
                <w:rFonts w:hint="default"/>
                <w:color w:val="auto"/>
                <w:u w:val="none" w:color="auto"/>
              </w:rPr>
            </w:pPr>
          </w:p>
        </w:tc>
        <w:tc>
          <w:tcPr>
            <w:tcW w:w="435" w:type="dxa"/>
            <w:vMerge w:val="continue"/>
            <w:tcBorders>
              <w:tl2br w:val="nil"/>
              <w:tr2bl w:val="nil"/>
            </w:tcBorders>
            <w:noWrap w:val="0"/>
            <w:vAlign w:val="center"/>
          </w:tcPr>
          <w:p w14:paraId="342B5EBD">
            <w:pPr>
              <w:pStyle w:val="31"/>
              <w:bidi w:val="0"/>
              <w:rPr>
                <w:rFonts w:hint="default"/>
                <w:color w:val="auto"/>
                <w:u w:val="none" w:color="auto"/>
              </w:rPr>
            </w:pPr>
          </w:p>
        </w:tc>
        <w:tc>
          <w:tcPr>
            <w:tcW w:w="4875" w:type="dxa"/>
            <w:tcBorders>
              <w:tl2br w:val="nil"/>
              <w:tr2bl w:val="nil"/>
            </w:tcBorders>
            <w:noWrap w:val="0"/>
            <w:vAlign w:val="center"/>
          </w:tcPr>
          <w:p w14:paraId="20795C25">
            <w:pPr>
              <w:pStyle w:val="31"/>
              <w:bidi w:val="0"/>
              <w:rPr>
                <w:rFonts w:hint="default"/>
                <w:color w:val="auto"/>
                <w:u w:val="none" w:color="auto"/>
              </w:rPr>
            </w:pPr>
            <w:r>
              <w:rPr>
                <w:color w:val="auto"/>
                <w:u w:val="none" w:color="auto"/>
              </w:rPr>
              <w:t>采用地坑炉、坩埚炉、赫氏炉等落后方式炼锑</w:t>
            </w:r>
          </w:p>
        </w:tc>
        <w:tc>
          <w:tcPr>
            <w:tcW w:w="2159" w:type="dxa"/>
            <w:gridSpan w:val="2"/>
            <w:vMerge w:val="continue"/>
            <w:tcBorders>
              <w:tl2br w:val="nil"/>
              <w:tr2bl w:val="nil"/>
            </w:tcBorders>
            <w:noWrap w:val="0"/>
            <w:vAlign w:val="center"/>
          </w:tcPr>
          <w:p w14:paraId="29B81E88">
            <w:pPr>
              <w:pStyle w:val="31"/>
              <w:bidi w:val="0"/>
              <w:rPr>
                <w:rFonts w:hint="default"/>
                <w:color w:val="auto"/>
                <w:u w:val="none" w:color="auto"/>
              </w:rPr>
            </w:pPr>
          </w:p>
        </w:tc>
      </w:tr>
      <w:tr w14:paraId="02BC3ED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10" w:type="dxa"/>
            <w:vMerge w:val="continue"/>
            <w:tcBorders>
              <w:tl2br w:val="nil"/>
              <w:tr2bl w:val="nil"/>
            </w:tcBorders>
            <w:noWrap w:val="0"/>
            <w:vAlign w:val="center"/>
          </w:tcPr>
          <w:p w14:paraId="2F74FB9E">
            <w:pPr>
              <w:pStyle w:val="31"/>
              <w:bidi w:val="0"/>
              <w:rPr>
                <w:rFonts w:hint="default"/>
                <w:color w:val="auto"/>
                <w:u w:val="none" w:color="auto"/>
              </w:rPr>
            </w:pPr>
          </w:p>
        </w:tc>
        <w:tc>
          <w:tcPr>
            <w:tcW w:w="525" w:type="dxa"/>
            <w:vMerge w:val="continue"/>
            <w:tcBorders>
              <w:tl2br w:val="nil"/>
              <w:tr2bl w:val="nil"/>
            </w:tcBorders>
            <w:noWrap w:val="0"/>
            <w:vAlign w:val="center"/>
          </w:tcPr>
          <w:p w14:paraId="7D10E43C">
            <w:pPr>
              <w:pStyle w:val="31"/>
              <w:bidi w:val="0"/>
              <w:rPr>
                <w:rFonts w:hint="default"/>
                <w:color w:val="auto"/>
                <w:u w:val="none" w:color="auto"/>
              </w:rPr>
            </w:pPr>
          </w:p>
        </w:tc>
        <w:tc>
          <w:tcPr>
            <w:tcW w:w="435" w:type="dxa"/>
            <w:vMerge w:val="continue"/>
            <w:tcBorders>
              <w:tl2br w:val="nil"/>
              <w:tr2bl w:val="nil"/>
            </w:tcBorders>
            <w:noWrap w:val="0"/>
            <w:vAlign w:val="center"/>
          </w:tcPr>
          <w:p w14:paraId="4AAFAE23">
            <w:pPr>
              <w:pStyle w:val="31"/>
              <w:bidi w:val="0"/>
              <w:rPr>
                <w:rFonts w:hint="default"/>
                <w:color w:val="auto"/>
                <w:u w:val="none" w:color="auto"/>
              </w:rPr>
            </w:pPr>
          </w:p>
        </w:tc>
        <w:tc>
          <w:tcPr>
            <w:tcW w:w="4875" w:type="dxa"/>
            <w:tcBorders>
              <w:tl2br w:val="nil"/>
              <w:tr2bl w:val="nil"/>
            </w:tcBorders>
            <w:noWrap w:val="0"/>
            <w:vAlign w:val="center"/>
          </w:tcPr>
          <w:p w14:paraId="00963CAE">
            <w:pPr>
              <w:pStyle w:val="31"/>
              <w:bidi w:val="0"/>
              <w:rPr>
                <w:rFonts w:hint="default"/>
                <w:color w:val="auto"/>
                <w:u w:val="none" w:color="auto"/>
              </w:rPr>
            </w:pPr>
            <w:r>
              <w:rPr>
                <w:color w:val="auto"/>
                <w:u w:val="none" w:color="auto"/>
              </w:rPr>
              <w:t>利用坩埚炉熔炼再生铝合金、再生铅的工艺及设备</w:t>
            </w:r>
          </w:p>
        </w:tc>
        <w:tc>
          <w:tcPr>
            <w:tcW w:w="2159" w:type="dxa"/>
            <w:gridSpan w:val="2"/>
            <w:vMerge w:val="continue"/>
            <w:tcBorders>
              <w:tl2br w:val="nil"/>
              <w:tr2bl w:val="nil"/>
            </w:tcBorders>
            <w:noWrap w:val="0"/>
            <w:vAlign w:val="center"/>
          </w:tcPr>
          <w:p w14:paraId="770C15DB">
            <w:pPr>
              <w:pStyle w:val="31"/>
              <w:bidi w:val="0"/>
              <w:rPr>
                <w:rFonts w:hint="default"/>
                <w:color w:val="auto"/>
                <w:u w:val="none" w:color="auto"/>
              </w:rPr>
            </w:pPr>
          </w:p>
        </w:tc>
      </w:tr>
      <w:tr w14:paraId="1AD6D0B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10" w:type="dxa"/>
            <w:vMerge w:val="continue"/>
            <w:tcBorders>
              <w:tl2br w:val="nil"/>
              <w:tr2bl w:val="nil"/>
            </w:tcBorders>
            <w:noWrap w:val="0"/>
            <w:vAlign w:val="center"/>
          </w:tcPr>
          <w:p w14:paraId="077966CC">
            <w:pPr>
              <w:pStyle w:val="31"/>
              <w:bidi w:val="0"/>
              <w:rPr>
                <w:rFonts w:hint="default"/>
                <w:color w:val="auto"/>
                <w:u w:val="none" w:color="auto"/>
              </w:rPr>
            </w:pPr>
          </w:p>
        </w:tc>
        <w:tc>
          <w:tcPr>
            <w:tcW w:w="525" w:type="dxa"/>
            <w:vMerge w:val="continue"/>
            <w:tcBorders>
              <w:tl2br w:val="nil"/>
              <w:tr2bl w:val="nil"/>
            </w:tcBorders>
            <w:noWrap w:val="0"/>
            <w:vAlign w:val="center"/>
          </w:tcPr>
          <w:p w14:paraId="4A9989B1">
            <w:pPr>
              <w:pStyle w:val="31"/>
              <w:bidi w:val="0"/>
              <w:rPr>
                <w:rFonts w:hint="default"/>
                <w:color w:val="auto"/>
                <w:u w:val="none" w:color="auto"/>
              </w:rPr>
            </w:pPr>
          </w:p>
        </w:tc>
        <w:tc>
          <w:tcPr>
            <w:tcW w:w="435" w:type="dxa"/>
            <w:vMerge w:val="continue"/>
            <w:tcBorders>
              <w:tl2br w:val="nil"/>
              <w:tr2bl w:val="nil"/>
            </w:tcBorders>
            <w:noWrap w:val="0"/>
            <w:vAlign w:val="center"/>
          </w:tcPr>
          <w:p w14:paraId="32A4C8F4">
            <w:pPr>
              <w:pStyle w:val="31"/>
              <w:bidi w:val="0"/>
              <w:rPr>
                <w:rFonts w:hint="default"/>
                <w:color w:val="auto"/>
                <w:u w:val="none" w:color="auto"/>
              </w:rPr>
            </w:pPr>
          </w:p>
        </w:tc>
        <w:tc>
          <w:tcPr>
            <w:tcW w:w="4875" w:type="dxa"/>
            <w:tcBorders>
              <w:tl2br w:val="nil"/>
              <w:tr2bl w:val="nil"/>
            </w:tcBorders>
            <w:noWrap w:val="0"/>
            <w:vAlign w:val="center"/>
          </w:tcPr>
          <w:p w14:paraId="1DF9D510">
            <w:pPr>
              <w:pStyle w:val="31"/>
              <w:bidi w:val="0"/>
              <w:rPr>
                <w:rFonts w:hint="default"/>
                <w:color w:val="auto"/>
                <w:u w:val="none" w:color="auto"/>
              </w:rPr>
            </w:pPr>
            <w:r>
              <w:rPr>
                <w:color w:val="auto"/>
                <w:u w:val="none" w:color="auto"/>
              </w:rPr>
              <w:t>再生有色金属生产中采用直接燃煤的反射炉项目</w:t>
            </w:r>
          </w:p>
        </w:tc>
        <w:tc>
          <w:tcPr>
            <w:tcW w:w="2159" w:type="dxa"/>
            <w:gridSpan w:val="2"/>
            <w:vMerge w:val="continue"/>
            <w:tcBorders>
              <w:tl2br w:val="nil"/>
              <w:tr2bl w:val="nil"/>
            </w:tcBorders>
            <w:noWrap w:val="0"/>
            <w:vAlign w:val="center"/>
          </w:tcPr>
          <w:p w14:paraId="5A00DA9F">
            <w:pPr>
              <w:pStyle w:val="31"/>
              <w:bidi w:val="0"/>
              <w:rPr>
                <w:rFonts w:hint="default"/>
                <w:color w:val="auto"/>
                <w:u w:val="none" w:color="auto"/>
              </w:rPr>
            </w:pPr>
          </w:p>
        </w:tc>
      </w:tr>
      <w:tr w14:paraId="138E79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10" w:type="dxa"/>
            <w:vMerge w:val="continue"/>
            <w:tcBorders>
              <w:tl2br w:val="nil"/>
              <w:tr2bl w:val="nil"/>
            </w:tcBorders>
            <w:noWrap w:val="0"/>
            <w:vAlign w:val="center"/>
          </w:tcPr>
          <w:p w14:paraId="2EFB661A">
            <w:pPr>
              <w:pStyle w:val="31"/>
              <w:bidi w:val="0"/>
              <w:rPr>
                <w:rFonts w:hint="default"/>
                <w:color w:val="auto"/>
                <w:u w:val="none" w:color="auto"/>
              </w:rPr>
            </w:pPr>
          </w:p>
        </w:tc>
        <w:tc>
          <w:tcPr>
            <w:tcW w:w="525" w:type="dxa"/>
            <w:vMerge w:val="continue"/>
            <w:tcBorders>
              <w:tl2br w:val="nil"/>
              <w:tr2bl w:val="nil"/>
            </w:tcBorders>
            <w:noWrap w:val="0"/>
            <w:vAlign w:val="center"/>
          </w:tcPr>
          <w:p w14:paraId="663047E6">
            <w:pPr>
              <w:pStyle w:val="31"/>
              <w:bidi w:val="0"/>
              <w:rPr>
                <w:rFonts w:hint="default"/>
                <w:color w:val="auto"/>
                <w:u w:val="none" w:color="auto"/>
              </w:rPr>
            </w:pPr>
          </w:p>
        </w:tc>
        <w:tc>
          <w:tcPr>
            <w:tcW w:w="435" w:type="dxa"/>
            <w:vMerge w:val="continue"/>
            <w:tcBorders>
              <w:tl2br w:val="nil"/>
              <w:tr2bl w:val="nil"/>
            </w:tcBorders>
            <w:noWrap w:val="0"/>
            <w:vAlign w:val="center"/>
          </w:tcPr>
          <w:p w14:paraId="26D6B055">
            <w:pPr>
              <w:pStyle w:val="31"/>
              <w:bidi w:val="0"/>
              <w:rPr>
                <w:rFonts w:hint="default"/>
                <w:color w:val="auto"/>
                <w:u w:val="none" w:color="auto"/>
              </w:rPr>
            </w:pPr>
          </w:p>
        </w:tc>
        <w:tc>
          <w:tcPr>
            <w:tcW w:w="4875" w:type="dxa"/>
            <w:tcBorders>
              <w:tl2br w:val="nil"/>
              <w:tr2bl w:val="nil"/>
            </w:tcBorders>
            <w:noWrap w:val="0"/>
            <w:vAlign w:val="center"/>
          </w:tcPr>
          <w:p w14:paraId="5080C4FA">
            <w:pPr>
              <w:pStyle w:val="31"/>
              <w:bidi w:val="0"/>
              <w:rPr>
                <w:rFonts w:hint="default"/>
                <w:color w:val="auto"/>
                <w:u w:val="none" w:color="auto"/>
              </w:rPr>
            </w:pPr>
            <w:r>
              <w:rPr>
                <w:color w:val="auto"/>
                <w:u w:val="none" w:color="auto"/>
              </w:rPr>
              <w:t>铜线杆（黑杆）生产工艺</w:t>
            </w:r>
          </w:p>
        </w:tc>
        <w:tc>
          <w:tcPr>
            <w:tcW w:w="2159" w:type="dxa"/>
            <w:gridSpan w:val="2"/>
            <w:vMerge w:val="continue"/>
            <w:tcBorders>
              <w:tl2br w:val="nil"/>
              <w:tr2bl w:val="nil"/>
            </w:tcBorders>
            <w:noWrap w:val="0"/>
            <w:vAlign w:val="center"/>
          </w:tcPr>
          <w:p w14:paraId="479071C4">
            <w:pPr>
              <w:pStyle w:val="31"/>
              <w:bidi w:val="0"/>
              <w:rPr>
                <w:rFonts w:hint="default"/>
                <w:color w:val="auto"/>
                <w:u w:val="none" w:color="auto"/>
              </w:rPr>
            </w:pPr>
          </w:p>
        </w:tc>
      </w:tr>
      <w:tr w14:paraId="352A90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1C3DCB7E">
            <w:pPr>
              <w:pStyle w:val="31"/>
              <w:bidi w:val="0"/>
              <w:rPr>
                <w:rFonts w:hint="default"/>
                <w:color w:val="auto"/>
                <w:u w:val="none" w:color="auto"/>
              </w:rPr>
            </w:pPr>
          </w:p>
        </w:tc>
        <w:tc>
          <w:tcPr>
            <w:tcW w:w="525" w:type="dxa"/>
            <w:vMerge w:val="continue"/>
            <w:tcBorders>
              <w:tl2br w:val="nil"/>
              <w:tr2bl w:val="nil"/>
            </w:tcBorders>
            <w:noWrap w:val="0"/>
            <w:vAlign w:val="center"/>
          </w:tcPr>
          <w:p w14:paraId="5FE27A22">
            <w:pPr>
              <w:pStyle w:val="31"/>
              <w:bidi w:val="0"/>
              <w:rPr>
                <w:rFonts w:hint="default"/>
                <w:color w:val="auto"/>
                <w:u w:val="none" w:color="auto"/>
              </w:rPr>
            </w:pPr>
          </w:p>
        </w:tc>
        <w:tc>
          <w:tcPr>
            <w:tcW w:w="435" w:type="dxa"/>
            <w:vMerge w:val="continue"/>
            <w:tcBorders>
              <w:tl2br w:val="nil"/>
              <w:tr2bl w:val="nil"/>
            </w:tcBorders>
            <w:noWrap w:val="0"/>
            <w:vAlign w:val="center"/>
          </w:tcPr>
          <w:p w14:paraId="1FCCD491">
            <w:pPr>
              <w:pStyle w:val="31"/>
              <w:bidi w:val="0"/>
              <w:rPr>
                <w:rFonts w:hint="default"/>
                <w:color w:val="auto"/>
                <w:u w:val="none" w:color="auto"/>
              </w:rPr>
            </w:pPr>
          </w:p>
        </w:tc>
        <w:tc>
          <w:tcPr>
            <w:tcW w:w="4875" w:type="dxa"/>
            <w:tcBorders>
              <w:tl2br w:val="nil"/>
              <w:tr2bl w:val="nil"/>
            </w:tcBorders>
            <w:noWrap w:val="0"/>
            <w:vAlign w:val="center"/>
          </w:tcPr>
          <w:p w14:paraId="7F39DB25">
            <w:pPr>
              <w:pStyle w:val="31"/>
              <w:bidi w:val="0"/>
              <w:rPr>
                <w:rFonts w:hint="default"/>
                <w:color w:val="auto"/>
                <w:u w:val="none" w:color="auto"/>
              </w:rPr>
            </w:pPr>
            <w:r>
              <w:rPr>
                <w:color w:val="auto"/>
                <w:u w:val="none" w:color="auto"/>
              </w:rPr>
              <w:t>无烟气治理措施的再生铜焚烧工艺及设备</w:t>
            </w:r>
          </w:p>
        </w:tc>
        <w:tc>
          <w:tcPr>
            <w:tcW w:w="2159" w:type="dxa"/>
            <w:gridSpan w:val="2"/>
            <w:vMerge w:val="continue"/>
            <w:tcBorders>
              <w:tl2br w:val="nil"/>
              <w:tr2bl w:val="nil"/>
            </w:tcBorders>
            <w:noWrap w:val="0"/>
            <w:vAlign w:val="center"/>
          </w:tcPr>
          <w:p w14:paraId="2C7F018B">
            <w:pPr>
              <w:pStyle w:val="31"/>
              <w:bidi w:val="0"/>
              <w:rPr>
                <w:rFonts w:hint="default"/>
                <w:color w:val="auto"/>
                <w:u w:val="none" w:color="auto"/>
              </w:rPr>
            </w:pPr>
          </w:p>
        </w:tc>
      </w:tr>
      <w:tr w14:paraId="28A6F7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10" w:type="dxa"/>
            <w:vMerge w:val="continue"/>
            <w:tcBorders>
              <w:tl2br w:val="nil"/>
              <w:tr2bl w:val="nil"/>
            </w:tcBorders>
            <w:noWrap w:val="0"/>
            <w:vAlign w:val="center"/>
          </w:tcPr>
          <w:p w14:paraId="2292856B">
            <w:pPr>
              <w:pStyle w:val="31"/>
              <w:bidi w:val="0"/>
              <w:rPr>
                <w:rFonts w:hint="default"/>
                <w:color w:val="auto"/>
                <w:u w:val="none" w:color="auto"/>
              </w:rPr>
            </w:pPr>
          </w:p>
        </w:tc>
        <w:tc>
          <w:tcPr>
            <w:tcW w:w="525" w:type="dxa"/>
            <w:vMerge w:val="continue"/>
            <w:tcBorders>
              <w:tl2br w:val="nil"/>
              <w:tr2bl w:val="nil"/>
            </w:tcBorders>
            <w:noWrap w:val="0"/>
            <w:vAlign w:val="center"/>
          </w:tcPr>
          <w:p w14:paraId="679201F3">
            <w:pPr>
              <w:pStyle w:val="31"/>
              <w:bidi w:val="0"/>
              <w:rPr>
                <w:rFonts w:hint="default"/>
                <w:color w:val="auto"/>
                <w:u w:val="none" w:color="auto"/>
              </w:rPr>
            </w:pPr>
          </w:p>
        </w:tc>
        <w:tc>
          <w:tcPr>
            <w:tcW w:w="435" w:type="dxa"/>
            <w:vMerge w:val="continue"/>
            <w:tcBorders>
              <w:tl2br w:val="nil"/>
              <w:tr2bl w:val="nil"/>
            </w:tcBorders>
            <w:noWrap w:val="0"/>
            <w:vAlign w:val="center"/>
          </w:tcPr>
          <w:p w14:paraId="22A32CB3">
            <w:pPr>
              <w:pStyle w:val="31"/>
              <w:bidi w:val="0"/>
              <w:rPr>
                <w:rFonts w:hint="default"/>
                <w:color w:val="auto"/>
                <w:u w:val="none" w:color="auto"/>
              </w:rPr>
            </w:pPr>
          </w:p>
        </w:tc>
        <w:tc>
          <w:tcPr>
            <w:tcW w:w="4875" w:type="dxa"/>
            <w:tcBorders>
              <w:tl2br w:val="nil"/>
              <w:tr2bl w:val="nil"/>
            </w:tcBorders>
            <w:noWrap w:val="0"/>
            <w:vAlign w:val="center"/>
          </w:tcPr>
          <w:p w14:paraId="39955678">
            <w:pPr>
              <w:pStyle w:val="31"/>
              <w:bidi w:val="0"/>
              <w:rPr>
                <w:rFonts w:hint="default"/>
                <w:color w:val="auto"/>
                <w:u w:val="none" w:color="auto"/>
              </w:rPr>
            </w:pPr>
            <w:r>
              <w:rPr>
                <w:color w:val="auto"/>
                <w:u w:val="none" w:color="auto"/>
              </w:rPr>
              <w:t>50吨以下传统固定式反射炉再生铜生产工艺及设备</w:t>
            </w:r>
          </w:p>
        </w:tc>
        <w:tc>
          <w:tcPr>
            <w:tcW w:w="2159" w:type="dxa"/>
            <w:gridSpan w:val="2"/>
            <w:vMerge w:val="continue"/>
            <w:tcBorders>
              <w:tl2br w:val="nil"/>
              <w:tr2bl w:val="nil"/>
            </w:tcBorders>
            <w:noWrap w:val="0"/>
            <w:vAlign w:val="center"/>
          </w:tcPr>
          <w:p w14:paraId="7BCF9257">
            <w:pPr>
              <w:pStyle w:val="31"/>
              <w:bidi w:val="0"/>
              <w:rPr>
                <w:rFonts w:hint="default"/>
                <w:color w:val="auto"/>
                <w:u w:val="none" w:color="auto"/>
              </w:rPr>
            </w:pPr>
          </w:p>
        </w:tc>
      </w:tr>
      <w:tr w14:paraId="2808D4B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47E62267">
            <w:pPr>
              <w:pStyle w:val="31"/>
              <w:bidi w:val="0"/>
              <w:rPr>
                <w:rFonts w:hint="default"/>
                <w:color w:val="auto"/>
                <w:u w:val="none" w:color="auto"/>
              </w:rPr>
            </w:pPr>
          </w:p>
        </w:tc>
        <w:tc>
          <w:tcPr>
            <w:tcW w:w="525" w:type="dxa"/>
            <w:vMerge w:val="continue"/>
            <w:tcBorders>
              <w:tl2br w:val="nil"/>
              <w:tr2bl w:val="nil"/>
            </w:tcBorders>
            <w:noWrap w:val="0"/>
            <w:vAlign w:val="center"/>
          </w:tcPr>
          <w:p w14:paraId="101C57F5">
            <w:pPr>
              <w:pStyle w:val="31"/>
              <w:bidi w:val="0"/>
              <w:rPr>
                <w:rFonts w:hint="default"/>
                <w:color w:val="auto"/>
                <w:u w:val="none" w:color="auto"/>
              </w:rPr>
            </w:pPr>
          </w:p>
        </w:tc>
        <w:tc>
          <w:tcPr>
            <w:tcW w:w="435" w:type="dxa"/>
            <w:vMerge w:val="continue"/>
            <w:tcBorders>
              <w:tl2br w:val="nil"/>
              <w:tr2bl w:val="nil"/>
            </w:tcBorders>
            <w:noWrap w:val="0"/>
            <w:vAlign w:val="center"/>
          </w:tcPr>
          <w:p w14:paraId="12330C23">
            <w:pPr>
              <w:pStyle w:val="31"/>
              <w:bidi w:val="0"/>
              <w:rPr>
                <w:rFonts w:hint="default"/>
                <w:color w:val="auto"/>
                <w:u w:val="none" w:color="auto"/>
              </w:rPr>
            </w:pPr>
          </w:p>
        </w:tc>
        <w:tc>
          <w:tcPr>
            <w:tcW w:w="4875" w:type="dxa"/>
            <w:tcBorders>
              <w:tl2br w:val="nil"/>
              <w:tr2bl w:val="nil"/>
            </w:tcBorders>
            <w:noWrap w:val="0"/>
            <w:vAlign w:val="center"/>
          </w:tcPr>
          <w:p w14:paraId="1B6AD6BC">
            <w:pPr>
              <w:pStyle w:val="31"/>
              <w:bidi w:val="0"/>
              <w:rPr>
                <w:rFonts w:hint="default"/>
                <w:color w:val="auto"/>
                <w:u w:val="none" w:color="auto"/>
              </w:rPr>
            </w:pPr>
            <w:r>
              <w:rPr>
                <w:color w:val="auto"/>
                <w:u w:val="none" w:color="auto"/>
              </w:rPr>
              <w:t>15吨以下再生铝用熔炼炉</w:t>
            </w:r>
          </w:p>
        </w:tc>
        <w:tc>
          <w:tcPr>
            <w:tcW w:w="2159" w:type="dxa"/>
            <w:gridSpan w:val="2"/>
            <w:vMerge w:val="continue"/>
            <w:tcBorders>
              <w:tl2br w:val="nil"/>
              <w:tr2bl w:val="nil"/>
            </w:tcBorders>
            <w:noWrap w:val="0"/>
            <w:vAlign w:val="center"/>
          </w:tcPr>
          <w:p w14:paraId="3F938275">
            <w:pPr>
              <w:pStyle w:val="31"/>
              <w:bidi w:val="0"/>
              <w:rPr>
                <w:rFonts w:hint="default"/>
                <w:color w:val="auto"/>
                <w:u w:val="none" w:color="auto"/>
              </w:rPr>
            </w:pPr>
          </w:p>
        </w:tc>
      </w:tr>
      <w:tr w14:paraId="7C0E4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122A2E50">
            <w:pPr>
              <w:pStyle w:val="31"/>
              <w:bidi w:val="0"/>
              <w:rPr>
                <w:rFonts w:hint="default"/>
                <w:color w:val="auto"/>
                <w:u w:val="none" w:color="auto"/>
              </w:rPr>
            </w:pPr>
          </w:p>
        </w:tc>
        <w:tc>
          <w:tcPr>
            <w:tcW w:w="525" w:type="dxa"/>
            <w:vMerge w:val="continue"/>
            <w:tcBorders>
              <w:tl2br w:val="nil"/>
              <w:tr2bl w:val="nil"/>
            </w:tcBorders>
            <w:noWrap w:val="0"/>
            <w:vAlign w:val="center"/>
          </w:tcPr>
          <w:p w14:paraId="0C08FB4A">
            <w:pPr>
              <w:pStyle w:val="31"/>
              <w:bidi w:val="0"/>
              <w:rPr>
                <w:rFonts w:hint="default"/>
                <w:color w:val="auto"/>
                <w:u w:val="none" w:color="auto"/>
              </w:rPr>
            </w:pPr>
          </w:p>
        </w:tc>
        <w:tc>
          <w:tcPr>
            <w:tcW w:w="435" w:type="dxa"/>
            <w:vMerge w:val="continue"/>
            <w:tcBorders>
              <w:tl2br w:val="nil"/>
              <w:tr2bl w:val="nil"/>
            </w:tcBorders>
            <w:noWrap w:val="0"/>
            <w:vAlign w:val="center"/>
          </w:tcPr>
          <w:p w14:paraId="075FD028">
            <w:pPr>
              <w:pStyle w:val="31"/>
              <w:bidi w:val="0"/>
              <w:rPr>
                <w:rFonts w:hint="default"/>
                <w:color w:val="auto"/>
                <w:u w:val="none" w:color="auto"/>
              </w:rPr>
            </w:pPr>
          </w:p>
        </w:tc>
        <w:tc>
          <w:tcPr>
            <w:tcW w:w="4875" w:type="dxa"/>
            <w:tcBorders>
              <w:tl2br w:val="nil"/>
              <w:tr2bl w:val="nil"/>
            </w:tcBorders>
            <w:noWrap w:val="0"/>
            <w:vAlign w:val="center"/>
          </w:tcPr>
          <w:p w14:paraId="56801FCD">
            <w:pPr>
              <w:pStyle w:val="31"/>
              <w:bidi w:val="0"/>
              <w:rPr>
                <w:rFonts w:hint="default"/>
                <w:color w:val="auto"/>
                <w:u w:val="none" w:color="auto"/>
              </w:rPr>
            </w:pPr>
            <w:r>
              <w:rPr>
                <w:color w:val="auto"/>
                <w:u w:val="none" w:color="auto"/>
              </w:rPr>
              <w:t>以医疗废物为原料制造塑料制品</w:t>
            </w:r>
          </w:p>
        </w:tc>
        <w:tc>
          <w:tcPr>
            <w:tcW w:w="2159" w:type="dxa"/>
            <w:gridSpan w:val="2"/>
            <w:vMerge w:val="continue"/>
            <w:tcBorders>
              <w:tl2br w:val="nil"/>
              <w:tr2bl w:val="nil"/>
            </w:tcBorders>
            <w:noWrap w:val="0"/>
            <w:vAlign w:val="center"/>
          </w:tcPr>
          <w:p w14:paraId="71E46210">
            <w:pPr>
              <w:pStyle w:val="31"/>
              <w:bidi w:val="0"/>
              <w:rPr>
                <w:rFonts w:hint="default"/>
                <w:color w:val="auto"/>
                <w:u w:val="none" w:color="auto"/>
              </w:rPr>
            </w:pPr>
          </w:p>
        </w:tc>
      </w:tr>
      <w:tr w14:paraId="75C58FB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3C35A73D">
            <w:pPr>
              <w:pStyle w:val="31"/>
              <w:bidi w:val="0"/>
              <w:rPr>
                <w:rFonts w:hint="default"/>
                <w:color w:val="auto"/>
                <w:u w:val="none" w:color="auto"/>
              </w:rPr>
            </w:pPr>
          </w:p>
        </w:tc>
        <w:tc>
          <w:tcPr>
            <w:tcW w:w="525" w:type="dxa"/>
            <w:vMerge w:val="continue"/>
            <w:tcBorders>
              <w:tl2br w:val="nil"/>
              <w:tr2bl w:val="nil"/>
            </w:tcBorders>
            <w:noWrap w:val="0"/>
            <w:vAlign w:val="center"/>
          </w:tcPr>
          <w:p w14:paraId="7B79E92C">
            <w:pPr>
              <w:pStyle w:val="31"/>
              <w:bidi w:val="0"/>
              <w:rPr>
                <w:rFonts w:hint="default"/>
                <w:color w:val="auto"/>
                <w:u w:val="none" w:color="auto"/>
              </w:rPr>
            </w:pPr>
          </w:p>
        </w:tc>
        <w:tc>
          <w:tcPr>
            <w:tcW w:w="435" w:type="dxa"/>
            <w:vMerge w:val="continue"/>
            <w:tcBorders>
              <w:tl2br w:val="nil"/>
              <w:tr2bl w:val="nil"/>
            </w:tcBorders>
            <w:noWrap w:val="0"/>
            <w:vAlign w:val="center"/>
          </w:tcPr>
          <w:p w14:paraId="4FEAFE74">
            <w:pPr>
              <w:pStyle w:val="31"/>
              <w:bidi w:val="0"/>
              <w:rPr>
                <w:rFonts w:hint="default"/>
                <w:color w:val="auto"/>
                <w:u w:val="none" w:color="auto"/>
              </w:rPr>
            </w:pPr>
          </w:p>
        </w:tc>
        <w:tc>
          <w:tcPr>
            <w:tcW w:w="4875" w:type="dxa"/>
            <w:tcBorders>
              <w:tl2br w:val="nil"/>
              <w:tr2bl w:val="nil"/>
            </w:tcBorders>
            <w:noWrap w:val="0"/>
            <w:vAlign w:val="center"/>
          </w:tcPr>
          <w:p w14:paraId="50C91811">
            <w:pPr>
              <w:pStyle w:val="31"/>
              <w:bidi w:val="0"/>
              <w:rPr>
                <w:rFonts w:hint="default"/>
                <w:color w:val="auto"/>
                <w:u w:val="none" w:color="auto"/>
              </w:rPr>
            </w:pPr>
            <w:r>
              <w:rPr>
                <w:color w:val="auto"/>
                <w:u w:val="none" w:color="auto"/>
              </w:rPr>
              <w:t>铜线杆（黑杆）</w:t>
            </w:r>
          </w:p>
        </w:tc>
        <w:tc>
          <w:tcPr>
            <w:tcW w:w="2159" w:type="dxa"/>
            <w:gridSpan w:val="2"/>
            <w:vMerge w:val="continue"/>
            <w:tcBorders>
              <w:tl2br w:val="nil"/>
              <w:tr2bl w:val="nil"/>
            </w:tcBorders>
            <w:noWrap w:val="0"/>
            <w:vAlign w:val="center"/>
          </w:tcPr>
          <w:p w14:paraId="43C52635">
            <w:pPr>
              <w:pStyle w:val="31"/>
              <w:bidi w:val="0"/>
              <w:rPr>
                <w:rFonts w:hint="default"/>
                <w:color w:val="auto"/>
                <w:u w:val="none" w:color="auto"/>
              </w:rPr>
            </w:pPr>
          </w:p>
        </w:tc>
      </w:tr>
      <w:tr w14:paraId="26F1A93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40" w:hRule="atLeast"/>
          <w:jc w:val="center"/>
        </w:trPr>
        <w:tc>
          <w:tcPr>
            <w:tcW w:w="510" w:type="dxa"/>
            <w:vMerge w:val="continue"/>
            <w:tcBorders>
              <w:tl2br w:val="nil"/>
              <w:tr2bl w:val="nil"/>
            </w:tcBorders>
            <w:noWrap w:val="0"/>
            <w:vAlign w:val="center"/>
          </w:tcPr>
          <w:p w14:paraId="7A291584">
            <w:pPr>
              <w:pStyle w:val="31"/>
              <w:bidi w:val="0"/>
              <w:rPr>
                <w:rFonts w:hint="default"/>
                <w:color w:val="auto"/>
                <w:u w:val="none" w:color="auto"/>
              </w:rPr>
            </w:pPr>
          </w:p>
        </w:tc>
        <w:tc>
          <w:tcPr>
            <w:tcW w:w="525" w:type="dxa"/>
            <w:vMerge w:val="continue"/>
            <w:tcBorders>
              <w:tl2br w:val="nil"/>
              <w:tr2bl w:val="nil"/>
            </w:tcBorders>
            <w:noWrap w:val="0"/>
            <w:vAlign w:val="center"/>
          </w:tcPr>
          <w:p w14:paraId="4D3D3B75">
            <w:pPr>
              <w:pStyle w:val="31"/>
              <w:bidi w:val="0"/>
              <w:rPr>
                <w:rFonts w:hint="default"/>
                <w:color w:val="auto"/>
                <w:u w:val="none" w:color="auto"/>
              </w:rPr>
            </w:pPr>
          </w:p>
        </w:tc>
        <w:tc>
          <w:tcPr>
            <w:tcW w:w="435" w:type="dxa"/>
            <w:vMerge w:val="continue"/>
            <w:tcBorders>
              <w:tl2br w:val="nil"/>
              <w:tr2bl w:val="nil"/>
            </w:tcBorders>
            <w:noWrap w:val="0"/>
            <w:vAlign w:val="center"/>
          </w:tcPr>
          <w:p w14:paraId="39DF5EF0">
            <w:pPr>
              <w:pStyle w:val="31"/>
              <w:bidi w:val="0"/>
              <w:rPr>
                <w:rFonts w:hint="default"/>
                <w:color w:val="auto"/>
                <w:u w:val="none" w:color="auto"/>
              </w:rPr>
            </w:pPr>
          </w:p>
        </w:tc>
        <w:tc>
          <w:tcPr>
            <w:tcW w:w="4875" w:type="dxa"/>
            <w:tcBorders>
              <w:tl2br w:val="nil"/>
              <w:tr2bl w:val="nil"/>
            </w:tcBorders>
            <w:noWrap w:val="0"/>
            <w:vAlign w:val="center"/>
          </w:tcPr>
          <w:p w14:paraId="2BAFB569">
            <w:pPr>
              <w:pStyle w:val="31"/>
              <w:bidi w:val="0"/>
              <w:rPr>
                <w:rFonts w:hint="default"/>
                <w:color w:val="auto"/>
                <w:u w:val="none" w:color="auto"/>
              </w:rPr>
            </w:pPr>
            <w:r>
              <w:rPr>
                <w:color w:val="auto"/>
                <w:u w:val="none" w:color="auto"/>
              </w:rPr>
              <w:t>以焦炭为燃料的有色金属熔炼炉</w:t>
            </w:r>
          </w:p>
        </w:tc>
        <w:tc>
          <w:tcPr>
            <w:tcW w:w="2159" w:type="dxa"/>
            <w:gridSpan w:val="2"/>
            <w:vMerge w:val="continue"/>
            <w:tcBorders>
              <w:tl2br w:val="nil"/>
              <w:tr2bl w:val="nil"/>
            </w:tcBorders>
            <w:noWrap w:val="0"/>
            <w:vAlign w:val="center"/>
          </w:tcPr>
          <w:p w14:paraId="48EAA49D">
            <w:pPr>
              <w:pStyle w:val="31"/>
              <w:bidi w:val="0"/>
              <w:rPr>
                <w:rFonts w:hint="default"/>
                <w:color w:val="auto"/>
                <w:u w:val="none" w:color="auto"/>
              </w:rPr>
            </w:pPr>
          </w:p>
        </w:tc>
      </w:tr>
      <w:tr w14:paraId="626D1CF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21601874">
            <w:pPr>
              <w:pStyle w:val="31"/>
              <w:bidi w:val="0"/>
              <w:rPr>
                <w:rFonts w:hint="default"/>
                <w:color w:val="auto"/>
                <w:u w:val="none" w:color="auto"/>
              </w:rPr>
            </w:pPr>
          </w:p>
        </w:tc>
        <w:tc>
          <w:tcPr>
            <w:tcW w:w="525" w:type="dxa"/>
            <w:vMerge w:val="continue"/>
            <w:tcBorders>
              <w:tl2br w:val="nil"/>
              <w:tr2bl w:val="nil"/>
            </w:tcBorders>
            <w:noWrap w:val="0"/>
            <w:vAlign w:val="center"/>
          </w:tcPr>
          <w:p w14:paraId="3F39B388">
            <w:pPr>
              <w:pStyle w:val="31"/>
              <w:bidi w:val="0"/>
              <w:rPr>
                <w:rFonts w:hint="default"/>
                <w:color w:val="auto"/>
                <w:u w:val="none" w:color="auto"/>
              </w:rPr>
            </w:pPr>
          </w:p>
        </w:tc>
        <w:tc>
          <w:tcPr>
            <w:tcW w:w="435" w:type="dxa"/>
            <w:vMerge w:val="continue"/>
            <w:tcBorders>
              <w:tl2br w:val="nil"/>
              <w:tr2bl w:val="nil"/>
            </w:tcBorders>
            <w:noWrap w:val="0"/>
            <w:vAlign w:val="center"/>
          </w:tcPr>
          <w:p w14:paraId="3091DCB7">
            <w:pPr>
              <w:pStyle w:val="31"/>
              <w:bidi w:val="0"/>
              <w:rPr>
                <w:rFonts w:hint="default"/>
                <w:color w:val="auto"/>
                <w:u w:val="none" w:color="auto"/>
              </w:rPr>
            </w:pPr>
          </w:p>
        </w:tc>
        <w:tc>
          <w:tcPr>
            <w:tcW w:w="4875" w:type="dxa"/>
            <w:tcBorders>
              <w:tl2br w:val="nil"/>
              <w:tr2bl w:val="nil"/>
            </w:tcBorders>
            <w:noWrap w:val="0"/>
            <w:vAlign w:val="center"/>
          </w:tcPr>
          <w:p w14:paraId="12D87DCA">
            <w:pPr>
              <w:pStyle w:val="31"/>
              <w:bidi w:val="0"/>
              <w:rPr>
                <w:rFonts w:hint="default"/>
                <w:color w:val="auto"/>
                <w:u w:val="none" w:color="auto"/>
              </w:rPr>
            </w:pPr>
            <w:r>
              <w:rPr>
                <w:color w:val="auto"/>
                <w:u w:val="none" w:color="auto"/>
              </w:rPr>
              <w:t>一次性发泡塑料餐具、一次性塑料棉签；含塑料微珠的日化用品；厚度低于0.025毫米的超薄型塑料袋；厚度低于0.01毫米的聚乙烯农用地膜</w:t>
            </w:r>
          </w:p>
        </w:tc>
        <w:tc>
          <w:tcPr>
            <w:tcW w:w="2159" w:type="dxa"/>
            <w:gridSpan w:val="2"/>
            <w:vMerge w:val="continue"/>
            <w:tcBorders>
              <w:tl2br w:val="nil"/>
              <w:tr2bl w:val="nil"/>
            </w:tcBorders>
            <w:noWrap w:val="0"/>
            <w:vAlign w:val="center"/>
          </w:tcPr>
          <w:p w14:paraId="1D9A0003">
            <w:pPr>
              <w:pStyle w:val="31"/>
              <w:bidi w:val="0"/>
              <w:rPr>
                <w:rFonts w:hint="default"/>
                <w:color w:val="auto"/>
                <w:u w:val="none" w:color="auto"/>
              </w:rPr>
            </w:pPr>
          </w:p>
        </w:tc>
      </w:tr>
      <w:tr w14:paraId="6FC32E8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62F35A01">
            <w:pPr>
              <w:pStyle w:val="31"/>
              <w:bidi w:val="0"/>
              <w:rPr>
                <w:rFonts w:hint="default"/>
                <w:color w:val="auto"/>
                <w:u w:val="none" w:color="auto"/>
              </w:rPr>
            </w:pPr>
          </w:p>
        </w:tc>
        <w:tc>
          <w:tcPr>
            <w:tcW w:w="525" w:type="dxa"/>
            <w:vMerge w:val="continue"/>
            <w:tcBorders>
              <w:tl2br w:val="nil"/>
              <w:tr2bl w:val="nil"/>
            </w:tcBorders>
            <w:noWrap w:val="0"/>
            <w:vAlign w:val="center"/>
          </w:tcPr>
          <w:p w14:paraId="71258820">
            <w:pPr>
              <w:pStyle w:val="31"/>
              <w:bidi w:val="0"/>
              <w:rPr>
                <w:rFonts w:hint="default"/>
                <w:color w:val="auto"/>
                <w:u w:val="none" w:color="auto"/>
              </w:rPr>
            </w:pPr>
          </w:p>
        </w:tc>
        <w:tc>
          <w:tcPr>
            <w:tcW w:w="435" w:type="dxa"/>
            <w:vMerge w:val="continue"/>
            <w:tcBorders>
              <w:tl2br w:val="nil"/>
              <w:tr2bl w:val="nil"/>
            </w:tcBorders>
            <w:noWrap w:val="0"/>
            <w:vAlign w:val="center"/>
          </w:tcPr>
          <w:p w14:paraId="7F59E140">
            <w:pPr>
              <w:pStyle w:val="31"/>
              <w:bidi w:val="0"/>
              <w:rPr>
                <w:rFonts w:hint="default"/>
                <w:color w:val="auto"/>
                <w:u w:val="none" w:color="auto"/>
              </w:rPr>
            </w:pPr>
          </w:p>
        </w:tc>
        <w:tc>
          <w:tcPr>
            <w:tcW w:w="4875" w:type="dxa"/>
            <w:tcBorders>
              <w:tl2br w:val="nil"/>
              <w:tr2bl w:val="nil"/>
            </w:tcBorders>
            <w:noWrap w:val="0"/>
            <w:vAlign w:val="center"/>
          </w:tcPr>
          <w:p w14:paraId="4A8A0655">
            <w:pPr>
              <w:pStyle w:val="31"/>
              <w:bidi w:val="0"/>
              <w:rPr>
                <w:rFonts w:hint="default"/>
                <w:color w:val="auto"/>
                <w:u w:val="none" w:color="auto"/>
              </w:rPr>
            </w:pPr>
            <w:r>
              <w:rPr>
                <w:color w:val="auto"/>
                <w:u w:val="none" w:color="auto"/>
              </w:rPr>
              <w:t>有色金属行业用一段式固定煤气发生炉</w:t>
            </w:r>
          </w:p>
        </w:tc>
        <w:tc>
          <w:tcPr>
            <w:tcW w:w="2159" w:type="dxa"/>
            <w:gridSpan w:val="2"/>
            <w:vMerge w:val="continue"/>
            <w:tcBorders>
              <w:tl2br w:val="nil"/>
              <w:tr2bl w:val="nil"/>
            </w:tcBorders>
            <w:noWrap w:val="0"/>
            <w:vAlign w:val="center"/>
          </w:tcPr>
          <w:p w14:paraId="6D4EDF8A">
            <w:pPr>
              <w:pStyle w:val="31"/>
              <w:bidi w:val="0"/>
              <w:rPr>
                <w:rFonts w:hint="default"/>
                <w:color w:val="auto"/>
                <w:u w:val="none" w:color="auto"/>
              </w:rPr>
            </w:pPr>
          </w:p>
        </w:tc>
      </w:tr>
      <w:tr w14:paraId="0AF5C9E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67628710">
            <w:pPr>
              <w:pStyle w:val="31"/>
              <w:bidi w:val="0"/>
              <w:rPr>
                <w:rFonts w:hint="default"/>
                <w:color w:val="auto"/>
                <w:u w:val="none" w:color="auto"/>
              </w:rPr>
            </w:pPr>
          </w:p>
        </w:tc>
        <w:tc>
          <w:tcPr>
            <w:tcW w:w="525" w:type="dxa"/>
            <w:vMerge w:val="continue"/>
            <w:tcBorders>
              <w:tl2br w:val="nil"/>
              <w:tr2bl w:val="nil"/>
            </w:tcBorders>
            <w:noWrap w:val="0"/>
            <w:vAlign w:val="center"/>
          </w:tcPr>
          <w:p w14:paraId="67341498">
            <w:pPr>
              <w:pStyle w:val="31"/>
              <w:bidi w:val="0"/>
              <w:rPr>
                <w:rFonts w:hint="default"/>
                <w:color w:val="auto"/>
                <w:u w:val="none" w:color="auto"/>
              </w:rPr>
            </w:pPr>
          </w:p>
        </w:tc>
        <w:tc>
          <w:tcPr>
            <w:tcW w:w="435" w:type="dxa"/>
            <w:vMerge w:val="continue"/>
            <w:tcBorders>
              <w:tl2br w:val="nil"/>
              <w:tr2bl w:val="nil"/>
            </w:tcBorders>
            <w:noWrap w:val="0"/>
            <w:vAlign w:val="center"/>
          </w:tcPr>
          <w:p w14:paraId="5EDFB04F">
            <w:pPr>
              <w:pStyle w:val="31"/>
              <w:bidi w:val="0"/>
              <w:rPr>
                <w:rFonts w:hint="default"/>
                <w:color w:val="auto"/>
                <w:u w:val="none" w:color="auto"/>
              </w:rPr>
            </w:pPr>
          </w:p>
        </w:tc>
        <w:tc>
          <w:tcPr>
            <w:tcW w:w="4875" w:type="dxa"/>
            <w:tcBorders>
              <w:tl2br w:val="nil"/>
              <w:tr2bl w:val="nil"/>
            </w:tcBorders>
            <w:noWrap w:val="0"/>
            <w:vAlign w:val="center"/>
          </w:tcPr>
          <w:p w14:paraId="1108F517">
            <w:pPr>
              <w:pStyle w:val="31"/>
              <w:bidi w:val="0"/>
              <w:rPr>
                <w:rFonts w:hint="default"/>
                <w:color w:val="auto"/>
                <w:u w:val="none" w:color="auto"/>
              </w:rPr>
            </w:pPr>
            <w:r>
              <w:rPr>
                <w:color w:val="auto"/>
                <w:u w:val="none" w:color="auto"/>
              </w:rPr>
              <w:t>PET再生瓶片类企业：新建企业年废塑料处理能力低于30000吨，综合新水消耗高于1.5吨/吨废塑料。</w:t>
            </w:r>
          </w:p>
        </w:tc>
        <w:tc>
          <w:tcPr>
            <w:tcW w:w="2159" w:type="dxa"/>
            <w:gridSpan w:val="2"/>
            <w:vMerge w:val="continue"/>
            <w:tcBorders>
              <w:tl2br w:val="nil"/>
              <w:tr2bl w:val="nil"/>
            </w:tcBorders>
            <w:noWrap w:val="0"/>
            <w:vAlign w:val="center"/>
          </w:tcPr>
          <w:p w14:paraId="16074062">
            <w:pPr>
              <w:pStyle w:val="31"/>
              <w:bidi w:val="0"/>
              <w:rPr>
                <w:rFonts w:hint="default"/>
                <w:color w:val="auto"/>
                <w:u w:val="none" w:color="auto"/>
              </w:rPr>
            </w:pPr>
          </w:p>
        </w:tc>
      </w:tr>
      <w:tr w14:paraId="7B56CA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14D7F7C4">
            <w:pPr>
              <w:pStyle w:val="31"/>
              <w:bidi w:val="0"/>
              <w:rPr>
                <w:rFonts w:hint="default"/>
                <w:color w:val="auto"/>
                <w:u w:val="none" w:color="auto"/>
              </w:rPr>
            </w:pPr>
          </w:p>
        </w:tc>
        <w:tc>
          <w:tcPr>
            <w:tcW w:w="525" w:type="dxa"/>
            <w:vMerge w:val="continue"/>
            <w:tcBorders>
              <w:tl2br w:val="nil"/>
              <w:tr2bl w:val="nil"/>
            </w:tcBorders>
            <w:noWrap w:val="0"/>
            <w:vAlign w:val="center"/>
          </w:tcPr>
          <w:p w14:paraId="2E5A105D">
            <w:pPr>
              <w:pStyle w:val="31"/>
              <w:bidi w:val="0"/>
              <w:rPr>
                <w:rFonts w:hint="default"/>
                <w:color w:val="auto"/>
                <w:u w:val="none" w:color="auto"/>
              </w:rPr>
            </w:pPr>
          </w:p>
        </w:tc>
        <w:tc>
          <w:tcPr>
            <w:tcW w:w="435" w:type="dxa"/>
            <w:vMerge w:val="continue"/>
            <w:tcBorders>
              <w:tl2br w:val="nil"/>
              <w:tr2bl w:val="nil"/>
            </w:tcBorders>
            <w:noWrap w:val="0"/>
            <w:vAlign w:val="center"/>
          </w:tcPr>
          <w:p w14:paraId="25DD6B4D">
            <w:pPr>
              <w:pStyle w:val="31"/>
              <w:bidi w:val="0"/>
              <w:rPr>
                <w:rFonts w:hint="default"/>
                <w:color w:val="auto"/>
                <w:u w:val="none" w:color="auto"/>
              </w:rPr>
            </w:pPr>
          </w:p>
        </w:tc>
        <w:tc>
          <w:tcPr>
            <w:tcW w:w="4875" w:type="dxa"/>
            <w:tcBorders>
              <w:tl2br w:val="nil"/>
              <w:tr2bl w:val="nil"/>
            </w:tcBorders>
            <w:noWrap w:val="0"/>
            <w:vAlign w:val="center"/>
          </w:tcPr>
          <w:p w14:paraId="2C5C4ABA">
            <w:pPr>
              <w:pStyle w:val="31"/>
              <w:bidi w:val="0"/>
              <w:rPr>
                <w:rFonts w:hint="default"/>
                <w:color w:val="auto"/>
                <w:u w:val="none" w:color="auto"/>
              </w:rPr>
            </w:pPr>
            <w:r>
              <w:rPr>
                <w:color w:val="auto"/>
                <w:u w:val="none" w:color="auto"/>
              </w:rPr>
              <w:t>废塑料破碎、清洗、分选类企业：新建企业年废塑料处理能力低于30000吨，综合新水消耗高于0.2吨/吨废塑料。</w:t>
            </w:r>
          </w:p>
        </w:tc>
        <w:tc>
          <w:tcPr>
            <w:tcW w:w="2159" w:type="dxa"/>
            <w:gridSpan w:val="2"/>
            <w:vMerge w:val="continue"/>
            <w:tcBorders>
              <w:tl2br w:val="nil"/>
              <w:tr2bl w:val="nil"/>
            </w:tcBorders>
            <w:noWrap w:val="0"/>
            <w:vAlign w:val="center"/>
          </w:tcPr>
          <w:p w14:paraId="7D626B33">
            <w:pPr>
              <w:pStyle w:val="31"/>
              <w:bidi w:val="0"/>
              <w:rPr>
                <w:rFonts w:hint="default"/>
                <w:color w:val="auto"/>
                <w:u w:val="none" w:color="auto"/>
              </w:rPr>
            </w:pPr>
          </w:p>
        </w:tc>
      </w:tr>
      <w:tr w14:paraId="2198BC3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24CA5D82">
            <w:pPr>
              <w:pStyle w:val="31"/>
              <w:bidi w:val="0"/>
              <w:rPr>
                <w:rFonts w:hint="default"/>
                <w:color w:val="auto"/>
                <w:u w:val="none" w:color="auto"/>
              </w:rPr>
            </w:pPr>
          </w:p>
        </w:tc>
        <w:tc>
          <w:tcPr>
            <w:tcW w:w="525" w:type="dxa"/>
            <w:vMerge w:val="continue"/>
            <w:tcBorders>
              <w:tl2br w:val="nil"/>
              <w:tr2bl w:val="nil"/>
            </w:tcBorders>
            <w:noWrap w:val="0"/>
            <w:vAlign w:val="center"/>
          </w:tcPr>
          <w:p w14:paraId="3E325C11">
            <w:pPr>
              <w:pStyle w:val="31"/>
              <w:bidi w:val="0"/>
              <w:rPr>
                <w:rFonts w:hint="default"/>
                <w:color w:val="auto"/>
                <w:u w:val="none" w:color="auto"/>
              </w:rPr>
            </w:pPr>
          </w:p>
        </w:tc>
        <w:tc>
          <w:tcPr>
            <w:tcW w:w="435" w:type="dxa"/>
            <w:vMerge w:val="continue"/>
            <w:tcBorders>
              <w:tl2br w:val="nil"/>
              <w:tr2bl w:val="nil"/>
            </w:tcBorders>
            <w:noWrap w:val="0"/>
            <w:vAlign w:val="center"/>
          </w:tcPr>
          <w:p w14:paraId="24CEB65E">
            <w:pPr>
              <w:pStyle w:val="31"/>
              <w:bidi w:val="0"/>
              <w:rPr>
                <w:rFonts w:hint="default"/>
                <w:color w:val="auto"/>
                <w:u w:val="none" w:color="auto"/>
              </w:rPr>
            </w:pPr>
          </w:p>
        </w:tc>
        <w:tc>
          <w:tcPr>
            <w:tcW w:w="4875" w:type="dxa"/>
            <w:tcBorders>
              <w:tl2br w:val="nil"/>
              <w:tr2bl w:val="nil"/>
            </w:tcBorders>
            <w:noWrap w:val="0"/>
            <w:vAlign w:val="center"/>
          </w:tcPr>
          <w:p w14:paraId="1136C37A">
            <w:pPr>
              <w:pStyle w:val="31"/>
              <w:bidi w:val="0"/>
              <w:rPr>
                <w:rFonts w:hint="default"/>
                <w:color w:val="auto"/>
                <w:u w:val="none" w:color="auto"/>
              </w:rPr>
            </w:pPr>
            <w:r>
              <w:rPr>
                <w:color w:val="auto"/>
                <w:u w:val="none" w:color="auto"/>
              </w:rPr>
              <w:t>塑料再生造粒类企业：新建企业年废塑料处理能力低于5000吨。</w:t>
            </w:r>
          </w:p>
        </w:tc>
        <w:tc>
          <w:tcPr>
            <w:tcW w:w="2159" w:type="dxa"/>
            <w:gridSpan w:val="2"/>
            <w:vMerge w:val="continue"/>
            <w:tcBorders>
              <w:tl2br w:val="nil"/>
              <w:tr2bl w:val="nil"/>
            </w:tcBorders>
            <w:noWrap w:val="0"/>
            <w:vAlign w:val="center"/>
          </w:tcPr>
          <w:p w14:paraId="2AD123B9">
            <w:pPr>
              <w:pStyle w:val="31"/>
              <w:bidi w:val="0"/>
              <w:rPr>
                <w:rFonts w:hint="default"/>
                <w:color w:val="auto"/>
                <w:u w:val="none" w:color="auto"/>
              </w:rPr>
            </w:pPr>
          </w:p>
        </w:tc>
      </w:tr>
      <w:tr w14:paraId="335888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7E48A6AD">
            <w:pPr>
              <w:pStyle w:val="31"/>
              <w:bidi w:val="0"/>
              <w:rPr>
                <w:rFonts w:hint="default"/>
                <w:color w:val="auto"/>
                <w:u w:val="none" w:color="auto"/>
              </w:rPr>
            </w:pPr>
          </w:p>
        </w:tc>
        <w:tc>
          <w:tcPr>
            <w:tcW w:w="525" w:type="dxa"/>
            <w:vMerge w:val="continue"/>
            <w:tcBorders>
              <w:tl2br w:val="nil"/>
              <w:tr2bl w:val="nil"/>
            </w:tcBorders>
            <w:noWrap w:val="0"/>
            <w:vAlign w:val="center"/>
          </w:tcPr>
          <w:p w14:paraId="4B3E3C3E">
            <w:pPr>
              <w:pStyle w:val="31"/>
              <w:bidi w:val="0"/>
              <w:rPr>
                <w:rFonts w:hint="default"/>
                <w:color w:val="auto"/>
                <w:u w:val="none" w:color="auto"/>
              </w:rPr>
            </w:pPr>
          </w:p>
        </w:tc>
        <w:tc>
          <w:tcPr>
            <w:tcW w:w="435" w:type="dxa"/>
            <w:vMerge w:val="continue"/>
            <w:tcBorders>
              <w:tl2br w:val="nil"/>
              <w:tr2bl w:val="nil"/>
            </w:tcBorders>
            <w:noWrap w:val="0"/>
            <w:vAlign w:val="center"/>
          </w:tcPr>
          <w:p w14:paraId="1AEC545A">
            <w:pPr>
              <w:pStyle w:val="31"/>
              <w:bidi w:val="0"/>
              <w:rPr>
                <w:rFonts w:hint="default"/>
                <w:color w:val="auto"/>
                <w:u w:val="none" w:color="auto"/>
              </w:rPr>
            </w:pPr>
          </w:p>
        </w:tc>
        <w:tc>
          <w:tcPr>
            <w:tcW w:w="4875" w:type="dxa"/>
            <w:tcBorders>
              <w:tl2br w:val="nil"/>
              <w:tr2bl w:val="nil"/>
            </w:tcBorders>
            <w:noWrap w:val="0"/>
            <w:vAlign w:val="center"/>
          </w:tcPr>
          <w:p w14:paraId="31369FCE">
            <w:pPr>
              <w:pStyle w:val="31"/>
              <w:bidi w:val="0"/>
              <w:rPr>
                <w:rFonts w:hint="default"/>
                <w:color w:val="auto"/>
                <w:u w:val="none" w:color="auto"/>
              </w:rPr>
            </w:pPr>
            <w:r>
              <w:rPr>
                <w:color w:val="auto"/>
                <w:u w:val="none" w:color="auto"/>
              </w:rPr>
              <w:t>废塑料综合利用企业除具有获批建设、验收合格的专业盐卤废水处理设施，禁止使用盐卤分选工艺。</w:t>
            </w:r>
          </w:p>
        </w:tc>
        <w:tc>
          <w:tcPr>
            <w:tcW w:w="2159" w:type="dxa"/>
            <w:gridSpan w:val="2"/>
            <w:vMerge w:val="continue"/>
            <w:tcBorders>
              <w:tl2br w:val="nil"/>
              <w:tr2bl w:val="nil"/>
            </w:tcBorders>
            <w:noWrap w:val="0"/>
            <w:vAlign w:val="center"/>
          </w:tcPr>
          <w:p w14:paraId="564BC2B0">
            <w:pPr>
              <w:pStyle w:val="31"/>
              <w:bidi w:val="0"/>
              <w:rPr>
                <w:rFonts w:hint="default"/>
                <w:color w:val="auto"/>
                <w:u w:val="none" w:color="auto"/>
              </w:rPr>
            </w:pPr>
          </w:p>
        </w:tc>
      </w:tr>
      <w:tr w14:paraId="6D5405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632AD550">
            <w:pPr>
              <w:pStyle w:val="31"/>
              <w:bidi w:val="0"/>
              <w:rPr>
                <w:rFonts w:hint="default"/>
                <w:color w:val="auto"/>
                <w:u w:val="none" w:color="auto"/>
              </w:rPr>
            </w:pPr>
          </w:p>
        </w:tc>
        <w:tc>
          <w:tcPr>
            <w:tcW w:w="525" w:type="dxa"/>
            <w:vMerge w:val="continue"/>
            <w:tcBorders>
              <w:tl2br w:val="nil"/>
              <w:tr2bl w:val="nil"/>
            </w:tcBorders>
            <w:noWrap w:val="0"/>
            <w:vAlign w:val="center"/>
          </w:tcPr>
          <w:p w14:paraId="40ACAF60">
            <w:pPr>
              <w:pStyle w:val="31"/>
              <w:bidi w:val="0"/>
              <w:rPr>
                <w:rFonts w:hint="default"/>
                <w:color w:val="auto"/>
                <w:u w:val="none" w:color="auto"/>
              </w:rPr>
            </w:pPr>
          </w:p>
        </w:tc>
        <w:tc>
          <w:tcPr>
            <w:tcW w:w="435" w:type="dxa"/>
            <w:vMerge w:val="continue"/>
            <w:tcBorders>
              <w:tl2br w:val="nil"/>
              <w:tr2bl w:val="nil"/>
            </w:tcBorders>
            <w:noWrap w:val="0"/>
            <w:vAlign w:val="center"/>
          </w:tcPr>
          <w:p w14:paraId="1AE5FC85">
            <w:pPr>
              <w:pStyle w:val="31"/>
              <w:bidi w:val="0"/>
              <w:rPr>
                <w:rFonts w:hint="default"/>
                <w:color w:val="auto"/>
                <w:u w:val="none" w:color="auto"/>
              </w:rPr>
            </w:pPr>
          </w:p>
        </w:tc>
        <w:tc>
          <w:tcPr>
            <w:tcW w:w="4875" w:type="dxa"/>
            <w:tcBorders>
              <w:tl2br w:val="nil"/>
              <w:tr2bl w:val="nil"/>
            </w:tcBorders>
            <w:noWrap w:val="0"/>
            <w:vAlign w:val="center"/>
          </w:tcPr>
          <w:p w14:paraId="32B156D4">
            <w:pPr>
              <w:pStyle w:val="31"/>
              <w:bidi w:val="0"/>
              <w:rPr>
                <w:rFonts w:hint="default"/>
                <w:color w:val="auto"/>
                <w:u w:val="none" w:color="auto"/>
              </w:rPr>
            </w:pPr>
            <w:r>
              <w:rPr>
                <w:color w:val="auto"/>
                <w:u w:val="none" w:color="auto"/>
              </w:rPr>
              <w:t>禁止利用直接燃煤反射炉和4吨以下其他反射炉生产再生铝，禁止采用坩埚炉熔炼再生铝合金。</w:t>
            </w:r>
          </w:p>
        </w:tc>
        <w:tc>
          <w:tcPr>
            <w:tcW w:w="2159" w:type="dxa"/>
            <w:gridSpan w:val="2"/>
            <w:vMerge w:val="continue"/>
            <w:tcBorders>
              <w:tl2br w:val="nil"/>
              <w:tr2bl w:val="nil"/>
            </w:tcBorders>
            <w:noWrap w:val="0"/>
            <w:vAlign w:val="center"/>
          </w:tcPr>
          <w:p w14:paraId="5C0F40DF">
            <w:pPr>
              <w:pStyle w:val="31"/>
              <w:bidi w:val="0"/>
              <w:rPr>
                <w:rFonts w:hint="default"/>
                <w:color w:val="auto"/>
                <w:u w:val="none" w:color="auto"/>
              </w:rPr>
            </w:pPr>
          </w:p>
        </w:tc>
      </w:tr>
      <w:tr w14:paraId="40CE3CD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0B32F350">
            <w:pPr>
              <w:pStyle w:val="31"/>
              <w:bidi w:val="0"/>
              <w:rPr>
                <w:rFonts w:hint="default"/>
                <w:color w:val="auto"/>
                <w:u w:val="none" w:color="auto"/>
              </w:rPr>
            </w:pPr>
          </w:p>
        </w:tc>
        <w:tc>
          <w:tcPr>
            <w:tcW w:w="525" w:type="dxa"/>
            <w:vMerge w:val="continue"/>
            <w:tcBorders>
              <w:tl2br w:val="nil"/>
              <w:tr2bl w:val="nil"/>
            </w:tcBorders>
            <w:noWrap w:val="0"/>
            <w:vAlign w:val="center"/>
          </w:tcPr>
          <w:p w14:paraId="0C2DAA1D">
            <w:pPr>
              <w:pStyle w:val="31"/>
              <w:bidi w:val="0"/>
              <w:rPr>
                <w:rFonts w:hint="default"/>
                <w:color w:val="auto"/>
                <w:u w:val="none" w:color="auto"/>
              </w:rPr>
            </w:pPr>
          </w:p>
        </w:tc>
        <w:tc>
          <w:tcPr>
            <w:tcW w:w="435" w:type="dxa"/>
            <w:vMerge w:val="continue"/>
            <w:tcBorders>
              <w:tl2br w:val="nil"/>
              <w:tr2bl w:val="nil"/>
            </w:tcBorders>
            <w:noWrap w:val="0"/>
            <w:vAlign w:val="center"/>
          </w:tcPr>
          <w:p w14:paraId="67E8B074">
            <w:pPr>
              <w:pStyle w:val="31"/>
              <w:bidi w:val="0"/>
              <w:rPr>
                <w:rFonts w:hint="default"/>
                <w:color w:val="auto"/>
                <w:u w:val="none" w:color="auto"/>
              </w:rPr>
            </w:pPr>
          </w:p>
        </w:tc>
        <w:tc>
          <w:tcPr>
            <w:tcW w:w="4875" w:type="dxa"/>
            <w:tcBorders>
              <w:tl2br w:val="nil"/>
              <w:tr2bl w:val="nil"/>
            </w:tcBorders>
            <w:noWrap w:val="0"/>
            <w:vAlign w:val="center"/>
          </w:tcPr>
          <w:p w14:paraId="7B7DD1BB">
            <w:pPr>
              <w:pStyle w:val="31"/>
              <w:bidi w:val="0"/>
              <w:rPr>
                <w:rFonts w:hint="default"/>
                <w:color w:val="auto"/>
                <w:u w:val="none" w:color="auto"/>
              </w:rPr>
            </w:pPr>
            <w:r>
              <w:rPr>
                <w:color w:val="auto"/>
                <w:u w:val="none" w:color="auto"/>
              </w:rPr>
              <w:t>利用含铜二次资源的铜冶炼企业禁止采用化学法以及无烟气治理设施的焚烧工艺和装备。</w:t>
            </w:r>
          </w:p>
        </w:tc>
        <w:tc>
          <w:tcPr>
            <w:tcW w:w="2159" w:type="dxa"/>
            <w:gridSpan w:val="2"/>
            <w:vMerge w:val="continue"/>
            <w:tcBorders>
              <w:tl2br w:val="nil"/>
              <w:tr2bl w:val="nil"/>
            </w:tcBorders>
            <w:noWrap w:val="0"/>
            <w:vAlign w:val="center"/>
          </w:tcPr>
          <w:p w14:paraId="537C6362">
            <w:pPr>
              <w:pStyle w:val="31"/>
              <w:bidi w:val="0"/>
              <w:rPr>
                <w:rFonts w:hint="default"/>
                <w:color w:val="auto"/>
                <w:u w:val="none" w:color="auto"/>
              </w:rPr>
            </w:pPr>
          </w:p>
        </w:tc>
      </w:tr>
      <w:tr w14:paraId="69CACF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1AD0C35A">
            <w:pPr>
              <w:pStyle w:val="31"/>
              <w:bidi w:val="0"/>
              <w:rPr>
                <w:rFonts w:hint="default"/>
                <w:color w:val="auto"/>
                <w:u w:val="none" w:color="auto"/>
              </w:rPr>
            </w:pPr>
          </w:p>
        </w:tc>
        <w:tc>
          <w:tcPr>
            <w:tcW w:w="525" w:type="dxa"/>
            <w:vMerge w:val="continue"/>
            <w:tcBorders>
              <w:tl2br w:val="nil"/>
              <w:tr2bl w:val="nil"/>
            </w:tcBorders>
            <w:noWrap w:val="0"/>
            <w:vAlign w:val="center"/>
          </w:tcPr>
          <w:p w14:paraId="30DDBC32">
            <w:pPr>
              <w:pStyle w:val="31"/>
              <w:bidi w:val="0"/>
              <w:rPr>
                <w:rFonts w:hint="default"/>
                <w:color w:val="auto"/>
                <w:u w:val="none" w:color="auto"/>
              </w:rPr>
            </w:pPr>
          </w:p>
        </w:tc>
        <w:tc>
          <w:tcPr>
            <w:tcW w:w="435" w:type="dxa"/>
            <w:vMerge w:val="continue"/>
            <w:tcBorders>
              <w:tl2br w:val="nil"/>
              <w:tr2bl w:val="nil"/>
            </w:tcBorders>
            <w:noWrap w:val="0"/>
            <w:vAlign w:val="center"/>
          </w:tcPr>
          <w:p w14:paraId="6C0DA3B7">
            <w:pPr>
              <w:pStyle w:val="31"/>
              <w:bidi w:val="0"/>
              <w:rPr>
                <w:rFonts w:hint="default"/>
                <w:color w:val="auto"/>
                <w:u w:val="none" w:color="auto"/>
              </w:rPr>
            </w:pPr>
          </w:p>
        </w:tc>
        <w:tc>
          <w:tcPr>
            <w:tcW w:w="4875" w:type="dxa"/>
            <w:tcBorders>
              <w:tl2br w:val="nil"/>
              <w:tr2bl w:val="nil"/>
            </w:tcBorders>
            <w:noWrap w:val="0"/>
            <w:vAlign w:val="center"/>
          </w:tcPr>
          <w:p w14:paraId="7DE1AFBC">
            <w:pPr>
              <w:pStyle w:val="31"/>
              <w:bidi w:val="0"/>
              <w:rPr>
                <w:rFonts w:hint="default"/>
                <w:color w:val="auto"/>
                <w:u w:val="none" w:color="auto"/>
              </w:rPr>
            </w:pPr>
            <w:r>
              <w:rPr>
                <w:color w:val="auto"/>
                <w:u w:val="none" w:color="auto"/>
              </w:rPr>
              <w:t>禁止使用直接燃煤的反射炉熔炼含铜二次资源。禁止使用无烟气治理措施的冶炼工艺及设备。</w:t>
            </w:r>
          </w:p>
        </w:tc>
        <w:tc>
          <w:tcPr>
            <w:tcW w:w="2159" w:type="dxa"/>
            <w:gridSpan w:val="2"/>
            <w:vMerge w:val="continue"/>
            <w:tcBorders>
              <w:tl2br w:val="nil"/>
              <w:tr2bl w:val="nil"/>
            </w:tcBorders>
            <w:noWrap w:val="0"/>
            <w:vAlign w:val="center"/>
          </w:tcPr>
          <w:p w14:paraId="3D251980">
            <w:pPr>
              <w:pStyle w:val="31"/>
              <w:bidi w:val="0"/>
              <w:rPr>
                <w:rFonts w:hint="default"/>
                <w:color w:val="auto"/>
                <w:u w:val="none" w:color="auto"/>
              </w:rPr>
            </w:pPr>
          </w:p>
        </w:tc>
      </w:tr>
      <w:tr w14:paraId="27223E5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5FF2846E">
            <w:pPr>
              <w:pStyle w:val="31"/>
              <w:bidi w:val="0"/>
              <w:rPr>
                <w:rFonts w:hint="default"/>
                <w:color w:val="auto"/>
                <w:u w:val="none" w:color="auto"/>
              </w:rPr>
            </w:pPr>
          </w:p>
        </w:tc>
        <w:tc>
          <w:tcPr>
            <w:tcW w:w="525" w:type="dxa"/>
            <w:vMerge w:val="continue"/>
            <w:tcBorders>
              <w:tl2br w:val="nil"/>
              <w:tr2bl w:val="nil"/>
            </w:tcBorders>
            <w:noWrap w:val="0"/>
            <w:vAlign w:val="center"/>
          </w:tcPr>
          <w:p w14:paraId="11D1D5C8">
            <w:pPr>
              <w:pStyle w:val="31"/>
              <w:bidi w:val="0"/>
              <w:rPr>
                <w:rFonts w:hint="default"/>
                <w:color w:val="auto"/>
                <w:u w:val="none" w:color="auto"/>
              </w:rPr>
            </w:pPr>
          </w:p>
        </w:tc>
        <w:tc>
          <w:tcPr>
            <w:tcW w:w="435" w:type="dxa"/>
            <w:vMerge w:val="continue"/>
            <w:tcBorders>
              <w:tl2br w:val="nil"/>
              <w:tr2bl w:val="nil"/>
            </w:tcBorders>
            <w:noWrap w:val="0"/>
            <w:vAlign w:val="center"/>
          </w:tcPr>
          <w:p w14:paraId="50CA7611">
            <w:pPr>
              <w:pStyle w:val="31"/>
              <w:bidi w:val="0"/>
              <w:rPr>
                <w:rFonts w:hint="default"/>
                <w:color w:val="auto"/>
                <w:u w:val="none" w:color="auto"/>
              </w:rPr>
            </w:pPr>
          </w:p>
        </w:tc>
        <w:tc>
          <w:tcPr>
            <w:tcW w:w="4875" w:type="dxa"/>
            <w:tcBorders>
              <w:tl2br w:val="nil"/>
              <w:tr2bl w:val="nil"/>
            </w:tcBorders>
            <w:noWrap w:val="0"/>
            <w:vAlign w:val="center"/>
          </w:tcPr>
          <w:p w14:paraId="654F95C3">
            <w:pPr>
              <w:pStyle w:val="31"/>
              <w:bidi w:val="0"/>
              <w:rPr>
                <w:rFonts w:hint="default"/>
                <w:color w:val="auto"/>
                <w:u w:val="none" w:color="auto"/>
              </w:rPr>
            </w:pPr>
            <w:r>
              <w:rPr>
                <w:color w:val="auto"/>
                <w:u w:val="none" w:color="auto"/>
              </w:rPr>
              <w:t>禁止新建燃煤自备锅炉。</w:t>
            </w:r>
          </w:p>
        </w:tc>
        <w:tc>
          <w:tcPr>
            <w:tcW w:w="2159" w:type="dxa"/>
            <w:gridSpan w:val="2"/>
            <w:vMerge w:val="continue"/>
            <w:tcBorders>
              <w:tl2br w:val="nil"/>
              <w:tr2bl w:val="nil"/>
            </w:tcBorders>
            <w:noWrap w:val="0"/>
            <w:vAlign w:val="center"/>
          </w:tcPr>
          <w:p w14:paraId="038C8CD9">
            <w:pPr>
              <w:pStyle w:val="31"/>
              <w:bidi w:val="0"/>
              <w:rPr>
                <w:rFonts w:hint="default"/>
                <w:color w:val="auto"/>
                <w:u w:val="none" w:color="auto"/>
              </w:rPr>
            </w:pPr>
          </w:p>
        </w:tc>
      </w:tr>
      <w:tr w14:paraId="4C4F13B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10" w:type="dxa"/>
            <w:vMerge w:val="continue"/>
            <w:tcBorders>
              <w:tl2br w:val="nil"/>
              <w:tr2bl w:val="nil"/>
            </w:tcBorders>
            <w:noWrap w:val="0"/>
            <w:vAlign w:val="center"/>
          </w:tcPr>
          <w:p w14:paraId="455A7D2D">
            <w:pPr>
              <w:pStyle w:val="31"/>
              <w:bidi w:val="0"/>
              <w:rPr>
                <w:rFonts w:hint="default"/>
                <w:color w:val="auto"/>
                <w:u w:val="none" w:color="auto"/>
              </w:rPr>
            </w:pPr>
          </w:p>
        </w:tc>
        <w:tc>
          <w:tcPr>
            <w:tcW w:w="525" w:type="dxa"/>
            <w:vMerge w:val="continue"/>
            <w:tcBorders>
              <w:tl2br w:val="nil"/>
              <w:tr2bl w:val="nil"/>
            </w:tcBorders>
            <w:noWrap w:val="0"/>
            <w:vAlign w:val="center"/>
          </w:tcPr>
          <w:p w14:paraId="153E5F8F">
            <w:pPr>
              <w:pStyle w:val="31"/>
              <w:bidi w:val="0"/>
              <w:rPr>
                <w:rFonts w:hint="default"/>
                <w:color w:val="auto"/>
                <w:u w:val="none" w:color="auto"/>
              </w:rPr>
            </w:pPr>
          </w:p>
        </w:tc>
        <w:tc>
          <w:tcPr>
            <w:tcW w:w="435" w:type="dxa"/>
            <w:vMerge w:val="continue"/>
            <w:tcBorders>
              <w:tl2br w:val="nil"/>
              <w:tr2bl w:val="nil"/>
            </w:tcBorders>
            <w:noWrap w:val="0"/>
            <w:vAlign w:val="center"/>
          </w:tcPr>
          <w:p w14:paraId="5566DD06">
            <w:pPr>
              <w:pStyle w:val="31"/>
              <w:bidi w:val="0"/>
              <w:rPr>
                <w:rFonts w:hint="default"/>
                <w:color w:val="auto"/>
                <w:u w:val="none" w:color="auto"/>
              </w:rPr>
            </w:pPr>
          </w:p>
        </w:tc>
        <w:tc>
          <w:tcPr>
            <w:tcW w:w="4875" w:type="dxa"/>
            <w:tcBorders>
              <w:tl2br w:val="nil"/>
              <w:tr2bl w:val="nil"/>
            </w:tcBorders>
            <w:noWrap w:val="0"/>
            <w:vAlign w:val="center"/>
          </w:tcPr>
          <w:p w14:paraId="0EACE917">
            <w:pPr>
              <w:pStyle w:val="31"/>
              <w:bidi w:val="0"/>
              <w:rPr>
                <w:rFonts w:hint="default"/>
                <w:color w:val="auto"/>
                <w:u w:val="none" w:color="auto"/>
              </w:rPr>
            </w:pPr>
            <w:r>
              <w:rPr>
                <w:color w:val="auto"/>
                <w:u w:val="none" w:color="auto"/>
              </w:rPr>
              <w:t>禁止使用原矿进行有色金属冶炼活动</w:t>
            </w:r>
          </w:p>
        </w:tc>
        <w:tc>
          <w:tcPr>
            <w:tcW w:w="2159" w:type="dxa"/>
            <w:gridSpan w:val="2"/>
            <w:vMerge w:val="continue"/>
            <w:tcBorders>
              <w:tl2br w:val="nil"/>
              <w:tr2bl w:val="nil"/>
            </w:tcBorders>
            <w:noWrap w:val="0"/>
            <w:vAlign w:val="center"/>
          </w:tcPr>
          <w:p w14:paraId="33A52E1C">
            <w:pPr>
              <w:pStyle w:val="31"/>
              <w:bidi w:val="0"/>
              <w:rPr>
                <w:rFonts w:hint="default"/>
                <w:color w:val="auto"/>
                <w:u w:val="none" w:color="auto"/>
              </w:rPr>
            </w:pPr>
          </w:p>
        </w:tc>
      </w:tr>
    </w:tbl>
    <w:p w14:paraId="21ED173C">
      <w:pPr>
        <w:pStyle w:val="20"/>
        <w:bidi w:val="0"/>
        <w:rPr>
          <w:rFonts w:hint="default"/>
          <w:color w:val="auto"/>
          <w:u w:val="none" w:color="auto"/>
        </w:rPr>
      </w:pPr>
      <w:r>
        <w:rPr>
          <w:rFonts w:hint="default"/>
          <w:color w:val="auto"/>
          <w:u w:val="none" w:color="auto"/>
        </w:rPr>
        <w:t>综上所述，本项目不属于园区环境准入工艺和产品负面清单中的限制类或淘汰类项目，符合《汨罗高新技术产业开发区扩区规划环境影响报告书》中的园区环境准入要求。</w:t>
      </w:r>
    </w:p>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14:paraId="74A2A714">
      <w:pPr>
        <w:pStyle w:val="4"/>
        <w:bidi w:val="0"/>
        <w:rPr>
          <w:rFonts w:hint="default" w:eastAsia="宋体"/>
          <w:b/>
          <w:bCs/>
          <w:color w:val="auto"/>
          <w:u w:val="none" w:color="auto"/>
          <w:lang w:val="en-US" w:eastAsia="zh-CN"/>
        </w:rPr>
      </w:pPr>
      <w:bookmarkStart w:id="117" w:name="_Toc26317"/>
      <w:bookmarkStart w:id="118" w:name="_Toc32648"/>
      <w:bookmarkStart w:id="119" w:name="_Toc554"/>
      <w:bookmarkStart w:id="120" w:name="_Toc12231"/>
      <w:bookmarkStart w:id="121" w:name="_Toc7423"/>
      <w:bookmarkStart w:id="122" w:name="_Toc22838"/>
      <w:bookmarkStart w:id="123" w:name="_Toc1074"/>
      <w:bookmarkStart w:id="124" w:name="_Toc13621"/>
      <w:bookmarkStart w:id="125" w:name="_Toc30211"/>
      <w:bookmarkStart w:id="126" w:name="_Toc20304"/>
      <w:bookmarkStart w:id="127" w:name="_Toc794"/>
      <w:bookmarkStart w:id="128" w:name="_Toc9108"/>
      <w:bookmarkStart w:id="129" w:name="_Toc13218"/>
      <w:bookmarkStart w:id="130" w:name="_Toc16669"/>
      <w:bookmarkStart w:id="131" w:name="_Toc8864"/>
      <w:bookmarkStart w:id="132" w:name="_Toc20737"/>
      <w:bookmarkStart w:id="133" w:name="_Toc9645"/>
      <w:bookmarkStart w:id="134" w:name="_Toc27864"/>
      <w:bookmarkStart w:id="135" w:name="_Toc31064"/>
      <w:bookmarkStart w:id="136" w:name="_Toc25633"/>
      <w:bookmarkStart w:id="137" w:name="_Toc23678"/>
      <w:bookmarkStart w:id="138" w:name="_Toc31422"/>
      <w:bookmarkStart w:id="139" w:name="_Toc5094"/>
      <w:bookmarkStart w:id="140" w:name="_Toc16553"/>
      <w:bookmarkStart w:id="141" w:name="_Toc19012"/>
      <w:bookmarkStart w:id="142" w:name="_Toc3736"/>
      <w:bookmarkStart w:id="143" w:name="_Toc9049"/>
      <w:bookmarkStart w:id="144" w:name="_Toc1280"/>
      <w:bookmarkStart w:id="145" w:name="_Toc19305"/>
      <w:bookmarkStart w:id="146" w:name="_Toc24479"/>
      <w:bookmarkStart w:id="147" w:name="_Toc29664"/>
      <w:bookmarkStart w:id="148" w:name="_Toc30681"/>
      <w:bookmarkStart w:id="149" w:name="_Toc19923"/>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bookmarkEnd w:id="117"/>
      <w:r>
        <w:rPr>
          <w:rFonts w:hint="eastAsia" w:ascii="Times New Roman" w:hAnsi="Times New Roman" w:cs="Times New Roman"/>
          <w:color w:val="auto"/>
          <w:u w:val="none" w:color="auto"/>
          <w:lang w:val="en-US" w:eastAsia="zh-CN"/>
        </w:rPr>
        <w:t>4</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Pr>
          <w:rFonts w:hint="eastAsia"/>
          <w:b/>
          <w:bCs/>
          <w:color w:val="auto"/>
          <w:u w:val="none" w:color="auto"/>
          <w:lang w:val="en-US" w:eastAsia="zh-CN"/>
        </w:rPr>
        <w:t>与《湖南省长江经济带发展负面清单实施细则（试行，2022版）》相符性分析</w:t>
      </w:r>
      <w:bookmarkEnd w:id="132"/>
    </w:p>
    <w:p w14:paraId="4CC67179">
      <w:pPr>
        <w:pStyle w:val="20"/>
        <w:ind w:firstLine="480"/>
        <w:rPr>
          <w:color w:val="auto"/>
          <w:u w:val="none" w:color="auto"/>
        </w:rPr>
      </w:pPr>
      <w:r>
        <w:rPr>
          <w:color w:val="auto"/>
          <w:u w:val="none" w:color="auto"/>
        </w:rPr>
        <w:t>本项目与《</w:t>
      </w:r>
      <w:r>
        <w:rPr>
          <w:rFonts w:hint="eastAsia"/>
          <w:color w:val="auto"/>
          <w:u w:val="none" w:color="auto"/>
        </w:rPr>
        <w:t>湖南省</w:t>
      </w:r>
      <w:r>
        <w:rPr>
          <w:rFonts w:hint="eastAsia"/>
          <w:color w:val="auto"/>
          <w:u w:val="none" w:color="auto"/>
          <w:lang w:eastAsia="zh-CN"/>
        </w:rPr>
        <w:t>长江经济带发展负面清单指南（试行，</w:t>
      </w:r>
      <w:r>
        <w:rPr>
          <w:rFonts w:hint="eastAsia"/>
          <w:color w:val="auto"/>
          <w:u w:val="none" w:color="auto"/>
          <w:lang w:val="en-US" w:eastAsia="zh-CN"/>
        </w:rPr>
        <w:t>2022年版</w:t>
      </w:r>
      <w:r>
        <w:rPr>
          <w:rFonts w:hint="eastAsia"/>
          <w:color w:val="auto"/>
          <w:u w:val="none" w:color="auto"/>
          <w:lang w:eastAsia="zh-CN"/>
        </w:rPr>
        <w:t>）</w:t>
      </w:r>
      <w:r>
        <w:rPr>
          <w:color w:val="auto"/>
          <w:u w:val="none" w:color="auto"/>
        </w:rPr>
        <w:t>》相符性分析如下：</w:t>
      </w:r>
    </w:p>
    <w:p w14:paraId="15615A08">
      <w:pPr>
        <w:pStyle w:val="22"/>
        <w:bidi w:val="0"/>
        <w:rPr>
          <w:rFonts w:hint="default"/>
          <w:color w:val="auto"/>
          <w:u w:val="none" w:color="auto"/>
          <w:lang w:val="en-US" w:eastAsia="zh-CN"/>
        </w:rPr>
      </w:pPr>
      <w:r>
        <w:rPr>
          <w:rFonts w:hint="eastAsia"/>
          <w:color w:val="auto"/>
          <w:u w:val="none" w:color="auto"/>
          <w:lang w:val="en-US" w:eastAsia="zh-CN"/>
        </w:rPr>
        <w:t>表1.3-7 与《湖南省长江经济带发展负面清单指南（试行，2022年版）》相符性分析</w:t>
      </w:r>
    </w:p>
    <w:tbl>
      <w:tblPr>
        <w:tblStyle w:val="16"/>
        <w:tblW w:w="853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93"/>
        <w:gridCol w:w="2741"/>
        <w:gridCol w:w="905"/>
      </w:tblGrid>
      <w:tr w14:paraId="05F59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4D4A3D65">
            <w:pPr>
              <w:pStyle w:val="23"/>
              <w:bidi w:val="0"/>
              <w:rPr>
                <w:rFonts w:hint="eastAsia"/>
                <w:b/>
                <w:bCs w:val="0"/>
                <w:color w:val="auto"/>
                <w:u w:val="none" w:color="auto"/>
              </w:rPr>
            </w:pPr>
            <w:r>
              <w:rPr>
                <w:rFonts w:hint="eastAsia"/>
                <w:b/>
                <w:bCs w:val="0"/>
                <w:color w:val="auto"/>
                <w:u w:val="none" w:color="auto"/>
              </w:rPr>
              <w:t>要求</w:t>
            </w:r>
          </w:p>
        </w:tc>
        <w:tc>
          <w:tcPr>
            <w:tcW w:w="2741" w:type="dxa"/>
            <w:noWrap w:val="0"/>
            <w:vAlign w:val="center"/>
          </w:tcPr>
          <w:p w14:paraId="72B0276A">
            <w:pPr>
              <w:pStyle w:val="23"/>
              <w:bidi w:val="0"/>
              <w:rPr>
                <w:rFonts w:hint="eastAsia"/>
                <w:b/>
                <w:bCs w:val="0"/>
                <w:color w:val="auto"/>
                <w:u w:val="none" w:color="auto"/>
              </w:rPr>
            </w:pPr>
            <w:r>
              <w:rPr>
                <w:rFonts w:hint="eastAsia"/>
                <w:b/>
                <w:bCs w:val="0"/>
                <w:color w:val="auto"/>
                <w:u w:val="none" w:color="auto"/>
              </w:rPr>
              <w:t>本项目情况</w:t>
            </w:r>
          </w:p>
        </w:tc>
        <w:tc>
          <w:tcPr>
            <w:tcW w:w="905" w:type="dxa"/>
            <w:noWrap w:val="0"/>
            <w:vAlign w:val="center"/>
          </w:tcPr>
          <w:p w14:paraId="7EE62265">
            <w:pPr>
              <w:pStyle w:val="23"/>
              <w:bidi w:val="0"/>
              <w:rPr>
                <w:rFonts w:hint="eastAsia"/>
                <w:b/>
                <w:bCs w:val="0"/>
                <w:color w:val="auto"/>
                <w:u w:val="none" w:color="auto"/>
              </w:rPr>
            </w:pPr>
            <w:r>
              <w:rPr>
                <w:rFonts w:hint="eastAsia"/>
                <w:b/>
                <w:bCs w:val="0"/>
                <w:color w:val="auto"/>
                <w:u w:val="none" w:color="auto"/>
              </w:rPr>
              <w:t>相符性</w:t>
            </w:r>
          </w:p>
        </w:tc>
      </w:tr>
      <w:tr w14:paraId="4ECCF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2772A175">
            <w:pPr>
              <w:pStyle w:val="23"/>
              <w:bidi w:val="0"/>
              <w:rPr>
                <w:rFonts w:hint="eastAsia"/>
                <w:color w:val="auto"/>
                <w:u w:val="none" w:color="auto"/>
              </w:rPr>
            </w:pPr>
            <w:r>
              <w:rPr>
                <w:rFonts w:hint="eastAsia"/>
                <w:color w:val="auto"/>
                <w:u w:val="none" w:color="auto"/>
              </w:rPr>
              <w:t>禁止建设不符合全国和省级港口布局规划以及港</w:t>
            </w:r>
          </w:p>
          <w:p w14:paraId="1E391961">
            <w:pPr>
              <w:pStyle w:val="23"/>
              <w:bidi w:val="0"/>
              <w:rPr>
                <w:rFonts w:hint="eastAsia"/>
                <w:color w:val="auto"/>
                <w:u w:val="none" w:color="auto"/>
              </w:rPr>
            </w:pPr>
            <w:r>
              <w:rPr>
                <w:rFonts w:hint="eastAsia"/>
                <w:color w:val="auto"/>
                <w:u w:val="none" w:color="auto"/>
              </w:rPr>
              <w:t>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年)》的过长江通道项目</w:t>
            </w:r>
          </w:p>
        </w:tc>
        <w:tc>
          <w:tcPr>
            <w:tcW w:w="2741" w:type="dxa"/>
            <w:noWrap w:val="0"/>
            <w:vAlign w:val="center"/>
          </w:tcPr>
          <w:p w14:paraId="213338A0">
            <w:pPr>
              <w:pStyle w:val="23"/>
              <w:bidi w:val="0"/>
              <w:rPr>
                <w:rFonts w:hint="eastAsia"/>
                <w:color w:val="auto"/>
                <w:u w:val="none" w:color="auto"/>
              </w:rPr>
            </w:pPr>
            <w:r>
              <w:rPr>
                <w:rFonts w:hint="eastAsia"/>
                <w:color w:val="auto"/>
                <w:u w:val="none" w:color="auto"/>
              </w:rPr>
              <w:t>本项目不属于码头建设项目</w:t>
            </w:r>
          </w:p>
        </w:tc>
        <w:tc>
          <w:tcPr>
            <w:tcW w:w="905" w:type="dxa"/>
            <w:noWrap w:val="0"/>
            <w:vAlign w:val="center"/>
          </w:tcPr>
          <w:p w14:paraId="05C672B2">
            <w:pPr>
              <w:pStyle w:val="23"/>
              <w:bidi w:val="0"/>
              <w:rPr>
                <w:rFonts w:hint="eastAsia"/>
                <w:color w:val="auto"/>
                <w:u w:val="none" w:color="auto"/>
              </w:rPr>
            </w:pPr>
            <w:r>
              <w:rPr>
                <w:rFonts w:hint="eastAsia"/>
                <w:color w:val="auto"/>
                <w:u w:val="none" w:color="auto"/>
              </w:rPr>
              <w:t>符合</w:t>
            </w:r>
          </w:p>
        </w:tc>
      </w:tr>
      <w:tr w14:paraId="02B3F5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7CCF7286">
            <w:pPr>
              <w:pStyle w:val="23"/>
              <w:bidi w:val="0"/>
              <w:rPr>
                <w:rFonts w:hint="eastAsia"/>
                <w:color w:val="auto"/>
                <w:u w:val="none" w:color="auto"/>
              </w:rPr>
            </w:pPr>
            <w:r>
              <w:rPr>
                <w:rFonts w:hint="eastAsia"/>
                <w:color w:val="auto"/>
                <w:u w:val="none" w:color="auto"/>
              </w:rPr>
              <w:t>禁止在自然保护区核心区、缓冲区的岸线和河段</w:t>
            </w:r>
          </w:p>
          <w:p w14:paraId="1466AA9E">
            <w:pPr>
              <w:pStyle w:val="23"/>
              <w:bidi w:val="0"/>
              <w:rPr>
                <w:rFonts w:hint="eastAsia"/>
                <w:color w:val="auto"/>
                <w:u w:val="none" w:color="auto"/>
                <w:lang w:eastAsia="zh-CN"/>
              </w:rPr>
            </w:pPr>
            <w:r>
              <w:rPr>
                <w:rFonts w:hint="eastAsia"/>
                <w:color w:val="auto"/>
                <w:u w:val="none" w:color="auto"/>
              </w:rPr>
              <w:t>范围内投资建设以下旅游和生产经营项目</w:t>
            </w:r>
            <w:r>
              <w:rPr>
                <w:rFonts w:hint="eastAsia"/>
                <w:color w:val="auto"/>
                <w:u w:val="none" w:color="auto"/>
                <w:lang w:eastAsia="zh-CN"/>
              </w:rPr>
              <w:t>：</w:t>
            </w:r>
            <w:r>
              <w:rPr>
                <w:rFonts w:hint="eastAsia"/>
                <w:color w:val="auto"/>
                <w:u w:val="none" w:color="auto"/>
              </w:rPr>
              <w:t>(一)高尔夫球场开发、房地产开发、索道建设、会所建设等项目</w:t>
            </w:r>
            <w:r>
              <w:rPr>
                <w:rFonts w:hint="eastAsia"/>
                <w:color w:val="auto"/>
                <w:u w:val="none" w:color="auto"/>
                <w:lang w:eastAsia="zh-CN"/>
              </w:rPr>
              <w:t>；</w:t>
            </w:r>
            <w:r>
              <w:rPr>
                <w:rFonts w:hint="eastAsia"/>
                <w:color w:val="auto"/>
                <w:u w:val="none" w:color="auto"/>
              </w:rPr>
              <w:t>(二)光伏发电、风力发电、火力发电建设项目</w:t>
            </w:r>
            <w:r>
              <w:rPr>
                <w:rFonts w:hint="eastAsia"/>
                <w:color w:val="auto"/>
                <w:u w:val="none" w:color="auto"/>
                <w:lang w:eastAsia="zh-CN"/>
              </w:rPr>
              <w:t>；</w:t>
            </w:r>
            <w:r>
              <w:rPr>
                <w:rFonts w:hint="eastAsia"/>
                <w:color w:val="auto"/>
                <w:u w:val="none" w:color="auto"/>
              </w:rPr>
              <w:t>(三)社会资金进行商业性探矿勘查，以及不属于国家紧缺矿种资源的基础地质调查和矿产远景调查等公益性工作的设施建设</w:t>
            </w:r>
            <w:r>
              <w:rPr>
                <w:rFonts w:hint="eastAsia"/>
                <w:color w:val="auto"/>
                <w:u w:val="none" w:color="auto"/>
                <w:lang w:eastAsia="zh-CN"/>
              </w:rPr>
              <w:t>；(四)野生动物驯养繁殖、展览基地建设项目；(五)污染环境、破坏自然资源或自然景观的建设设施；(六)对自然保护区主要保护对象产生重大影响、改变自然生态系统完整性、原真性、破坏自然景观的设施；(七)其他不符合自然保护区主体功能定位和国家禁止的设施</w:t>
            </w:r>
          </w:p>
        </w:tc>
        <w:tc>
          <w:tcPr>
            <w:tcW w:w="2741" w:type="dxa"/>
            <w:noWrap w:val="0"/>
            <w:vAlign w:val="center"/>
          </w:tcPr>
          <w:p w14:paraId="5AA43896">
            <w:pPr>
              <w:pStyle w:val="23"/>
              <w:bidi w:val="0"/>
              <w:rPr>
                <w:rFonts w:hint="eastAsia"/>
                <w:color w:val="auto"/>
                <w:u w:val="none" w:color="auto"/>
              </w:rPr>
            </w:pPr>
            <w:r>
              <w:rPr>
                <w:rFonts w:hint="eastAsia"/>
                <w:color w:val="auto"/>
                <w:u w:val="none" w:color="auto"/>
              </w:rPr>
              <w:t>项目位于汨罗高新技术产</w:t>
            </w:r>
          </w:p>
          <w:p w14:paraId="2102DD20">
            <w:pPr>
              <w:pStyle w:val="23"/>
              <w:bidi w:val="0"/>
              <w:rPr>
                <w:rFonts w:hint="eastAsia"/>
                <w:color w:val="auto"/>
                <w:u w:val="none" w:color="auto"/>
              </w:rPr>
            </w:pPr>
            <w:r>
              <w:rPr>
                <w:rFonts w:hint="eastAsia"/>
                <w:color w:val="auto"/>
                <w:u w:val="none" w:color="auto"/>
              </w:rPr>
              <w:t>业开发区新市片区，不属于</w:t>
            </w:r>
          </w:p>
          <w:p w14:paraId="47CBFB4C">
            <w:pPr>
              <w:pStyle w:val="23"/>
              <w:bidi w:val="0"/>
              <w:rPr>
                <w:rFonts w:hint="eastAsia"/>
                <w:color w:val="auto"/>
                <w:u w:val="none" w:color="auto"/>
              </w:rPr>
            </w:pPr>
            <w:r>
              <w:rPr>
                <w:rFonts w:hint="eastAsia"/>
                <w:color w:val="auto"/>
                <w:u w:val="none" w:color="auto"/>
              </w:rPr>
              <w:t>自然保护区及风景名胜区</w:t>
            </w:r>
          </w:p>
          <w:p w14:paraId="2CE6456B">
            <w:pPr>
              <w:pStyle w:val="23"/>
              <w:bidi w:val="0"/>
              <w:rPr>
                <w:rFonts w:hint="eastAsia"/>
                <w:color w:val="auto"/>
                <w:u w:val="none" w:color="auto"/>
              </w:rPr>
            </w:pPr>
            <w:r>
              <w:rPr>
                <w:rFonts w:hint="eastAsia"/>
                <w:color w:val="auto"/>
                <w:u w:val="none" w:color="auto"/>
              </w:rPr>
              <w:t>内</w:t>
            </w:r>
          </w:p>
        </w:tc>
        <w:tc>
          <w:tcPr>
            <w:tcW w:w="905" w:type="dxa"/>
            <w:noWrap w:val="0"/>
            <w:vAlign w:val="center"/>
          </w:tcPr>
          <w:p w14:paraId="0F028120">
            <w:pPr>
              <w:pStyle w:val="23"/>
              <w:bidi w:val="0"/>
              <w:rPr>
                <w:rFonts w:hint="eastAsia"/>
                <w:color w:val="auto"/>
                <w:u w:val="none" w:color="auto"/>
              </w:rPr>
            </w:pPr>
            <w:r>
              <w:rPr>
                <w:rFonts w:hint="eastAsia"/>
                <w:color w:val="auto"/>
                <w:u w:val="none" w:color="auto"/>
              </w:rPr>
              <w:t>符合</w:t>
            </w:r>
          </w:p>
        </w:tc>
      </w:tr>
      <w:tr w14:paraId="677D5E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68D010B0">
            <w:pPr>
              <w:pStyle w:val="23"/>
              <w:bidi w:val="0"/>
              <w:rPr>
                <w:rFonts w:hint="eastAsia"/>
                <w:color w:val="auto"/>
                <w:u w:val="none" w:color="auto"/>
              </w:rPr>
            </w:pPr>
            <w:r>
              <w:rPr>
                <w:rFonts w:hint="eastAsia"/>
                <w:color w:val="auto"/>
                <w:u w:val="none" w:color="auto"/>
              </w:rPr>
              <w:t xml:space="preserve"> 机场、铁路、公路、水利、围堰等公益性基础设施的选址选线应多方案优化比选，尽量避让相关自然保护区域、野生动物迁徙洄游通道</w:t>
            </w:r>
            <w:r>
              <w:rPr>
                <w:rFonts w:hint="eastAsia"/>
                <w:color w:val="auto"/>
                <w:u w:val="none" w:color="auto"/>
                <w:lang w:eastAsia="zh-CN"/>
              </w:rPr>
              <w:t>；</w:t>
            </w:r>
            <w:r>
              <w:rPr>
                <w:rFonts w:hint="eastAsia"/>
                <w:color w:val="auto"/>
                <w:u w:val="none" w:color="auto"/>
              </w:rPr>
              <w:t>无法避让的，应当采取修建野生动物通道、过鱼设施等措施，消除或者减少对野生动物的不利影响。</w:t>
            </w:r>
          </w:p>
        </w:tc>
        <w:tc>
          <w:tcPr>
            <w:tcW w:w="2741" w:type="dxa"/>
            <w:noWrap w:val="0"/>
            <w:vAlign w:val="center"/>
          </w:tcPr>
          <w:p w14:paraId="1BD9A7F1">
            <w:pPr>
              <w:pStyle w:val="23"/>
              <w:bidi w:val="0"/>
              <w:rPr>
                <w:rFonts w:hint="eastAsia"/>
                <w:color w:val="auto"/>
                <w:u w:val="none" w:color="auto"/>
                <w:lang w:eastAsia="zh-CN"/>
              </w:rPr>
            </w:pPr>
            <w:r>
              <w:rPr>
                <w:rFonts w:hint="eastAsia"/>
                <w:color w:val="auto"/>
                <w:u w:val="none" w:color="auto"/>
              </w:rPr>
              <w:t>本项目</w:t>
            </w:r>
            <w:r>
              <w:rPr>
                <w:rFonts w:hint="eastAsia"/>
                <w:color w:val="auto"/>
                <w:u w:val="none" w:color="auto"/>
                <w:lang w:eastAsia="zh-CN"/>
              </w:rPr>
              <w:t>不属于</w:t>
            </w:r>
            <w:r>
              <w:rPr>
                <w:rFonts w:hint="eastAsia"/>
                <w:color w:val="auto"/>
                <w:u w:val="none" w:color="auto"/>
              </w:rPr>
              <w:t>机场、铁路、公路、水利、围堰等公益性基础设施</w:t>
            </w:r>
            <w:r>
              <w:rPr>
                <w:rFonts w:hint="eastAsia"/>
                <w:color w:val="auto"/>
                <w:u w:val="none" w:color="auto"/>
                <w:lang w:eastAsia="zh-CN"/>
              </w:rPr>
              <w:t>建设，且本项目</w:t>
            </w:r>
            <w:r>
              <w:rPr>
                <w:rFonts w:hint="eastAsia"/>
                <w:color w:val="auto"/>
                <w:u w:val="none" w:color="auto"/>
              </w:rPr>
              <w:t>位于工业区，不位于自然保护区内</w:t>
            </w:r>
          </w:p>
        </w:tc>
        <w:tc>
          <w:tcPr>
            <w:tcW w:w="905" w:type="dxa"/>
            <w:noWrap w:val="0"/>
            <w:vAlign w:val="center"/>
          </w:tcPr>
          <w:p w14:paraId="016397AE">
            <w:pPr>
              <w:pStyle w:val="23"/>
              <w:bidi w:val="0"/>
              <w:rPr>
                <w:rFonts w:hint="eastAsia"/>
                <w:color w:val="auto"/>
                <w:u w:val="none" w:color="auto"/>
              </w:rPr>
            </w:pPr>
            <w:r>
              <w:rPr>
                <w:rFonts w:hint="eastAsia"/>
                <w:color w:val="auto"/>
                <w:u w:val="none" w:color="auto"/>
              </w:rPr>
              <w:t>符合</w:t>
            </w:r>
          </w:p>
        </w:tc>
      </w:tr>
      <w:tr w14:paraId="7E6943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4990EA7A">
            <w:pPr>
              <w:pStyle w:val="23"/>
              <w:bidi w:val="0"/>
              <w:rPr>
                <w:rFonts w:hint="eastAsia"/>
                <w:color w:val="auto"/>
                <w:u w:val="none" w:color="auto"/>
              </w:rPr>
            </w:pPr>
            <w:r>
              <w:rPr>
                <w:rFonts w:hint="eastAsia"/>
                <w:color w:val="auto"/>
                <w:u w:val="none" w:color="auto"/>
              </w:rPr>
              <w:t>禁止违反风景名胜区规划，在风景名胜区内设立各类开发区和在核心景区内建设宾馆、招待所、培训中心、疗养院以及与风景名胜资源保护无关的其他建筑物</w:t>
            </w:r>
            <w:r>
              <w:rPr>
                <w:rFonts w:hint="eastAsia"/>
                <w:color w:val="auto"/>
                <w:u w:val="none" w:color="auto"/>
                <w:lang w:eastAsia="zh-CN"/>
              </w:rPr>
              <w:t>；</w:t>
            </w:r>
            <w:r>
              <w:rPr>
                <w:rFonts w:hint="eastAsia"/>
                <w:color w:val="auto"/>
                <w:u w:val="none" w:color="auto"/>
              </w:rPr>
              <w:t>已经建设的，应当按照风景名胜区规划，逐步迁出</w:t>
            </w:r>
          </w:p>
        </w:tc>
        <w:tc>
          <w:tcPr>
            <w:tcW w:w="2741" w:type="dxa"/>
            <w:noWrap w:val="0"/>
            <w:vAlign w:val="center"/>
          </w:tcPr>
          <w:p w14:paraId="506A38B2">
            <w:pPr>
              <w:pStyle w:val="23"/>
              <w:bidi w:val="0"/>
              <w:rPr>
                <w:rFonts w:hint="eastAsia"/>
                <w:color w:val="auto"/>
                <w:u w:val="none" w:color="auto"/>
              </w:rPr>
            </w:pPr>
            <w:r>
              <w:rPr>
                <w:rFonts w:hint="eastAsia"/>
                <w:color w:val="auto"/>
                <w:u w:val="none" w:color="auto"/>
              </w:rPr>
              <w:t>项目位于汨罗高新技术产</w:t>
            </w:r>
          </w:p>
          <w:p w14:paraId="56906EED">
            <w:pPr>
              <w:pStyle w:val="23"/>
              <w:bidi w:val="0"/>
              <w:rPr>
                <w:rFonts w:hint="eastAsia"/>
                <w:color w:val="auto"/>
                <w:u w:val="none" w:color="auto"/>
              </w:rPr>
            </w:pPr>
            <w:r>
              <w:rPr>
                <w:rFonts w:hint="eastAsia"/>
                <w:color w:val="auto"/>
                <w:u w:val="none" w:color="auto"/>
              </w:rPr>
              <w:t>业开发区新市片区，不属于</w:t>
            </w:r>
          </w:p>
          <w:p w14:paraId="1E9B4DA8">
            <w:pPr>
              <w:pStyle w:val="23"/>
              <w:bidi w:val="0"/>
              <w:rPr>
                <w:rFonts w:hint="eastAsia"/>
                <w:color w:val="auto"/>
                <w:u w:val="none" w:color="auto"/>
              </w:rPr>
            </w:pPr>
            <w:r>
              <w:rPr>
                <w:rFonts w:hint="eastAsia"/>
                <w:color w:val="auto"/>
                <w:u w:val="none" w:color="auto"/>
              </w:rPr>
              <w:t>风景名胜区</w:t>
            </w:r>
          </w:p>
          <w:p w14:paraId="1801511E">
            <w:pPr>
              <w:pStyle w:val="23"/>
              <w:bidi w:val="0"/>
              <w:rPr>
                <w:rFonts w:hint="eastAsia"/>
                <w:color w:val="auto"/>
                <w:u w:val="none" w:color="auto"/>
              </w:rPr>
            </w:pPr>
            <w:r>
              <w:rPr>
                <w:rFonts w:hint="eastAsia"/>
                <w:color w:val="auto"/>
                <w:u w:val="none" w:color="auto"/>
              </w:rPr>
              <w:t>内</w:t>
            </w:r>
          </w:p>
        </w:tc>
        <w:tc>
          <w:tcPr>
            <w:tcW w:w="905" w:type="dxa"/>
            <w:noWrap w:val="0"/>
            <w:vAlign w:val="center"/>
          </w:tcPr>
          <w:p w14:paraId="3CD27E1D">
            <w:pPr>
              <w:pStyle w:val="23"/>
              <w:bidi w:val="0"/>
              <w:rPr>
                <w:rFonts w:hint="eastAsia"/>
                <w:color w:val="auto"/>
                <w:u w:val="none" w:color="auto"/>
              </w:rPr>
            </w:pPr>
            <w:r>
              <w:rPr>
                <w:rFonts w:hint="eastAsia"/>
                <w:color w:val="auto"/>
                <w:u w:val="none" w:color="auto"/>
              </w:rPr>
              <w:t>符合</w:t>
            </w:r>
          </w:p>
        </w:tc>
      </w:tr>
      <w:tr w14:paraId="1E1499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08C5036D">
            <w:pPr>
              <w:pStyle w:val="23"/>
              <w:bidi w:val="0"/>
              <w:rPr>
                <w:rFonts w:hint="eastAsia"/>
                <w:color w:val="auto"/>
                <w:u w:val="none" w:color="auto"/>
              </w:rPr>
            </w:pPr>
            <w:r>
              <w:rPr>
                <w:rFonts w:hint="eastAsia"/>
                <w:color w:val="auto"/>
                <w:u w:val="none" w:color="auto"/>
              </w:rPr>
              <w:t>饮用水水源一级保护区内禁止新建、改建、扩建</w:t>
            </w:r>
          </w:p>
          <w:p w14:paraId="7DF96828">
            <w:pPr>
              <w:pStyle w:val="23"/>
              <w:bidi w:val="0"/>
              <w:rPr>
                <w:rFonts w:hint="eastAsia"/>
                <w:color w:val="auto"/>
                <w:u w:val="none" w:color="auto"/>
              </w:rPr>
            </w:pPr>
            <w:r>
              <w:rPr>
                <w:rFonts w:hint="eastAsia"/>
                <w:color w:val="auto"/>
                <w:u w:val="none" w:color="auto"/>
              </w:rPr>
              <w:t>与供水设施和保护水源无关的建设项目，以及网箱养殖、畜禽养殖、旅游等可能污染饮用水水体的投资建设项目</w:t>
            </w:r>
            <w:r>
              <w:rPr>
                <w:rFonts w:hint="eastAsia"/>
                <w:color w:val="auto"/>
                <w:u w:val="none" w:color="auto"/>
                <w:lang w:eastAsia="zh-CN"/>
              </w:rPr>
              <w:t>；</w:t>
            </w:r>
            <w:r>
              <w:rPr>
                <w:rFonts w:hint="eastAsia"/>
                <w:color w:val="auto"/>
                <w:u w:val="none" w:color="auto"/>
              </w:rPr>
              <w:t>禁止向水域排放污水，已设置的排污口必须拆除</w:t>
            </w:r>
            <w:r>
              <w:rPr>
                <w:rFonts w:hint="eastAsia"/>
                <w:color w:val="auto"/>
                <w:u w:val="none" w:color="auto"/>
                <w:lang w:eastAsia="zh-CN"/>
              </w:rPr>
              <w:t>；</w:t>
            </w:r>
            <w:r>
              <w:rPr>
                <w:rFonts w:hint="eastAsia"/>
                <w:color w:val="auto"/>
                <w:u w:val="none" w:color="auto"/>
              </w:rPr>
              <w:t>不得设置与供水需要无关的码头，禁止停靠船舶</w:t>
            </w:r>
            <w:r>
              <w:rPr>
                <w:rFonts w:hint="eastAsia"/>
                <w:color w:val="auto"/>
                <w:u w:val="none" w:color="auto"/>
                <w:lang w:eastAsia="zh-CN"/>
              </w:rPr>
              <w:t>；</w:t>
            </w:r>
            <w:r>
              <w:rPr>
                <w:rFonts w:hint="eastAsia"/>
                <w:color w:val="auto"/>
                <w:u w:val="none" w:color="auto"/>
              </w:rPr>
              <w:t>禁止堆置和存放工业废渣、城市垃圾、粪便和其它废弃物</w:t>
            </w:r>
            <w:r>
              <w:rPr>
                <w:rFonts w:hint="eastAsia"/>
                <w:color w:val="auto"/>
                <w:u w:val="none" w:color="auto"/>
                <w:lang w:eastAsia="zh-CN"/>
              </w:rPr>
              <w:t>；</w:t>
            </w:r>
            <w:r>
              <w:rPr>
                <w:rFonts w:hint="eastAsia"/>
                <w:color w:val="auto"/>
                <w:u w:val="none" w:color="auto"/>
              </w:rPr>
              <w:t>禁止设置油库</w:t>
            </w:r>
            <w:r>
              <w:rPr>
                <w:rFonts w:hint="eastAsia"/>
                <w:color w:val="auto"/>
                <w:u w:val="none" w:color="auto"/>
                <w:lang w:eastAsia="zh-CN"/>
              </w:rPr>
              <w:t>；</w:t>
            </w:r>
            <w:r>
              <w:rPr>
                <w:rFonts w:hint="eastAsia"/>
                <w:color w:val="auto"/>
                <w:u w:val="none" w:color="auto"/>
              </w:rPr>
              <w:t>禁止使用含磷洗涤用品</w:t>
            </w:r>
          </w:p>
        </w:tc>
        <w:tc>
          <w:tcPr>
            <w:tcW w:w="2741" w:type="dxa"/>
            <w:noWrap w:val="0"/>
            <w:vAlign w:val="center"/>
          </w:tcPr>
          <w:p w14:paraId="2F78E6DB">
            <w:pPr>
              <w:pStyle w:val="23"/>
              <w:bidi w:val="0"/>
              <w:rPr>
                <w:rFonts w:hint="eastAsia"/>
                <w:color w:val="auto"/>
                <w:u w:val="none" w:color="auto"/>
              </w:rPr>
            </w:pPr>
            <w:r>
              <w:rPr>
                <w:rFonts w:hint="eastAsia"/>
                <w:color w:val="auto"/>
                <w:u w:val="none" w:color="auto"/>
              </w:rPr>
              <w:t>项目位于汨罗高新技术产</w:t>
            </w:r>
          </w:p>
          <w:p w14:paraId="52247AB2">
            <w:pPr>
              <w:pStyle w:val="23"/>
              <w:bidi w:val="0"/>
              <w:rPr>
                <w:rFonts w:hint="eastAsia"/>
                <w:color w:val="auto"/>
                <w:u w:val="none" w:color="auto"/>
              </w:rPr>
            </w:pPr>
            <w:r>
              <w:rPr>
                <w:rFonts w:hint="eastAsia"/>
                <w:color w:val="auto"/>
                <w:u w:val="none" w:color="auto"/>
              </w:rPr>
              <w:t>业开发区新市片区，不涉及饮用水水源一级保护区</w:t>
            </w:r>
          </w:p>
        </w:tc>
        <w:tc>
          <w:tcPr>
            <w:tcW w:w="905" w:type="dxa"/>
            <w:noWrap w:val="0"/>
            <w:vAlign w:val="center"/>
          </w:tcPr>
          <w:p w14:paraId="5B8E2237">
            <w:pPr>
              <w:pStyle w:val="23"/>
              <w:bidi w:val="0"/>
              <w:rPr>
                <w:rFonts w:hint="eastAsia"/>
                <w:color w:val="auto"/>
                <w:u w:val="none" w:color="auto"/>
              </w:rPr>
            </w:pPr>
            <w:r>
              <w:rPr>
                <w:rFonts w:hint="eastAsia"/>
                <w:color w:val="auto"/>
                <w:u w:val="none" w:color="auto"/>
              </w:rPr>
              <w:t>符合</w:t>
            </w:r>
          </w:p>
        </w:tc>
      </w:tr>
      <w:tr w14:paraId="62287D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46FDD6BB">
            <w:pPr>
              <w:pStyle w:val="23"/>
              <w:bidi w:val="0"/>
              <w:rPr>
                <w:rFonts w:hint="eastAsia"/>
                <w:color w:val="auto"/>
                <w:u w:val="none" w:color="auto"/>
              </w:rPr>
            </w:pPr>
            <w:r>
              <w:rPr>
                <w:rFonts w:hint="eastAsia"/>
                <w:color w:val="auto"/>
                <w:u w:val="none" w:color="auto"/>
              </w:rPr>
              <w:t>饮用水水源二级保护区内禁止新建、改建、扩建</w:t>
            </w:r>
          </w:p>
          <w:p w14:paraId="4E72B93B">
            <w:pPr>
              <w:pStyle w:val="23"/>
              <w:bidi w:val="0"/>
              <w:rPr>
                <w:rFonts w:hint="eastAsia"/>
                <w:color w:val="auto"/>
                <w:u w:val="none" w:color="auto"/>
              </w:rPr>
            </w:pPr>
            <w:r>
              <w:rPr>
                <w:rFonts w:hint="eastAsia"/>
                <w:color w:val="auto"/>
                <w:u w:val="none" w:color="auto"/>
              </w:rPr>
              <w:t>向水体排放污染物的投资建设项目。原有排污口依法拆除或关闭。禁止设立装卸垃圾、粪便、油类和有毒物品的码头。</w:t>
            </w:r>
          </w:p>
        </w:tc>
        <w:tc>
          <w:tcPr>
            <w:tcW w:w="2741" w:type="dxa"/>
            <w:noWrap w:val="0"/>
            <w:vAlign w:val="center"/>
          </w:tcPr>
          <w:p w14:paraId="344EFAC0">
            <w:pPr>
              <w:pStyle w:val="23"/>
              <w:bidi w:val="0"/>
              <w:rPr>
                <w:rFonts w:hint="eastAsia"/>
                <w:color w:val="auto"/>
                <w:u w:val="none" w:color="auto"/>
              </w:rPr>
            </w:pPr>
            <w:r>
              <w:rPr>
                <w:rFonts w:hint="eastAsia"/>
                <w:color w:val="auto"/>
                <w:u w:val="none" w:color="auto"/>
              </w:rPr>
              <w:t>项目位于汨罗高新技术产</w:t>
            </w:r>
          </w:p>
          <w:p w14:paraId="2C264168">
            <w:pPr>
              <w:pStyle w:val="23"/>
              <w:bidi w:val="0"/>
              <w:rPr>
                <w:rFonts w:hint="eastAsia"/>
                <w:color w:val="auto"/>
                <w:u w:val="none" w:color="auto"/>
              </w:rPr>
            </w:pPr>
            <w:r>
              <w:rPr>
                <w:rFonts w:hint="eastAsia"/>
                <w:color w:val="auto"/>
                <w:u w:val="none" w:color="auto"/>
              </w:rPr>
              <w:t>业开发区新市片区，不涉及饮用水水源</w:t>
            </w:r>
            <w:r>
              <w:rPr>
                <w:rFonts w:hint="eastAsia"/>
                <w:color w:val="auto"/>
                <w:u w:val="none" w:color="auto"/>
                <w:lang w:eastAsia="zh-CN"/>
              </w:rPr>
              <w:t>二</w:t>
            </w:r>
            <w:r>
              <w:rPr>
                <w:rFonts w:hint="eastAsia"/>
                <w:color w:val="auto"/>
                <w:u w:val="none" w:color="auto"/>
              </w:rPr>
              <w:t>级保护区</w:t>
            </w:r>
          </w:p>
        </w:tc>
        <w:tc>
          <w:tcPr>
            <w:tcW w:w="905" w:type="dxa"/>
            <w:noWrap w:val="0"/>
            <w:vAlign w:val="center"/>
          </w:tcPr>
          <w:p w14:paraId="6CCB50B6">
            <w:pPr>
              <w:pStyle w:val="23"/>
              <w:bidi w:val="0"/>
              <w:rPr>
                <w:rFonts w:hint="eastAsia"/>
                <w:color w:val="auto"/>
                <w:u w:val="none" w:color="auto"/>
              </w:rPr>
            </w:pPr>
            <w:r>
              <w:rPr>
                <w:rFonts w:hint="eastAsia"/>
                <w:color w:val="auto"/>
                <w:u w:val="none" w:color="auto"/>
              </w:rPr>
              <w:t>符合</w:t>
            </w:r>
          </w:p>
        </w:tc>
      </w:tr>
      <w:tr w14:paraId="7A10E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3372944D">
            <w:pPr>
              <w:pStyle w:val="23"/>
              <w:bidi w:val="0"/>
              <w:rPr>
                <w:color w:val="auto"/>
                <w:u w:val="none" w:color="auto"/>
              </w:rPr>
            </w:pPr>
            <w:r>
              <w:rPr>
                <w:rFonts w:hint="eastAsia"/>
                <w:color w:val="auto"/>
                <w:u w:val="none" w:color="auto"/>
              </w:rPr>
              <w:t>禁止在水产种质资源保护区的岸线和河段范围内新建排污口、实施非法围垦河道和围湖造田造地等投资建设项目</w:t>
            </w:r>
          </w:p>
        </w:tc>
        <w:tc>
          <w:tcPr>
            <w:tcW w:w="2741" w:type="dxa"/>
            <w:noWrap w:val="0"/>
            <w:vAlign w:val="center"/>
          </w:tcPr>
          <w:p w14:paraId="62E887C5">
            <w:pPr>
              <w:pStyle w:val="23"/>
              <w:bidi w:val="0"/>
              <w:rPr>
                <w:rFonts w:hint="eastAsia"/>
                <w:color w:val="auto"/>
                <w:u w:val="none" w:color="auto"/>
              </w:rPr>
            </w:pPr>
            <w:r>
              <w:rPr>
                <w:rFonts w:hint="eastAsia"/>
                <w:color w:val="auto"/>
                <w:u w:val="none" w:color="auto"/>
              </w:rPr>
              <w:t>项目位于汨罗高新技术产</w:t>
            </w:r>
          </w:p>
          <w:p w14:paraId="3D72EE29">
            <w:pPr>
              <w:pStyle w:val="23"/>
              <w:bidi w:val="0"/>
              <w:rPr>
                <w:rFonts w:hint="eastAsia"/>
                <w:color w:val="auto"/>
                <w:u w:val="none" w:color="auto"/>
              </w:rPr>
            </w:pPr>
            <w:r>
              <w:rPr>
                <w:rFonts w:hint="eastAsia"/>
                <w:color w:val="auto"/>
                <w:u w:val="none" w:color="auto"/>
              </w:rPr>
              <w:t>业开发区新市片区，不涉及水产种质资源保护区的岸线和河段</w:t>
            </w:r>
          </w:p>
        </w:tc>
        <w:tc>
          <w:tcPr>
            <w:tcW w:w="905" w:type="dxa"/>
            <w:noWrap w:val="0"/>
            <w:vAlign w:val="center"/>
          </w:tcPr>
          <w:p w14:paraId="6D2BCBA3">
            <w:pPr>
              <w:pStyle w:val="23"/>
              <w:bidi w:val="0"/>
              <w:rPr>
                <w:rFonts w:hint="eastAsia"/>
                <w:color w:val="auto"/>
                <w:u w:val="none" w:color="auto"/>
              </w:rPr>
            </w:pPr>
            <w:r>
              <w:rPr>
                <w:rFonts w:hint="eastAsia"/>
                <w:color w:val="auto"/>
                <w:u w:val="none" w:color="auto"/>
              </w:rPr>
              <w:t>符合</w:t>
            </w:r>
          </w:p>
        </w:tc>
      </w:tr>
      <w:tr w14:paraId="100973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193DA6A0">
            <w:pPr>
              <w:pStyle w:val="23"/>
              <w:bidi w:val="0"/>
              <w:rPr>
                <w:rFonts w:hint="eastAsia"/>
                <w:color w:val="auto"/>
                <w:u w:val="none" w:color="auto"/>
              </w:rPr>
            </w:pPr>
            <w:r>
              <w:rPr>
                <w:rFonts w:hint="eastAsia"/>
                <w:color w:val="auto"/>
                <w:u w:val="none" w:color="auto"/>
              </w:rPr>
              <w:t>除《中华人民共和国防洪法》规定的紧急防汛期</w:t>
            </w:r>
          </w:p>
          <w:p w14:paraId="461D7B30">
            <w:pPr>
              <w:pStyle w:val="23"/>
              <w:bidi w:val="0"/>
              <w:rPr>
                <w:color w:val="auto"/>
                <w:u w:val="none" w:color="auto"/>
              </w:rPr>
            </w:pPr>
            <w:r>
              <w:rPr>
                <w:rFonts w:hint="eastAsia"/>
                <w:color w:val="auto"/>
                <w:u w:val="none" w:color="auto"/>
              </w:rPr>
              <w:t>采取的紧急措施外，禁止在国家湿地公园的岸线和河段范围内挖沙、采矿，以及以下不符合主体功能定位的行为和活动</w:t>
            </w:r>
            <w:r>
              <w:rPr>
                <w:rFonts w:hint="eastAsia"/>
                <w:color w:val="auto"/>
                <w:u w:val="none" w:color="auto"/>
                <w:lang w:eastAsia="zh-CN"/>
              </w:rPr>
              <w:t>：</w:t>
            </w:r>
            <w:r>
              <w:rPr>
                <w:rFonts w:hint="eastAsia"/>
                <w:color w:val="auto"/>
                <w:u w:val="none" w:color="auto"/>
              </w:rPr>
              <w:t>(一)开(围)垦、填埋或者排干湿地(二)截断湿地水源。(三)倾倒有毒有害物质、废弃物、垃圾。(四)从事房地产、度假村、高尔夫球场、风力发电、光伏发电等任何不符合主体功能定位的建设项目和开发活动。(五)破坏野生动物栖息地和迁徙通道、鱼类洄游通道，滥采滥捕野生动植物。(六)引入外来物种。(七)擅自放牧、捕捞、取土、取水、排污、放生。(八)其他破坏湿地及其生态功能的活动</w:t>
            </w:r>
          </w:p>
        </w:tc>
        <w:tc>
          <w:tcPr>
            <w:tcW w:w="2741" w:type="dxa"/>
            <w:noWrap w:val="0"/>
            <w:vAlign w:val="center"/>
          </w:tcPr>
          <w:p w14:paraId="69B2D1EC">
            <w:pPr>
              <w:pStyle w:val="23"/>
              <w:bidi w:val="0"/>
              <w:rPr>
                <w:rFonts w:hint="eastAsia"/>
                <w:color w:val="auto"/>
                <w:u w:val="none" w:color="auto"/>
              </w:rPr>
            </w:pPr>
            <w:r>
              <w:rPr>
                <w:rFonts w:hint="eastAsia"/>
                <w:color w:val="auto"/>
                <w:u w:val="none" w:color="auto"/>
              </w:rPr>
              <w:t>项目位于汨罗高新技术产</w:t>
            </w:r>
          </w:p>
          <w:p w14:paraId="7046B8A6">
            <w:pPr>
              <w:pStyle w:val="23"/>
              <w:bidi w:val="0"/>
              <w:rPr>
                <w:rFonts w:hint="default"/>
                <w:color w:val="auto"/>
                <w:u w:val="none" w:color="auto"/>
                <w:lang w:val="en-US" w:eastAsia="zh-CN"/>
              </w:rPr>
            </w:pPr>
            <w:r>
              <w:rPr>
                <w:rFonts w:hint="eastAsia"/>
                <w:color w:val="auto"/>
                <w:u w:val="none" w:color="auto"/>
              </w:rPr>
              <w:t>业开发区新市片区，不</w:t>
            </w:r>
            <w:r>
              <w:rPr>
                <w:rFonts w:hint="eastAsia"/>
                <w:color w:val="auto"/>
                <w:u w:val="none" w:color="auto"/>
                <w:lang w:eastAsia="zh-CN"/>
              </w:rPr>
              <w:t>位于</w:t>
            </w:r>
            <w:r>
              <w:rPr>
                <w:rFonts w:hint="eastAsia"/>
                <w:color w:val="auto"/>
                <w:u w:val="none" w:color="auto"/>
              </w:rPr>
              <w:t>国家湿地公园的岸线和河段范围内</w:t>
            </w:r>
          </w:p>
        </w:tc>
        <w:tc>
          <w:tcPr>
            <w:tcW w:w="905" w:type="dxa"/>
            <w:noWrap w:val="0"/>
            <w:vAlign w:val="center"/>
          </w:tcPr>
          <w:p w14:paraId="61CAF640">
            <w:pPr>
              <w:pStyle w:val="23"/>
              <w:bidi w:val="0"/>
              <w:rPr>
                <w:rFonts w:hint="eastAsia"/>
                <w:color w:val="auto"/>
                <w:u w:val="none" w:color="auto"/>
              </w:rPr>
            </w:pPr>
            <w:r>
              <w:rPr>
                <w:rFonts w:hint="eastAsia"/>
                <w:color w:val="auto"/>
                <w:u w:val="none" w:color="auto"/>
              </w:rPr>
              <w:t>符合</w:t>
            </w:r>
          </w:p>
        </w:tc>
      </w:tr>
      <w:tr w14:paraId="38750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46DF5590">
            <w:pPr>
              <w:pStyle w:val="23"/>
              <w:bidi w:val="0"/>
              <w:rPr>
                <w:rFonts w:hint="eastAsia"/>
                <w:color w:val="auto"/>
                <w:u w:val="none" w:color="auto"/>
              </w:rPr>
            </w:pPr>
            <w:r>
              <w:rPr>
                <w:rFonts w:hint="eastAsia"/>
                <w:color w:val="auto"/>
                <w:u w:val="none" w:color="auto"/>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填湖造地、围湖造田及非法围垦河道，禁止非法建设矮围网围、填埋湿地等侵占河湖水域或者违法利用、占用河湖岸线的行为</w:t>
            </w:r>
          </w:p>
        </w:tc>
        <w:tc>
          <w:tcPr>
            <w:tcW w:w="2741" w:type="dxa"/>
            <w:noWrap w:val="0"/>
            <w:vAlign w:val="center"/>
          </w:tcPr>
          <w:p w14:paraId="0D304E1F">
            <w:pPr>
              <w:pStyle w:val="23"/>
              <w:bidi w:val="0"/>
              <w:rPr>
                <w:rFonts w:hint="eastAsia"/>
                <w:color w:val="auto"/>
                <w:u w:val="none" w:color="auto"/>
              </w:rPr>
            </w:pPr>
            <w:r>
              <w:rPr>
                <w:rFonts w:hint="eastAsia"/>
                <w:color w:val="auto"/>
                <w:u w:val="none" w:color="auto"/>
              </w:rPr>
              <w:t>项目位于汨罗高新技术产</w:t>
            </w:r>
          </w:p>
          <w:p w14:paraId="221C0B4B">
            <w:pPr>
              <w:pStyle w:val="23"/>
              <w:bidi w:val="0"/>
              <w:rPr>
                <w:rFonts w:hint="eastAsia"/>
                <w:color w:val="auto"/>
                <w:u w:val="none" w:color="auto"/>
                <w:lang w:eastAsia="zh-CN"/>
              </w:rPr>
            </w:pPr>
            <w:r>
              <w:rPr>
                <w:rFonts w:hint="eastAsia"/>
                <w:color w:val="auto"/>
                <w:u w:val="none" w:color="auto"/>
              </w:rPr>
              <w:t>业开发区新市片区，</w:t>
            </w:r>
            <w:r>
              <w:rPr>
                <w:rFonts w:hint="eastAsia"/>
                <w:color w:val="auto"/>
                <w:u w:val="none" w:color="auto"/>
                <w:lang w:eastAsia="zh-CN"/>
              </w:rPr>
              <w:t>不涉及长江流域河湖岸线</w:t>
            </w:r>
          </w:p>
        </w:tc>
        <w:tc>
          <w:tcPr>
            <w:tcW w:w="905" w:type="dxa"/>
            <w:noWrap w:val="0"/>
            <w:vAlign w:val="center"/>
          </w:tcPr>
          <w:p w14:paraId="4B7284F8">
            <w:pPr>
              <w:pStyle w:val="23"/>
              <w:bidi w:val="0"/>
              <w:rPr>
                <w:rFonts w:hint="eastAsia"/>
                <w:color w:val="auto"/>
                <w:u w:val="none" w:color="auto"/>
              </w:rPr>
            </w:pPr>
            <w:r>
              <w:rPr>
                <w:rFonts w:hint="eastAsia"/>
                <w:color w:val="auto"/>
                <w:u w:val="none" w:color="auto"/>
              </w:rPr>
              <w:t>符合</w:t>
            </w:r>
          </w:p>
        </w:tc>
      </w:tr>
      <w:tr w14:paraId="09A2C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2BF1D8E9">
            <w:pPr>
              <w:pStyle w:val="23"/>
              <w:bidi w:val="0"/>
              <w:rPr>
                <w:rFonts w:hint="eastAsia"/>
                <w:color w:val="auto"/>
                <w:u w:val="none" w:color="auto"/>
              </w:rPr>
            </w:pPr>
            <w:r>
              <w:rPr>
                <w:rFonts w:hint="eastAsia"/>
                <w:color w:val="auto"/>
                <w:u w:val="none" w:color="auto"/>
              </w:rPr>
              <w:t>禁止在《全国重要江河湖泊水功能区划》划定的河段及湖泊保护区、保留区内投资建设不利于水资源及自然生态保护的项目。</w:t>
            </w:r>
          </w:p>
        </w:tc>
        <w:tc>
          <w:tcPr>
            <w:tcW w:w="2741" w:type="dxa"/>
            <w:noWrap w:val="0"/>
            <w:vAlign w:val="center"/>
          </w:tcPr>
          <w:p w14:paraId="01072065">
            <w:pPr>
              <w:pStyle w:val="23"/>
              <w:bidi w:val="0"/>
              <w:rPr>
                <w:rFonts w:hint="eastAsia"/>
                <w:color w:val="auto"/>
                <w:u w:val="none" w:color="auto"/>
              </w:rPr>
            </w:pPr>
            <w:r>
              <w:rPr>
                <w:rFonts w:hint="eastAsia"/>
                <w:color w:val="auto"/>
                <w:u w:val="none" w:color="auto"/>
              </w:rPr>
              <w:t>项目位于汨罗高新技术产</w:t>
            </w:r>
          </w:p>
          <w:p w14:paraId="0463588F">
            <w:pPr>
              <w:pStyle w:val="23"/>
              <w:bidi w:val="0"/>
              <w:rPr>
                <w:rFonts w:hint="eastAsia"/>
                <w:color w:val="auto"/>
                <w:u w:val="none" w:color="auto"/>
                <w:lang w:eastAsia="zh-CN"/>
              </w:rPr>
            </w:pPr>
            <w:r>
              <w:rPr>
                <w:rFonts w:hint="eastAsia"/>
                <w:color w:val="auto"/>
                <w:u w:val="none" w:color="auto"/>
              </w:rPr>
              <w:t>业开发区新市片区，</w:t>
            </w:r>
            <w:r>
              <w:rPr>
                <w:rFonts w:hint="eastAsia"/>
                <w:color w:val="auto"/>
                <w:u w:val="none" w:color="auto"/>
                <w:lang w:eastAsia="zh-CN"/>
              </w:rPr>
              <w:t>不位于</w:t>
            </w:r>
            <w:r>
              <w:rPr>
                <w:rFonts w:hint="eastAsia"/>
                <w:color w:val="auto"/>
                <w:u w:val="none" w:color="auto"/>
              </w:rPr>
              <w:t>《全国重要江河湖泊水功能区划》划定的河段及湖泊保护区、保留区内</w:t>
            </w:r>
          </w:p>
        </w:tc>
        <w:tc>
          <w:tcPr>
            <w:tcW w:w="905" w:type="dxa"/>
            <w:noWrap w:val="0"/>
            <w:vAlign w:val="center"/>
          </w:tcPr>
          <w:p w14:paraId="319C10EC">
            <w:pPr>
              <w:pStyle w:val="23"/>
              <w:bidi w:val="0"/>
              <w:rPr>
                <w:rFonts w:hint="eastAsia"/>
                <w:color w:val="auto"/>
                <w:u w:val="none" w:color="auto"/>
              </w:rPr>
            </w:pPr>
            <w:r>
              <w:rPr>
                <w:rFonts w:hint="eastAsia"/>
                <w:color w:val="auto"/>
                <w:u w:val="none" w:color="auto"/>
              </w:rPr>
              <w:t>符合</w:t>
            </w:r>
          </w:p>
        </w:tc>
      </w:tr>
      <w:tr w14:paraId="57586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1B473F43">
            <w:pPr>
              <w:pStyle w:val="23"/>
              <w:bidi w:val="0"/>
              <w:rPr>
                <w:rFonts w:hint="eastAsia"/>
                <w:color w:val="auto"/>
                <w:u w:val="none" w:color="auto"/>
              </w:rPr>
            </w:pPr>
            <w:r>
              <w:rPr>
                <w:rFonts w:hint="eastAsia"/>
                <w:color w:val="auto"/>
                <w:u w:val="none" w:color="auto"/>
              </w:rPr>
              <w:t>禁止未经许可在长江干支流及湖泊新设、改设或扩大排污口</w:t>
            </w:r>
          </w:p>
        </w:tc>
        <w:tc>
          <w:tcPr>
            <w:tcW w:w="2741" w:type="dxa"/>
            <w:noWrap w:val="0"/>
            <w:vAlign w:val="center"/>
          </w:tcPr>
          <w:p w14:paraId="55B1EF63">
            <w:pPr>
              <w:pStyle w:val="23"/>
              <w:bidi w:val="0"/>
              <w:rPr>
                <w:rFonts w:hint="eastAsia"/>
                <w:color w:val="auto"/>
                <w:u w:val="none" w:color="auto"/>
              </w:rPr>
            </w:pPr>
            <w:r>
              <w:rPr>
                <w:rFonts w:hint="eastAsia"/>
                <w:color w:val="auto"/>
                <w:u w:val="none" w:color="auto"/>
              </w:rPr>
              <w:t>本项目位于湖南省岳阳市汨罗市新市镇汨罗高新技术产业开发区新市片区</w:t>
            </w:r>
            <w:r>
              <w:rPr>
                <w:rFonts w:hint="eastAsia"/>
                <w:color w:val="auto"/>
                <w:u w:val="none" w:color="auto"/>
                <w:lang w:eastAsia="zh-CN"/>
              </w:rPr>
              <w:t>西片区龙舟路东侧合心路北侧</w:t>
            </w:r>
            <w:r>
              <w:rPr>
                <w:rFonts w:hint="eastAsia"/>
                <w:color w:val="auto"/>
                <w:u w:val="none" w:color="auto"/>
              </w:rPr>
              <w:t>，不涉及在长江干支流及湖泊新设、改设或扩大排污口</w:t>
            </w:r>
          </w:p>
        </w:tc>
        <w:tc>
          <w:tcPr>
            <w:tcW w:w="905" w:type="dxa"/>
            <w:noWrap w:val="0"/>
            <w:vAlign w:val="center"/>
          </w:tcPr>
          <w:p w14:paraId="28BA5194">
            <w:pPr>
              <w:pStyle w:val="23"/>
              <w:bidi w:val="0"/>
              <w:rPr>
                <w:rFonts w:hint="eastAsia"/>
                <w:color w:val="auto"/>
                <w:u w:val="none" w:color="auto"/>
              </w:rPr>
            </w:pPr>
            <w:r>
              <w:rPr>
                <w:rFonts w:hint="eastAsia"/>
                <w:color w:val="auto"/>
                <w:u w:val="none" w:color="auto"/>
              </w:rPr>
              <w:t>符合</w:t>
            </w:r>
          </w:p>
        </w:tc>
      </w:tr>
      <w:tr w14:paraId="3CC8C3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6D32ED8D">
            <w:pPr>
              <w:pStyle w:val="23"/>
              <w:bidi w:val="0"/>
              <w:rPr>
                <w:rFonts w:hint="eastAsia"/>
                <w:color w:val="auto"/>
                <w:u w:val="none" w:color="auto"/>
              </w:rPr>
            </w:pPr>
            <w:r>
              <w:rPr>
                <w:rFonts w:hint="eastAsia"/>
                <w:color w:val="auto"/>
                <w:u w:val="none" w:color="auto"/>
              </w:rPr>
              <w:t>禁止在洞庭湖、湘江、资江、沅江、澧水干流和45个水生生物保护区开展生产性捕捞。在相关自然保护区域和禁猎(渔)区、禁猎(渔)期内，禁止猎捕以及其他妨碍野生动物生息繁衍的活动，但法律法规另有规定的除外</w:t>
            </w:r>
          </w:p>
        </w:tc>
        <w:tc>
          <w:tcPr>
            <w:tcW w:w="2741" w:type="dxa"/>
            <w:noWrap w:val="0"/>
            <w:vAlign w:val="center"/>
          </w:tcPr>
          <w:p w14:paraId="73231993">
            <w:pPr>
              <w:pStyle w:val="23"/>
              <w:bidi w:val="0"/>
              <w:rPr>
                <w:rFonts w:hint="eastAsia"/>
                <w:color w:val="auto"/>
                <w:u w:val="none" w:color="auto"/>
              </w:rPr>
            </w:pPr>
            <w:r>
              <w:rPr>
                <w:rFonts w:hint="eastAsia"/>
                <w:color w:val="auto"/>
                <w:u w:val="none" w:color="auto"/>
              </w:rPr>
              <w:t>本项目不涉及捕捞</w:t>
            </w:r>
          </w:p>
        </w:tc>
        <w:tc>
          <w:tcPr>
            <w:tcW w:w="905" w:type="dxa"/>
            <w:noWrap w:val="0"/>
            <w:vAlign w:val="center"/>
          </w:tcPr>
          <w:p w14:paraId="468B88C0">
            <w:pPr>
              <w:pStyle w:val="23"/>
              <w:bidi w:val="0"/>
              <w:rPr>
                <w:rFonts w:hint="eastAsia"/>
                <w:color w:val="auto"/>
                <w:u w:val="none" w:color="auto"/>
              </w:rPr>
            </w:pPr>
            <w:r>
              <w:rPr>
                <w:rFonts w:hint="eastAsia"/>
                <w:color w:val="auto"/>
                <w:u w:val="none" w:color="auto"/>
              </w:rPr>
              <w:t>符合</w:t>
            </w:r>
          </w:p>
        </w:tc>
      </w:tr>
      <w:tr w14:paraId="3355C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6957B115">
            <w:pPr>
              <w:pStyle w:val="23"/>
              <w:bidi w:val="0"/>
              <w:rPr>
                <w:rFonts w:hint="eastAsia"/>
                <w:color w:val="auto"/>
                <w:u w:val="none" w:color="auto"/>
              </w:rPr>
            </w:pPr>
            <w:r>
              <w:rPr>
                <w:rFonts w:hint="eastAsia"/>
                <w:color w:val="auto"/>
                <w:u w:val="none" w:color="auto"/>
              </w:rPr>
              <w:t>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tc>
        <w:tc>
          <w:tcPr>
            <w:tcW w:w="2741" w:type="dxa"/>
            <w:noWrap w:val="0"/>
            <w:vAlign w:val="center"/>
          </w:tcPr>
          <w:p w14:paraId="09C36F8F">
            <w:pPr>
              <w:pStyle w:val="23"/>
              <w:bidi w:val="0"/>
              <w:rPr>
                <w:rFonts w:hint="eastAsia"/>
                <w:color w:val="auto"/>
                <w:u w:val="none" w:color="auto"/>
              </w:rPr>
            </w:pPr>
            <w:r>
              <w:rPr>
                <w:rFonts w:hint="eastAsia"/>
                <w:color w:val="auto"/>
                <w:u w:val="none" w:color="auto"/>
              </w:rPr>
              <w:t>本项目位于湖南省岳阳市汨罗市新市镇汨罗高新技术产业开发区新市片区</w:t>
            </w:r>
            <w:r>
              <w:rPr>
                <w:rFonts w:hint="eastAsia"/>
                <w:color w:val="auto"/>
                <w:u w:val="none" w:color="auto"/>
                <w:lang w:eastAsia="zh-CN"/>
              </w:rPr>
              <w:t>西片区龙舟路东侧合心路北侧</w:t>
            </w:r>
            <w:r>
              <w:rPr>
                <w:rFonts w:hint="eastAsia"/>
                <w:color w:val="auto"/>
                <w:u w:val="none" w:color="auto"/>
              </w:rPr>
              <w:t>，本项目不属于化工、尾矿库、冶炼渣库和磷石膏库等项目</w:t>
            </w:r>
          </w:p>
        </w:tc>
        <w:tc>
          <w:tcPr>
            <w:tcW w:w="905" w:type="dxa"/>
            <w:noWrap w:val="0"/>
            <w:vAlign w:val="center"/>
          </w:tcPr>
          <w:p w14:paraId="20B69E13">
            <w:pPr>
              <w:pStyle w:val="23"/>
              <w:bidi w:val="0"/>
              <w:rPr>
                <w:rFonts w:hint="eastAsia"/>
                <w:color w:val="auto"/>
                <w:u w:val="none" w:color="auto"/>
              </w:rPr>
            </w:pPr>
            <w:r>
              <w:rPr>
                <w:rFonts w:hint="eastAsia"/>
                <w:color w:val="auto"/>
                <w:u w:val="none" w:color="auto"/>
              </w:rPr>
              <w:t>符合</w:t>
            </w:r>
          </w:p>
        </w:tc>
      </w:tr>
      <w:tr w14:paraId="09530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6D7C8979">
            <w:pPr>
              <w:pStyle w:val="23"/>
              <w:bidi w:val="0"/>
              <w:rPr>
                <w:rFonts w:hint="eastAsia"/>
                <w:color w:val="auto"/>
                <w:u w:val="none" w:color="auto"/>
              </w:rPr>
            </w:pPr>
            <w:r>
              <w:rPr>
                <w:rFonts w:hint="eastAsia"/>
                <w:color w:val="auto"/>
                <w:u w:val="none" w:color="auto"/>
              </w:rPr>
              <w:t>禁止在合规园区外新建、扩建钢铁、石化、化工、焦化、建材、有色、制浆造纸等高污染项目。高污染项目严格按照生态环境部《环境保护综合名录(2021年版)》有关要求执行</w:t>
            </w:r>
          </w:p>
        </w:tc>
        <w:tc>
          <w:tcPr>
            <w:tcW w:w="2741" w:type="dxa"/>
            <w:noWrap w:val="0"/>
            <w:vAlign w:val="center"/>
          </w:tcPr>
          <w:p w14:paraId="6A36E213">
            <w:pPr>
              <w:pStyle w:val="23"/>
              <w:bidi w:val="0"/>
              <w:rPr>
                <w:rFonts w:hint="eastAsia"/>
                <w:color w:val="auto"/>
                <w:u w:val="none" w:color="auto"/>
              </w:rPr>
            </w:pPr>
            <w:r>
              <w:rPr>
                <w:rFonts w:hint="eastAsia"/>
                <w:color w:val="auto"/>
                <w:u w:val="none" w:color="auto"/>
              </w:rPr>
              <w:t>本项目位于湖南省岳阳市汨罗市新市镇汨罗高新技术产业开发区新市片区</w:t>
            </w:r>
            <w:r>
              <w:rPr>
                <w:rFonts w:hint="eastAsia"/>
                <w:color w:val="auto"/>
                <w:u w:val="none" w:color="auto"/>
                <w:lang w:eastAsia="zh-CN"/>
              </w:rPr>
              <w:t>西片区龙舟路东侧合心路北侧</w:t>
            </w:r>
            <w:r>
              <w:rPr>
                <w:rFonts w:hint="eastAsia"/>
                <w:color w:val="auto"/>
                <w:u w:val="none" w:color="auto"/>
              </w:rPr>
              <w:t>，本项目不属于钢铁、石化、化工、焦化、建材、有色等高污染项目</w:t>
            </w:r>
          </w:p>
        </w:tc>
        <w:tc>
          <w:tcPr>
            <w:tcW w:w="905" w:type="dxa"/>
            <w:noWrap w:val="0"/>
            <w:vAlign w:val="center"/>
          </w:tcPr>
          <w:p w14:paraId="07CFE447">
            <w:pPr>
              <w:pStyle w:val="23"/>
              <w:bidi w:val="0"/>
              <w:rPr>
                <w:rFonts w:hint="eastAsia"/>
                <w:color w:val="auto"/>
                <w:u w:val="none" w:color="auto"/>
              </w:rPr>
            </w:pPr>
            <w:r>
              <w:rPr>
                <w:rFonts w:hint="eastAsia"/>
                <w:color w:val="auto"/>
                <w:u w:val="none" w:color="auto"/>
              </w:rPr>
              <w:t>符合</w:t>
            </w:r>
          </w:p>
        </w:tc>
      </w:tr>
      <w:tr w14:paraId="26C12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0B909F79">
            <w:pPr>
              <w:pStyle w:val="23"/>
              <w:bidi w:val="0"/>
              <w:rPr>
                <w:rFonts w:hint="eastAsia"/>
                <w:color w:val="auto"/>
                <w:u w:val="none" w:color="auto"/>
              </w:rPr>
            </w:pPr>
            <w:r>
              <w:rPr>
                <w:rFonts w:hint="eastAsia"/>
                <w:color w:val="auto"/>
                <w:u w:val="none" w:color="auto"/>
              </w:rPr>
              <w:t>禁止新建、扩建不符合国家石化、现代煤化工等产业布局规划的项目。未通过认定的化工园区，不得新建、改扩建化工项目(安全、环保、节能和智能化改造项目除外)</w:t>
            </w:r>
          </w:p>
        </w:tc>
        <w:tc>
          <w:tcPr>
            <w:tcW w:w="2741" w:type="dxa"/>
            <w:noWrap w:val="0"/>
            <w:vAlign w:val="center"/>
          </w:tcPr>
          <w:p w14:paraId="2F86C2E7">
            <w:pPr>
              <w:pStyle w:val="23"/>
              <w:bidi w:val="0"/>
              <w:rPr>
                <w:rFonts w:hint="default"/>
                <w:color w:val="auto"/>
                <w:u w:val="none" w:color="auto"/>
                <w:lang w:val="en-US" w:eastAsia="zh-CN"/>
              </w:rPr>
            </w:pPr>
            <w:r>
              <w:rPr>
                <w:rFonts w:hint="eastAsia"/>
                <w:color w:val="auto"/>
                <w:u w:val="none" w:color="auto"/>
              </w:rPr>
              <w:t>本项目位于湖南省岳阳市汨罗市新市镇汨罗高新技术产业开发区新市片区</w:t>
            </w:r>
            <w:r>
              <w:rPr>
                <w:rFonts w:hint="eastAsia"/>
                <w:color w:val="auto"/>
                <w:u w:val="none" w:color="auto"/>
                <w:lang w:eastAsia="zh-CN"/>
              </w:rPr>
              <w:t>西片区龙舟路东侧合心路北侧</w:t>
            </w:r>
            <w:r>
              <w:rPr>
                <w:rFonts w:hint="eastAsia"/>
                <w:color w:val="auto"/>
                <w:u w:val="none" w:color="auto"/>
              </w:rPr>
              <w:t>，</w:t>
            </w:r>
            <w:r>
              <w:rPr>
                <w:rFonts w:hint="eastAsia"/>
                <w:color w:val="auto"/>
                <w:u w:val="none" w:color="auto"/>
                <w:lang w:val="en-US" w:eastAsia="zh-CN"/>
              </w:rPr>
              <w:t>不属于石化项目。</w:t>
            </w:r>
          </w:p>
        </w:tc>
        <w:tc>
          <w:tcPr>
            <w:tcW w:w="905" w:type="dxa"/>
            <w:noWrap w:val="0"/>
            <w:vAlign w:val="center"/>
          </w:tcPr>
          <w:p w14:paraId="08F3CB6B">
            <w:pPr>
              <w:pStyle w:val="23"/>
              <w:bidi w:val="0"/>
              <w:rPr>
                <w:rFonts w:hint="eastAsia"/>
                <w:color w:val="auto"/>
                <w:u w:val="none" w:color="auto"/>
              </w:rPr>
            </w:pPr>
            <w:r>
              <w:rPr>
                <w:rFonts w:hint="eastAsia"/>
                <w:color w:val="auto"/>
                <w:u w:val="none" w:color="auto"/>
              </w:rPr>
              <w:t>符合</w:t>
            </w:r>
          </w:p>
        </w:tc>
      </w:tr>
      <w:tr w14:paraId="69382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93" w:type="dxa"/>
            <w:noWrap w:val="0"/>
            <w:vAlign w:val="center"/>
          </w:tcPr>
          <w:p w14:paraId="2CBFB0EF">
            <w:pPr>
              <w:pStyle w:val="23"/>
              <w:bidi w:val="0"/>
              <w:rPr>
                <w:rFonts w:hint="eastAsia"/>
                <w:color w:val="auto"/>
                <w:u w:val="none" w:color="auto"/>
              </w:rPr>
            </w:pPr>
            <w:r>
              <w:rPr>
                <w:rFonts w:hint="eastAsia"/>
                <w:color w:val="auto"/>
                <w:u w:val="none" w:color="auto"/>
              </w:rPr>
              <w:t>禁止新建、扩建法律法规和相关政策明令禁止的落后产能项目</w:t>
            </w:r>
            <w:r>
              <w:rPr>
                <w:rFonts w:hint="eastAsia"/>
                <w:color w:val="auto"/>
                <w:u w:val="none" w:color="auto"/>
                <w:lang w:eastAsia="zh-CN"/>
              </w:rPr>
              <w:t>；</w:t>
            </w:r>
            <w:r>
              <w:rPr>
                <w:rFonts w:hint="eastAsia"/>
                <w:color w:val="auto"/>
                <w:u w:val="none" w:color="auto"/>
              </w:rPr>
              <w:t>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2741" w:type="dxa"/>
            <w:noWrap w:val="0"/>
            <w:vAlign w:val="center"/>
          </w:tcPr>
          <w:p w14:paraId="19F8B2FF">
            <w:pPr>
              <w:pStyle w:val="23"/>
              <w:bidi w:val="0"/>
              <w:rPr>
                <w:rFonts w:hint="eastAsia"/>
                <w:color w:val="auto"/>
                <w:u w:val="none" w:color="auto"/>
                <w:lang w:eastAsia="zh-CN"/>
              </w:rPr>
            </w:pPr>
            <w:r>
              <w:rPr>
                <w:rFonts w:hint="eastAsia"/>
                <w:color w:val="auto"/>
                <w:u w:val="none" w:color="auto"/>
                <w:lang w:eastAsia="zh-CN"/>
              </w:rPr>
              <w:t>本项目不属于</w:t>
            </w:r>
            <w:r>
              <w:rPr>
                <w:rFonts w:hint="eastAsia"/>
                <w:color w:val="auto"/>
                <w:u w:val="none" w:color="auto"/>
              </w:rPr>
              <w:t>法律法规和相关政策明令禁止的落后产能项目</w:t>
            </w:r>
            <w:r>
              <w:rPr>
                <w:rFonts w:hint="eastAsia"/>
                <w:color w:val="auto"/>
                <w:u w:val="none" w:color="auto"/>
                <w:lang w:eastAsia="zh-CN"/>
              </w:rPr>
              <w:t>，不属于</w:t>
            </w:r>
            <w:r>
              <w:rPr>
                <w:rFonts w:hint="eastAsia"/>
                <w:color w:val="auto"/>
                <w:u w:val="none" w:color="auto"/>
              </w:rPr>
              <w:t>不符合国家产能置换要求的严重过剩产能行业</w:t>
            </w:r>
            <w:r>
              <w:rPr>
                <w:rFonts w:hint="eastAsia"/>
                <w:color w:val="auto"/>
                <w:u w:val="none" w:color="auto"/>
                <w:lang w:eastAsia="zh-CN"/>
              </w:rPr>
              <w:t>，不属于</w:t>
            </w:r>
            <w:r>
              <w:rPr>
                <w:rFonts w:hint="eastAsia"/>
                <w:color w:val="auto"/>
                <w:u w:val="none" w:color="auto"/>
              </w:rPr>
              <w:t>高耗能高排放项目</w:t>
            </w:r>
          </w:p>
        </w:tc>
        <w:tc>
          <w:tcPr>
            <w:tcW w:w="905" w:type="dxa"/>
            <w:noWrap w:val="0"/>
            <w:vAlign w:val="center"/>
          </w:tcPr>
          <w:p w14:paraId="1D98E891">
            <w:pPr>
              <w:pStyle w:val="23"/>
              <w:bidi w:val="0"/>
              <w:rPr>
                <w:rFonts w:hint="eastAsia"/>
                <w:color w:val="auto"/>
                <w:u w:val="none" w:color="auto"/>
              </w:rPr>
            </w:pPr>
            <w:r>
              <w:rPr>
                <w:rFonts w:hint="eastAsia"/>
                <w:color w:val="auto"/>
                <w:u w:val="none" w:color="auto"/>
              </w:rPr>
              <w:t>符合</w:t>
            </w:r>
          </w:p>
        </w:tc>
      </w:tr>
    </w:tbl>
    <w:p w14:paraId="1D760C5F">
      <w:pPr>
        <w:pStyle w:val="20"/>
        <w:ind w:firstLine="480"/>
        <w:rPr>
          <w:rFonts w:hint="eastAsia" w:eastAsia="宋体"/>
          <w:b/>
          <w:bCs/>
          <w:color w:val="auto"/>
          <w:u w:val="none" w:color="auto"/>
          <w:lang w:val="en-US" w:eastAsia="zh-CN"/>
        </w:rPr>
      </w:pPr>
      <w:r>
        <w:rPr>
          <w:color w:val="auto"/>
          <w:u w:val="none" w:color="auto"/>
        </w:rPr>
        <w:t>项目与《</w:t>
      </w:r>
      <w:r>
        <w:rPr>
          <w:rFonts w:hint="eastAsia"/>
          <w:color w:val="auto"/>
          <w:u w:val="none" w:color="auto"/>
        </w:rPr>
        <w:t>湖南省</w:t>
      </w:r>
      <w:r>
        <w:rPr>
          <w:rFonts w:hint="eastAsia"/>
          <w:color w:val="auto"/>
          <w:u w:val="none" w:color="auto"/>
          <w:lang w:eastAsia="zh-CN"/>
        </w:rPr>
        <w:t>长江经济带发展负面清单指南（试行，</w:t>
      </w:r>
      <w:r>
        <w:rPr>
          <w:rFonts w:hint="eastAsia"/>
          <w:color w:val="auto"/>
          <w:u w:val="none" w:color="auto"/>
          <w:lang w:val="en-US" w:eastAsia="zh-CN"/>
        </w:rPr>
        <w:t>2022年版</w:t>
      </w:r>
      <w:r>
        <w:rPr>
          <w:rFonts w:hint="eastAsia"/>
          <w:color w:val="auto"/>
          <w:u w:val="none" w:color="auto"/>
          <w:lang w:eastAsia="zh-CN"/>
        </w:rPr>
        <w:t>）</w:t>
      </w:r>
      <w:r>
        <w:rPr>
          <w:color w:val="auto"/>
          <w:u w:val="none" w:color="auto"/>
        </w:rPr>
        <w:t>》</w:t>
      </w:r>
      <w:r>
        <w:rPr>
          <w:rFonts w:hint="eastAsia"/>
          <w:color w:val="auto"/>
          <w:u w:val="none" w:color="auto"/>
          <w:lang w:val="en-US" w:eastAsia="zh-CN"/>
        </w:rPr>
        <w:t>相符。</w:t>
      </w:r>
    </w:p>
    <w:p w14:paraId="5458E909">
      <w:pPr>
        <w:pStyle w:val="4"/>
        <w:bidi w:val="0"/>
        <w:rPr>
          <w:rFonts w:hint="eastAsia"/>
          <w:color w:val="auto"/>
          <w:u w:val="none" w:color="auto"/>
          <w:lang w:val="en-US" w:eastAsia="zh-CN"/>
        </w:rPr>
      </w:pPr>
      <w:bookmarkStart w:id="150" w:name="_Toc14330"/>
      <w:r>
        <w:rPr>
          <w:rFonts w:hint="eastAsia"/>
          <w:color w:val="auto"/>
          <w:u w:val="none" w:color="auto"/>
          <w:lang w:val="en-US" w:eastAsia="zh-CN"/>
        </w:rPr>
        <w:t>1.3.5与《湖南省生态环境分区管控总体管控要求暨省级以上产业园区生态环境准入清单》（湘环函〔2024〕26号）相符性</w:t>
      </w:r>
      <w:bookmarkEnd w:id="150"/>
    </w:p>
    <w:p w14:paraId="34EAF7CE">
      <w:pPr>
        <w:pStyle w:val="20"/>
        <w:ind w:firstLine="480"/>
        <w:rPr>
          <w:rFonts w:hint="eastAsia"/>
          <w:color w:val="auto"/>
          <w:u w:val="none" w:color="auto"/>
        </w:rPr>
      </w:pPr>
      <w:r>
        <w:rPr>
          <w:rFonts w:hint="eastAsia"/>
          <w:color w:val="auto"/>
          <w:u w:val="none" w:color="auto"/>
        </w:rPr>
        <w:t>本项目与《湖南省生态环境分区管控总体管控要求暨省级以上产业园区生态环境准入清单》</w:t>
      </w:r>
      <w:r>
        <w:rPr>
          <w:rFonts w:hint="eastAsia"/>
          <w:color w:val="auto"/>
          <w:u w:val="none" w:color="auto"/>
          <w:lang w:eastAsia="zh-CN"/>
        </w:rPr>
        <w:t>（湘环函〔2024〕26号）</w:t>
      </w:r>
      <w:r>
        <w:rPr>
          <w:rFonts w:hint="eastAsia"/>
          <w:color w:val="auto"/>
          <w:u w:val="none" w:color="auto"/>
        </w:rPr>
        <w:t>相符性分析如下：</w:t>
      </w:r>
    </w:p>
    <w:p w14:paraId="4B0B06C2">
      <w:pPr>
        <w:pStyle w:val="22"/>
        <w:bidi w:val="0"/>
        <w:rPr>
          <w:color w:val="auto"/>
          <w:u w:val="none" w:color="auto"/>
        </w:rPr>
      </w:pPr>
      <w:r>
        <w:rPr>
          <w:rFonts w:hint="eastAsia"/>
          <w:color w:val="auto"/>
          <w:u w:val="none" w:color="auto"/>
          <w:lang w:val="en-US" w:eastAsia="zh-CN"/>
        </w:rPr>
        <w:t>表1.3-8 与《湖南省生态环境分区管控总体管控要求暨省级以上产业园区生态环境准入清单》（湘环函〔2024〕26号）相符性分析</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10"/>
        <w:gridCol w:w="823"/>
        <w:gridCol w:w="1011"/>
        <w:gridCol w:w="3398"/>
        <w:gridCol w:w="852"/>
        <w:gridCol w:w="1426"/>
      </w:tblGrid>
      <w:tr w14:paraId="7D6D15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PrEx>
        <w:trPr>
          <w:trHeight w:val="312" w:hRule="atLeast"/>
          <w:jc w:val="center"/>
        </w:trPr>
        <w:tc>
          <w:tcPr>
            <w:tcW w:w="592" w:type="pct"/>
            <w:tcBorders>
              <w:tl2br w:val="nil"/>
              <w:tr2bl w:val="nil"/>
            </w:tcBorders>
            <w:noWrap w:val="0"/>
            <w:vAlign w:val="center"/>
          </w:tcPr>
          <w:p w14:paraId="747F36BA">
            <w:pPr>
              <w:bidi w:val="0"/>
              <w:jc w:val="center"/>
              <w:rPr>
                <w:rFonts w:hint="default" w:ascii="Times New Roman" w:hAnsi="Times New Roman" w:eastAsia="宋体" w:cs="Times New Roman"/>
                <w:b/>
                <w:bCs/>
                <w:color w:val="auto"/>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bidi="ar-SA"/>
              </w:rPr>
              <w:t>环境管控单元编码</w:t>
            </w:r>
          </w:p>
        </w:tc>
        <w:tc>
          <w:tcPr>
            <w:tcW w:w="482" w:type="pct"/>
            <w:tcBorders>
              <w:tl2br w:val="nil"/>
              <w:tr2bl w:val="nil"/>
            </w:tcBorders>
            <w:noWrap w:val="0"/>
            <w:vAlign w:val="center"/>
          </w:tcPr>
          <w:p w14:paraId="2DF94562">
            <w:pPr>
              <w:bidi w:val="0"/>
              <w:jc w:val="center"/>
              <w:rPr>
                <w:rFonts w:hint="default" w:ascii="Times New Roman" w:hAnsi="Times New Roman" w:eastAsia="宋体" w:cs="Times New Roman"/>
                <w:b/>
                <w:bCs/>
                <w:color w:val="auto"/>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bidi="ar-SA"/>
              </w:rPr>
              <w:t>单元</w:t>
            </w:r>
          </w:p>
          <w:p w14:paraId="0D890BDD">
            <w:pPr>
              <w:bidi w:val="0"/>
              <w:jc w:val="center"/>
              <w:rPr>
                <w:rFonts w:hint="default" w:ascii="Times New Roman" w:hAnsi="Times New Roman" w:eastAsia="宋体" w:cs="Times New Roman"/>
                <w:b/>
                <w:bCs/>
                <w:color w:val="auto"/>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bidi="ar-SA"/>
              </w:rPr>
              <w:t>分类</w:t>
            </w:r>
          </w:p>
        </w:tc>
        <w:tc>
          <w:tcPr>
            <w:tcW w:w="593" w:type="pct"/>
            <w:tcBorders>
              <w:tl2br w:val="nil"/>
              <w:tr2bl w:val="nil"/>
            </w:tcBorders>
            <w:noWrap w:val="0"/>
            <w:vAlign w:val="center"/>
          </w:tcPr>
          <w:p w14:paraId="5842C3BE">
            <w:pPr>
              <w:bidi w:val="0"/>
              <w:jc w:val="center"/>
              <w:rPr>
                <w:rFonts w:hint="default" w:ascii="Times New Roman" w:hAnsi="Times New Roman" w:eastAsia="宋体" w:cs="Times New Roman"/>
                <w:b/>
                <w:bCs/>
                <w:color w:val="auto"/>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bidi="ar-SA"/>
              </w:rPr>
              <w:t>区域主体功能定位</w:t>
            </w:r>
          </w:p>
        </w:tc>
        <w:tc>
          <w:tcPr>
            <w:tcW w:w="2494" w:type="pct"/>
            <w:gridSpan w:val="2"/>
            <w:tcBorders>
              <w:tl2br w:val="nil"/>
              <w:tr2bl w:val="nil"/>
            </w:tcBorders>
            <w:noWrap w:val="0"/>
            <w:vAlign w:val="center"/>
          </w:tcPr>
          <w:p w14:paraId="631F8F26">
            <w:pPr>
              <w:bidi w:val="0"/>
              <w:jc w:val="center"/>
              <w:rPr>
                <w:rFonts w:hint="default" w:ascii="Times New Roman" w:hAnsi="Times New Roman" w:eastAsia="宋体" w:cs="Times New Roman"/>
                <w:b/>
                <w:bCs/>
                <w:color w:val="auto"/>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bidi="ar-SA"/>
              </w:rPr>
              <w:t>主导产业</w:t>
            </w:r>
          </w:p>
        </w:tc>
        <w:tc>
          <w:tcPr>
            <w:tcW w:w="836" w:type="pct"/>
            <w:tcBorders>
              <w:tl2br w:val="nil"/>
              <w:tr2bl w:val="nil"/>
            </w:tcBorders>
            <w:noWrap w:val="0"/>
            <w:vAlign w:val="center"/>
          </w:tcPr>
          <w:p w14:paraId="5460011B">
            <w:pPr>
              <w:bidi w:val="0"/>
              <w:jc w:val="center"/>
              <w:rPr>
                <w:rFonts w:hint="default" w:ascii="Times New Roman" w:hAnsi="Times New Roman" w:eastAsia="宋体" w:cs="Times New Roman"/>
                <w:b/>
                <w:bCs/>
                <w:color w:val="auto"/>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val="en-US" w:eastAsia="zh-CN" w:bidi="ar-SA"/>
              </w:rPr>
              <w:t>主要环境问题和重要敏感目标</w:t>
            </w:r>
          </w:p>
        </w:tc>
      </w:tr>
      <w:tr w14:paraId="0E3116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14:paraId="777CE2D3">
            <w:pPr>
              <w:bidi w:val="0"/>
              <w:jc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ZH43068120003</w:t>
            </w:r>
          </w:p>
        </w:tc>
        <w:tc>
          <w:tcPr>
            <w:tcW w:w="482" w:type="pct"/>
            <w:tcBorders>
              <w:tl2br w:val="nil"/>
              <w:tr2bl w:val="nil"/>
            </w:tcBorders>
            <w:noWrap w:val="0"/>
            <w:vAlign w:val="center"/>
          </w:tcPr>
          <w:p w14:paraId="35C2A3F3">
            <w:pPr>
              <w:bidi w:val="0"/>
              <w:jc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重点管控单元</w:t>
            </w:r>
          </w:p>
        </w:tc>
        <w:tc>
          <w:tcPr>
            <w:tcW w:w="593" w:type="pct"/>
            <w:tcBorders>
              <w:tl2br w:val="nil"/>
              <w:tr2bl w:val="nil"/>
            </w:tcBorders>
            <w:noWrap w:val="0"/>
            <w:vAlign w:val="center"/>
          </w:tcPr>
          <w:p w14:paraId="5A76C820">
            <w:pPr>
              <w:bidi w:val="0"/>
              <w:jc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新市镇：农产品主产区</w:t>
            </w:r>
          </w:p>
        </w:tc>
        <w:tc>
          <w:tcPr>
            <w:tcW w:w="2494" w:type="pct"/>
            <w:gridSpan w:val="2"/>
            <w:tcBorders>
              <w:tl2br w:val="nil"/>
              <w:tr2bl w:val="nil"/>
            </w:tcBorders>
            <w:noWrap w:val="0"/>
            <w:vAlign w:val="center"/>
          </w:tcPr>
          <w:p w14:paraId="18BAD694">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六部委公告2018年第4号：再生资源、电子信息、机械；</w:t>
            </w:r>
          </w:p>
          <w:p w14:paraId="41AC3FD5">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湘环评函[2019]8号：以再生资源回收利用、</w:t>
            </w:r>
          </w:p>
          <w:p w14:paraId="0FF76317">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有色金属精深加工，先进制造产业为主导，</w:t>
            </w:r>
          </w:p>
          <w:p w14:paraId="3D83F817">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辅以发展安防建材、新材料、电子信息三大特色产业；</w:t>
            </w:r>
          </w:p>
          <w:p w14:paraId="3F99A2E4">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湘发改地区[2021]394号：主导产业：有色金属冶炼和压延加工；特色产业：再生资源综</w:t>
            </w:r>
          </w:p>
          <w:p w14:paraId="208F55CF">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合利用、高分子材料、电子信息及其产业链</w:t>
            </w:r>
          </w:p>
          <w:p w14:paraId="49E97519">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延伸产业。</w:t>
            </w:r>
          </w:p>
        </w:tc>
        <w:tc>
          <w:tcPr>
            <w:tcW w:w="836" w:type="pct"/>
            <w:tcBorders>
              <w:tl2br w:val="nil"/>
              <w:tr2bl w:val="nil"/>
            </w:tcBorders>
            <w:noWrap w:val="0"/>
            <w:vAlign w:val="center"/>
          </w:tcPr>
          <w:p w14:paraId="0EDF12FD">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区块一、区块</w:t>
            </w:r>
          </w:p>
          <w:p w14:paraId="5C85BE30">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二（新</w:t>
            </w:r>
            <w:r>
              <w:rPr>
                <w:rFonts w:hint="eastAsia" w:ascii="Times New Roman" w:hAnsi="Times New Roman" w:eastAsia="宋体" w:cs="Times New Roman"/>
                <w:color w:val="auto"/>
                <w:sz w:val="21"/>
                <w:szCs w:val="21"/>
                <w:u w:val="none" w:color="auto"/>
                <w:lang w:val="en-US" w:eastAsia="zh-CN" w:bidi="ar-SA"/>
              </w:rPr>
              <w:t>市</w:t>
            </w:r>
            <w:r>
              <w:rPr>
                <w:rFonts w:hint="default" w:ascii="Times New Roman" w:hAnsi="Times New Roman" w:eastAsia="宋体" w:cs="Times New Roman"/>
                <w:color w:val="auto"/>
                <w:sz w:val="21"/>
                <w:szCs w:val="21"/>
                <w:u w:val="none" w:color="auto"/>
                <w:lang w:val="en-US" w:eastAsia="zh-CN" w:bidi="ar-SA"/>
              </w:rPr>
              <w:t>片</w:t>
            </w:r>
          </w:p>
          <w:p w14:paraId="0670379F">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区）紧邻湿地</w:t>
            </w:r>
          </w:p>
          <w:p w14:paraId="2BADC9B2">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科普宣教与文化展示区。</w:t>
            </w:r>
          </w:p>
        </w:tc>
      </w:tr>
      <w:tr w14:paraId="5E281AD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noWrap w:val="0"/>
            <w:vAlign w:val="center"/>
          </w:tcPr>
          <w:p w14:paraId="057E0CF0">
            <w:pPr>
              <w:widowControl w:val="0"/>
              <w:autoSpaceDE w:val="0"/>
              <w:autoSpaceDN w:val="0"/>
              <w:ind w:left="0" w:leftChars="0" w:right="0" w:rightChars="0" w:firstLine="0" w:firstLineChars="0"/>
              <w:jc w:val="center"/>
              <w:rPr>
                <w:rFonts w:hint="default" w:ascii="Times New Roman" w:hAnsi="Times New Roman" w:eastAsia="宋体" w:cs="Times New Roman"/>
                <w:b/>
                <w:bCs/>
                <w:color w:val="auto"/>
                <w:kern w:val="0"/>
                <w:sz w:val="21"/>
                <w:szCs w:val="21"/>
                <w:u w:val="none" w:color="auto"/>
                <w:lang w:val="en-US" w:eastAsia="zh-CN" w:bidi="he-IL"/>
              </w:rPr>
            </w:pPr>
            <w:r>
              <w:rPr>
                <w:rFonts w:hint="default" w:ascii="Times New Roman" w:hAnsi="Times New Roman" w:eastAsia="宋体" w:cs="Times New Roman"/>
                <w:b/>
                <w:bCs/>
                <w:color w:val="auto"/>
                <w:kern w:val="0"/>
                <w:sz w:val="21"/>
                <w:szCs w:val="21"/>
                <w:u w:val="none" w:color="auto"/>
                <w:lang w:val="en-US" w:eastAsia="zh-CN" w:bidi="he-IL"/>
              </w:rPr>
              <w:t>管控要求</w:t>
            </w:r>
          </w:p>
        </w:tc>
      </w:tr>
      <w:tr w14:paraId="463E6B9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92" w:type="pct"/>
            <w:tcBorders>
              <w:tl2br w:val="nil"/>
              <w:tr2bl w:val="nil"/>
            </w:tcBorders>
            <w:noWrap w:val="0"/>
            <w:vAlign w:val="center"/>
          </w:tcPr>
          <w:p w14:paraId="5F291931">
            <w:pPr>
              <w:widowControl w:val="0"/>
              <w:autoSpaceDE w:val="0"/>
              <w:autoSpaceDN w:val="0"/>
              <w:ind w:left="0" w:leftChars="0" w:right="0" w:rightChars="0" w:firstLine="0" w:firstLineChars="0"/>
              <w:jc w:val="center"/>
              <w:rPr>
                <w:rFonts w:hint="default" w:ascii="Times New Roman" w:hAnsi="Times New Roman" w:eastAsia="宋体" w:cs="Times New Roman"/>
                <w:b/>
                <w:bCs/>
                <w:color w:val="auto"/>
                <w:kern w:val="0"/>
                <w:sz w:val="21"/>
                <w:szCs w:val="21"/>
                <w:u w:val="none" w:color="auto"/>
                <w:lang w:val="en-US" w:eastAsia="zh-CN" w:bidi="he-IL"/>
              </w:rPr>
            </w:pPr>
            <w:r>
              <w:rPr>
                <w:rFonts w:hint="default" w:ascii="Times New Roman" w:hAnsi="Times New Roman" w:eastAsia="宋体" w:cs="Times New Roman"/>
                <w:b/>
                <w:bCs/>
                <w:color w:val="auto"/>
                <w:kern w:val="0"/>
                <w:sz w:val="21"/>
                <w:szCs w:val="21"/>
                <w:u w:val="none" w:color="auto"/>
                <w:lang w:val="en-US" w:eastAsia="zh-CN" w:bidi="he-IL"/>
              </w:rPr>
              <w:t>内容</w:t>
            </w:r>
          </w:p>
        </w:tc>
        <w:tc>
          <w:tcPr>
            <w:tcW w:w="3070" w:type="pct"/>
            <w:gridSpan w:val="3"/>
            <w:tcBorders>
              <w:tl2br w:val="nil"/>
              <w:tr2bl w:val="nil"/>
            </w:tcBorders>
            <w:noWrap w:val="0"/>
            <w:vAlign w:val="center"/>
          </w:tcPr>
          <w:p w14:paraId="1C0C713D">
            <w:pPr>
              <w:widowControl w:val="0"/>
              <w:autoSpaceDE w:val="0"/>
              <w:autoSpaceDN w:val="0"/>
              <w:ind w:left="0" w:leftChars="0" w:right="0" w:rightChars="0" w:firstLine="0" w:firstLineChars="0"/>
              <w:jc w:val="center"/>
              <w:rPr>
                <w:rFonts w:hint="default" w:ascii="Times New Roman" w:hAnsi="Times New Roman" w:eastAsia="宋体" w:cs="Times New Roman"/>
                <w:b/>
                <w:bCs/>
                <w:color w:val="auto"/>
                <w:kern w:val="0"/>
                <w:sz w:val="21"/>
                <w:szCs w:val="21"/>
                <w:u w:val="none" w:color="auto"/>
                <w:lang w:val="en-US" w:eastAsia="zh-CN" w:bidi="he-IL"/>
              </w:rPr>
            </w:pPr>
            <w:r>
              <w:rPr>
                <w:rFonts w:hint="default" w:ascii="Times New Roman" w:hAnsi="Times New Roman" w:eastAsia="宋体" w:cs="Times New Roman"/>
                <w:b/>
                <w:bCs/>
                <w:color w:val="auto"/>
                <w:kern w:val="0"/>
                <w:sz w:val="21"/>
                <w:szCs w:val="21"/>
                <w:u w:val="none" w:color="auto"/>
                <w:lang w:val="en-US" w:eastAsia="zh-CN" w:bidi="he-IL"/>
              </w:rPr>
              <w:t>文件要求</w:t>
            </w:r>
          </w:p>
        </w:tc>
        <w:tc>
          <w:tcPr>
            <w:tcW w:w="1336" w:type="pct"/>
            <w:gridSpan w:val="2"/>
            <w:tcBorders>
              <w:tl2br w:val="nil"/>
              <w:tr2bl w:val="nil"/>
            </w:tcBorders>
            <w:noWrap w:val="0"/>
            <w:vAlign w:val="center"/>
          </w:tcPr>
          <w:p w14:paraId="0DA28461">
            <w:pPr>
              <w:widowControl w:val="0"/>
              <w:autoSpaceDE w:val="0"/>
              <w:autoSpaceDN w:val="0"/>
              <w:ind w:left="0" w:leftChars="0" w:right="0" w:rightChars="0" w:firstLine="0" w:firstLineChars="0"/>
              <w:jc w:val="center"/>
              <w:rPr>
                <w:rFonts w:hint="default" w:ascii="Times New Roman" w:hAnsi="Times New Roman" w:eastAsia="宋体" w:cs="Times New Roman"/>
                <w:b/>
                <w:bCs/>
                <w:color w:val="auto"/>
                <w:kern w:val="0"/>
                <w:sz w:val="21"/>
                <w:szCs w:val="21"/>
                <w:u w:val="none" w:color="auto"/>
                <w:lang w:val="en-US" w:eastAsia="zh-CN" w:bidi="he-IL"/>
              </w:rPr>
            </w:pPr>
            <w:r>
              <w:rPr>
                <w:rFonts w:hint="default" w:ascii="Times New Roman" w:hAnsi="Times New Roman" w:eastAsia="宋体" w:cs="Times New Roman"/>
                <w:b/>
                <w:bCs/>
                <w:color w:val="auto"/>
                <w:kern w:val="0"/>
                <w:sz w:val="21"/>
                <w:szCs w:val="21"/>
                <w:u w:val="none" w:color="auto"/>
                <w:lang w:val="en-US" w:eastAsia="zh-CN" w:bidi="he-IL"/>
              </w:rPr>
              <w:t>符合性分析</w:t>
            </w:r>
          </w:p>
        </w:tc>
      </w:tr>
      <w:tr w14:paraId="3FDA40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57" w:hRule="atLeast"/>
          <w:jc w:val="center"/>
        </w:trPr>
        <w:tc>
          <w:tcPr>
            <w:tcW w:w="592" w:type="pct"/>
            <w:tcBorders>
              <w:bottom w:val="single" w:color="auto" w:sz="4" w:space="0"/>
              <w:tl2br w:val="nil"/>
              <w:tr2bl w:val="nil"/>
            </w:tcBorders>
            <w:noWrap w:val="0"/>
            <w:vAlign w:val="center"/>
          </w:tcPr>
          <w:p w14:paraId="0896BC51">
            <w:pPr>
              <w:bidi w:val="0"/>
              <w:jc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空间布局约束</w:t>
            </w:r>
          </w:p>
        </w:tc>
        <w:tc>
          <w:tcPr>
            <w:tcW w:w="3070" w:type="pct"/>
            <w:gridSpan w:val="3"/>
            <w:tcBorders>
              <w:tl2br w:val="nil"/>
              <w:tr2bl w:val="nil"/>
            </w:tcBorders>
            <w:noWrap w:val="0"/>
            <w:vAlign w:val="center"/>
          </w:tcPr>
          <w:p w14:paraId="48350EA6">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（1.1）高新区不得引进国家明令淘汰和禁止发展的高能</w:t>
            </w:r>
          </w:p>
          <w:p w14:paraId="539C0097">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耗、高物耗、污染重，不符合产业政策的建设项目；</w:t>
            </w:r>
          </w:p>
          <w:p w14:paraId="605F29E1">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（1.2）区块一、区块二（新市片区）再生资源回收利用行业禁止引进不能满足最新行业规定和准入要求的项目。</w:t>
            </w:r>
          </w:p>
          <w:p w14:paraId="59F4B03B">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（1.3）区块三（弼时片区）禁止引进排水涉重金属及持久性有机物的企业，禁止引进电镀、线路板制造等企业，严格限制引进排水量大的企业</w:t>
            </w:r>
            <w:r>
              <w:rPr>
                <w:rFonts w:hint="eastAsia" w:ascii="Times New Roman" w:hAnsi="Times New Roman" w:eastAsia="宋体" w:cs="Times New Roman"/>
                <w:color w:val="auto"/>
                <w:sz w:val="21"/>
                <w:szCs w:val="21"/>
                <w:u w:val="none" w:color="auto"/>
                <w:lang w:val="en-US" w:eastAsia="zh-CN" w:bidi="ar-SA"/>
              </w:rPr>
              <w:t>。</w:t>
            </w:r>
          </w:p>
        </w:tc>
        <w:tc>
          <w:tcPr>
            <w:tcW w:w="1336" w:type="pct"/>
            <w:gridSpan w:val="2"/>
            <w:tcBorders>
              <w:tl2br w:val="nil"/>
              <w:tr2bl w:val="nil"/>
            </w:tcBorders>
            <w:noWrap w:val="0"/>
            <w:vAlign w:val="center"/>
          </w:tcPr>
          <w:p w14:paraId="5CC27B43">
            <w:pPr>
              <w:jc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本项目不属于高能耗、高物耗、污染重的建设项目；</w:t>
            </w:r>
            <w:r>
              <w:rPr>
                <w:rFonts w:hint="default" w:ascii="Times New Roman" w:hAnsi="Times New Roman" w:eastAsia="宋体" w:cs="Times New Roman"/>
                <w:color w:val="auto"/>
                <w:sz w:val="21"/>
                <w:szCs w:val="21"/>
                <w:u w:val="none" w:color="auto"/>
                <w:lang w:val="en-US" w:eastAsia="zh-CN" w:bidi="ar-SA"/>
              </w:rPr>
              <w:t>本项目满足相关产业政策和技术规范要求。</w:t>
            </w:r>
          </w:p>
        </w:tc>
      </w:tr>
      <w:tr w14:paraId="6C5F6B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26" w:hRule="atLeast"/>
          <w:jc w:val="center"/>
        </w:trPr>
        <w:tc>
          <w:tcPr>
            <w:tcW w:w="592" w:type="pct"/>
            <w:tcBorders>
              <w:top w:val="single" w:color="auto" w:sz="4" w:space="0"/>
              <w:bottom w:val="single" w:color="auto" w:sz="4" w:space="0"/>
              <w:tl2br w:val="nil"/>
              <w:tr2bl w:val="nil"/>
            </w:tcBorders>
            <w:noWrap w:val="0"/>
            <w:vAlign w:val="center"/>
          </w:tcPr>
          <w:p w14:paraId="08BED6F5">
            <w:pPr>
              <w:bidi w:val="0"/>
              <w:jc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污染物排放管控</w:t>
            </w:r>
          </w:p>
        </w:tc>
        <w:tc>
          <w:tcPr>
            <w:tcW w:w="3070" w:type="pct"/>
            <w:gridSpan w:val="3"/>
            <w:tcBorders>
              <w:tl2br w:val="nil"/>
              <w:tr2bl w:val="nil"/>
            </w:tcBorders>
            <w:noWrap w:val="0"/>
            <w:vAlign w:val="center"/>
          </w:tcPr>
          <w:p w14:paraId="689FD4B2">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（2.1）废水</w:t>
            </w:r>
          </w:p>
          <w:p w14:paraId="50F398D1">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2.1.1）区块一、区块二（新市片区）规划范围内企业一般工业废水、生活污水、重金属污水处理厂尾水、高新区PCB污水处理厂尾水排入湖南汨罗高新技术产业开发区污水处理厂进行处理，处理后废水排入汨罗江。再生塑料产业企业生产废水经预处理后汇入高新区污水处理及中水回用工程处理后全部回用于企业生产。雨水以排洪渠、小溪沟等水体作为最终收纳水体。</w:t>
            </w:r>
          </w:p>
          <w:p w14:paraId="175ECE94">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2.1.2）区块三（弼时片区）排水实施雨污分流，生活污水和工业废水经厂内预处理达到相关标准后进入长沙经开区汨罗产业园污水处理厂处理，达标后排入白沙河。雨水以排洪渠、小溪沟等水体作为最终收纳水体。</w:t>
            </w:r>
          </w:p>
          <w:p w14:paraId="6AA2A389">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2.2）废气：加强高新区大气污染防控措施，通过产业控制、清洁能源推广等减少气型污染物源头排放量。加强企业管理，对有工艺废气产污节点的企业，须配置废气收集与处理装置，确保达标排放。采取有效措施减少工艺废气的无组织排放，入园企业各生产装置排放的废气须经处理达到相应的排放标准。</w:t>
            </w:r>
          </w:p>
          <w:p w14:paraId="42760EC8">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（2.3）固体废弃物</w:t>
            </w:r>
          </w:p>
          <w:p w14:paraId="06D98F8A">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（2.3.1）做好高新区工业固体废物和生活垃圾的分类收</w:t>
            </w:r>
          </w:p>
          <w:p w14:paraId="35884BCB">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集、转运、综合利用和无害化处理，建立统一的固废收集、贮存、运输、综合利用和安全处置的管理体系。</w:t>
            </w:r>
          </w:p>
          <w:p w14:paraId="3BA4380C">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（2.3.2）推行清洁生产、减少固体废物产生量；加强固体废物的资源化进程，提高固体废物的综合利用率。</w:t>
            </w:r>
          </w:p>
          <w:p w14:paraId="3457AD04">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2.3.3）规范固体废物处理措施，对工业企业产生固体废物特别是危险固废应按国家有关规定综合利用或妥善处置。主管部门以及当地环保部门对进驻的企业进行严格控制，对产生危险废物的企业进行重点监控，危险废物的堆存应严格执行相关标准，收集后交由有资质单位或危险废物处置中心处置。</w:t>
            </w:r>
          </w:p>
          <w:p w14:paraId="67767399">
            <w:pPr>
              <w:bidi w:val="0"/>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（2.4）高新区内相关行业污染物排放满足《湖南省生态环境厅关于执行污染物特别排放限值（第一批）的公告》中</w:t>
            </w:r>
            <w:r>
              <w:rPr>
                <w:rFonts w:hint="eastAsia" w:ascii="Times New Roman" w:hAnsi="Times New Roman" w:eastAsia="宋体" w:cs="Times New Roman"/>
                <w:color w:val="auto"/>
                <w:sz w:val="21"/>
                <w:szCs w:val="21"/>
                <w:u w:val="none" w:color="auto"/>
                <w:lang w:val="en-US" w:eastAsia="zh-CN" w:bidi="ar-SA"/>
              </w:rPr>
              <w:t>的要求。</w:t>
            </w:r>
          </w:p>
        </w:tc>
        <w:tc>
          <w:tcPr>
            <w:tcW w:w="1336" w:type="pct"/>
            <w:gridSpan w:val="2"/>
            <w:tcBorders>
              <w:tl2br w:val="nil"/>
              <w:tr2bl w:val="nil"/>
            </w:tcBorders>
            <w:noWrap w:val="0"/>
            <w:vAlign w:val="center"/>
          </w:tcPr>
          <w:p w14:paraId="61437BD7">
            <w:pPr>
              <w:jc w:val="center"/>
              <w:rPr>
                <w:rFonts w:hint="eastAsia"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1、本项目位于新市片区，冷却水经处理后循环使用，不外排；</w:t>
            </w:r>
            <w:r>
              <w:rPr>
                <w:rFonts w:hint="eastAsia"/>
                <w:color w:val="auto"/>
                <w:u w:val="none" w:color="auto"/>
                <w:lang w:val="en-US" w:eastAsia="zh-CN"/>
              </w:rPr>
              <w:t>生活污水经化粪池处理后排入湖南汨罗高新技术产业开发区（循环园区）污水处理厂</w:t>
            </w:r>
            <w:r>
              <w:rPr>
                <w:rFonts w:hint="eastAsia" w:ascii="Times New Roman" w:hAnsi="Times New Roman" w:eastAsia="宋体" w:cs="Times New Roman"/>
                <w:color w:val="auto"/>
                <w:sz w:val="21"/>
                <w:szCs w:val="21"/>
                <w:u w:val="none" w:color="auto"/>
                <w:lang w:val="en-US" w:eastAsia="zh-CN" w:bidi="ar-SA"/>
              </w:rPr>
              <w:t>。</w:t>
            </w:r>
          </w:p>
          <w:p w14:paraId="0BCAF2B4">
            <w:pPr>
              <w:pStyle w:val="23"/>
              <w:bidi w:val="0"/>
              <w:rPr>
                <w:rFonts w:hint="eastAsia"/>
                <w:color w:val="auto"/>
                <w:u w:val="none" w:color="auto"/>
                <w:lang w:val="en-US" w:eastAsia="zh-CN"/>
              </w:rPr>
            </w:pPr>
            <w:r>
              <w:rPr>
                <w:rFonts w:hint="eastAsia"/>
                <w:color w:val="auto"/>
                <w:u w:val="none" w:color="auto"/>
                <w:lang w:val="en-US" w:eastAsia="zh-CN"/>
              </w:rPr>
              <w:t>2、项目使用清洁能</w:t>
            </w:r>
          </w:p>
          <w:p w14:paraId="053CB1A5">
            <w:pPr>
              <w:pStyle w:val="23"/>
              <w:bidi w:val="0"/>
              <w:rPr>
                <w:rFonts w:hint="eastAsia"/>
                <w:color w:val="auto"/>
                <w:u w:val="none" w:color="auto"/>
                <w:lang w:val="en-US" w:eastAsia="zh-CN"/>
              </w:rPr>
            </w:pPr>
            <w:r>
              <w:rPr>
                <w:rFonts w:hint="eastAsia"/>
                <w:color w:val="auto"/>
                <w:u w:val="none" w:color="auto"/>
                <w:lang w:val="en-US" w:eastAsia="zh-CN"/>
              </w:rPr>
              <w:t>源电能。项目产生的废气经对应的废气收集</w:t>
            </w:r>
          </w:p>
          <w:p w14:paraId="4C57923D">
            <w:pPr>
              <w:pStyle w:val="23"/>
              <w:bidi w:val="0"/>
              <w:rPr>
                <w:rFonts w:hint="eastAsia"/>
                <w:color w:val="auto"/>
                <w:u w:val="none" w:color="auto"/>
                <w:lang w:val="en-US" w:eastAsia="zh-CN"/>
              </w:rPr>
            </w:pPr>
            <w:r>
              <w:rPr>
                <w:rFonts w:hint="eastAsia"/>
                <w:color w:val="auto"/>
                <w:u w:val="none" w:color="auto"/>
                <w:lang w:val="en-US" w:eastAsia="zh-CN"/>
              </w:rPr>
              <w:t>和处理装置处理后，</w:t>
            </w:r>
          </w:p>
          <w:p w14:paraId="63B91DAE">
            <w:pPr>
              <w:pStyle w:val="23"/>
              <w:bidi w:val="0"/>
              <w:rPr>
                <w:rFonts w:hint="eastAsia"/>
                <w:color w:val="auto"/>
                <w:u w:val="none" w:color="auto"/>
                <w:lang w:val="en-US" w:eastAsia="zh-CN"/>
              </w:rPr>
            </w:pPr>
            <w:r>
              <w:rPr>
                <w:rFonts w:hint="eastAsia"/>
                <w:color w:val="auto"/>
                <w:u w:val="none" w:color="auto"/>
                <w:lang w:val="en-US" w:eastAsia="zh-CN"/>
              </w:rPr>
              <w:t>均能满足相关排放标准实现达标排放。</w:t>
            </w:r>
          </w:p>
          <w:p w14:paraId="6F1F9A39">
            <w:pPr>
              <w:pStyle w:val="23"/>
              <w:bidi w:val="0"/>
              <w:rPr>
                <w:rFonts w:hint="eastAsia"/>
                <w:color w:val="auto"/>
                <w:u w:val="none" w:color="auto"/>
                <w:lang w:val="en-US" w:eastAsia="zh-CN"/>
              </w:rPr>
            </w:pPr>
            <w:r>
              <w:rPr>
                <w:rFonts w:hint="eastAsia"/>
                <w:color w:val="auto"/>
                <w:u w:val="none" w:color="auto"/>
                <w:lang w:val="en-US" w:eastAsia="zh-CN"/>
              </w:rPr>
              <w:t>3、项目运行产生的工业固体废物和生活垃圾分类收集、转运、综合利用和无害化处理，危险废物委托有资质的单位处置。</w:t>
            </w:r>
          </w:p>
          <w:p w14:paraId="40337F95">
            <w:pPr>
              <w:pStyle w:val="23"/>
              <w:bidi w:val="0"/>
              <w:rPr>
                <w:rFonts w:hint="default"/>
                <w:color w:val="auto"/>
                <w:u w:val="none" w:color="auto"/>
                <w:lang w:val="en-US" w:eastAsia="zh-CN"/>
              </w:rPr>
            </w:pPr>
            <w:r>
              <w:rPr>
                <w:rFonts w:hint="eastAsia"/>
                <w:color w:val="auto"/>
                <w:u w:val="none" w:color="auto"/>
                <w:lang w:val="en-US" w:eastAsia="zh-CN"/>
              </w:rPr>
              <w:t>4、项目污染物排放均满足相关标准和要求。</w:t>
            </w:r>
          </w:p>
        </w:tc>
      </w:tr>
      <w:tr w14:paraId="615CFF1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592" w:type="pct"/>
            <w:tcBorders>
              <w:tl2br w:val="nil"/>
              <w:tr2bl w:val="nil"/>
            </w:tcBorders>
            <w:noWrap w:val="0"/>
            <w:vAlign w:val="center"/>
          </w:tcPr>
          <w:p w14:paraId="6F35C1AF">
            <w:pPr>
              <w:jc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环境风</w:t>
            </w:r>
          </w:p>
          <w:p w14:paraId="0B943428">
            <w:pPr>
              <w:jc w:val="center"/>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险防控</w:t>
            </w:r>
          </w:p>
        </w:tc>
        <w:tc>
          <w:tcPr>
            <w:tcW w:w="3070" w:type="pct"/>
            <w:gridSpan w:val="3"/>
            <w:tcBorders>
              <w:tl2br w:val="nil"/>
              <w:tr2bl w:val="nil"/>
            </w:tcBorders>
            <w:noWrap w:val="0"/>
            <w:vAlign w:val="center"/>
          </w:tcPr>
          <w:p w14:paraId="32500EEE">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（3.1）高新区各区块须建立健全环境风险防控体系，严格落实汨罗高新技术产业开发区最新的突发环境事件应急预案的相关要求，严防突发环境事件发生，提高应急处置能力。</w:t>
            </w:r>
          </w:p>
          <w:p w14:paraId="29E8AFC8">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3.2）高新区各区块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14:paraId="1A3FC8A4">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（3.3）建设用地土壤风险防控</w:t>
            </w:r>
          </w:p>
          <w:p w14:paraId="6E2B186D">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（3.3.1）有效管控建设用地土壤污染风险，开展重点行业企业用地调查和典型行业周边土壤环境调查，进一步摸清污染地块底数和污染成因。</w:t>
            </w:r>
          </w:p>
          <w:p w14:paraId="1BECD6EB">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（3.3.2）对纳入建设用地土壤污染风险管控和修复名录内的地块，移除名录前，不得核发建设工程规划许可证。对列入优先监管清单的地块，开展土壤污染调查和风险评估，按要求采取风险防控措施。</w:t>
            </w:r>
          </w:p>
        </w:tc>
        <w:tc>
          <w:tcPr>
            <w:tcW w:w="1336" w:type="pct"/>
            <w:gridSpan w:val="2"/>
            <w:tcBorders>
              <w:tl2br w:val="nil"/>
              <w:tr2bl w:val="nil"/>
            </w:tcBorders>
            <w:noWrap w:val="0"/>
            <w:vAlign w:val="center"/>
          </w:tcPr>
          <w:p w14:paraId="6EEB4825">
            <w:pPr>
              <w:widowControl w:val="0"/>
              <w:autoSpaceDE w:val="0"/>
              <w:autoSpaceDN w:val="0"/>
              <w:bidi w:val="0"/>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企业在项目建设运行过程中应加强风险防范措施的落实，储备相应的应急物资。项目投产前编制环境风险事故应急预案，并与园区环境风险事故应急预案有效衔接。项目需落</w:t>
            </w:r>
          </w:p>
          <w:p w14:paraId="16E62659">
            <w:pPr>
              <w:widowControl w:val="0"/>
              <w:autoSpaceDE w:val="0"/>
              <w:autoSpaceDN w:val="0"/>
              <w:bidi w:val="0"/>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实好环境风险防控</w:t>
            </w:r>
          </w:p>
          <w:p w14:paraId="6EB1A5FB">
            <w:pPr>
              <w:widowControl w:val="0"/>
              <w:autoSpaceDE w:val="0"/>
              <w:autoSpaceDN w:val="0"/>
              <w:bidi w:val="0"/>
              <w:ind w:left="0" w:leftChars="0" w:firstLine="0" w:firstLineChars="0"/>
              <w:jc w:val="center"/>
              <w:rPr>
                <w:rFonts w:hint="default" w:ascii="Times New Roman" w:hAnsi="Times New Roman" w:eastAsia="宋体" w:cs="Times New Roman"/>
                <w:color w:val="auto"/>
                <w:kern w:val="0"/>
                <w:sz w:val="21"/>
                <w:szCs w:val="21"/>
                <w:u w:val="none" w:color="auto"/>
                <w:lang w:val="en-US" w:eastAsia="zh-CN" w:bidi="he-IL"/>
              </w:rPr>
            </w:pPr>
            <w:r>
              <w:rPr>
                <w:rFonts w:hint="default" w:ascii="Times New Roman" w:hAnsi="Times New Roman" w:eastAsia="宋体" w:cs="Times New Roman"/>
                <w:color w:val="auto"/>
                <w:sz w:val="21"/>
                <w:szCs w:val="21"/>
                <w:u w:val="none" w:color="auto"/>
                <w:lang w:eastAsia="zh-CN"/>
              </w:rPr>
              <w:t>措施，防范环境风险</w:t>
            </w:r>
            <w:r>
              <w:rPr>
                <w:rFonts w:hint="eastAsia" w:ascii="Times New Roman" w:hAnsi="Times New Roman" w:eastAsia="宋体" w:cs="Times New Roman"/>
                <w:color w:val="auto"/>
                <w:sz w:val="21"/>
                <w:szCs w:val="21"/>
                <w:u w:val="none" w:color="auto"/>
                <w:lang w:eastAsia="zh-CN"/>
              </w:rPr>
              <w:t>。</w:t>
            </w:r>
          </w:p>
        </w:tc>
      </w:tr>
      <w:tr w14:paraId="5D9DEFC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79" w:hRule="atLeast"/>
          <w:jc w:val="center"/>
        </w:trPr>
        <w:tc>
          <w:tcPr>
            <w:tcW w:w="592" w:type="pct"/>
            <w:tcBorders>
              <w:tl2br w:val="nil"/>
              <w:tr2bl w:val="nil"/>
            </w:tcBorders>
            <w:noWrap w:val="0"/>
            <w:vAlign w:val="center"/>
          </w:tcPr>
          <w:p w14:paraId="4062EC9F">
            <w:pPr>
              <w:jc w:val="center"/>
              <w:rPr>
                <w:rFonts w:hint="default" w:ascii="Times New Roman" w:hAnsi="Times New Roman" w:eastAsia="宋体" w:cs="Times New Roman"/>
                <w:color w:val="auto"/>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bidi="ar-SA"/>
              </w:rPr>
              <w:t>资源开发效率要求</w:t>
            </w:r>
          </w:p>
        </w:tc>
        <w:tc>
          <w:tcPr>
            <w:tcW w:w="3070" w:type="pct"/>
            <w:gridSpan w:val="3"/>
            <w:tcBorders>
              <w:tl2br w:val="nil"/>
              <w:tr2bl w:val="nil"/>
            </w:tcBorders>
            <w:noWrap w:val="0"/>
            <w:vAlign w:val="center"/>
          </w:tcPr>
          <w:p w14:paraId="7E576E5A">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4.1）能源：区域内主要消耗的能源种类包括电、天然气、无煤炭消费。2025年区域年综合能耗消费量预测当量值为429400吨标煤，区域单位GDP能耗预测值为0.1399吨标煤/万元，区域“十四五”时期能源消耗增量控制在186900吨标煤。</w:t>
            </w:r>
          </w:p>
          <w:p w14:paraId="3F50A649">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（4.2）水资源</w:t>
            </w:r>
          </w:p>
          <w:p w14:paraId="6307A2E7">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（4.2.1）强化生产用水管理，大力推广高效冷却、循环用水等节水工艺和技术，支持企业开展节水技术改造。</w:t>
            </w:r>
          </w:p>
          <w:p w14:paraId="0C721390">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（4.2.2）积极推行水循环梯级利用，推动现有企业和高新区开展绿色高质量转型升级和循环化改造，促进企业间串联用水、分质用水，一水多用和循环利用。</w:t>
            </w:r>
          </w:p>
          <w:p w14:paraId="0B5CD947">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（4.2.3）2025年，园区指标应符合相应行政区域的管控要求，汨罗市用水总量3.14亿立方米，万元地区生产总值用水量比2020年下降23.18%，万元工业增加值用水量比2020年下降14.06%。</w:t>
            </w:r>
          </w:p>
          <w:p w14:paraId="3A64E85C">
            <w:pPr>
              <w:jc w:val="left"/>
              <w:rPr>
                <w:rFonts w:hint="default" w:ascii="Times New Roman" w:hAnsi="Times New Roman" w:eastAsia="宋体" w:cs="Times New Roman"/>
                <w:color w:val="auto"/>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bidi="ar-SA"/>
              </w:rPr>
              <w:t>（4.3）土地资源：在详细规划编制、用地预审与选址、用地报批、土地出让、规划许可、竣工验收等环节，全面推行工业项目建设用地引导指标和工业项目供地负面清单管理。省级园区工业用地固定资产投入强度达到260万元/亩，工业用地地均税收达到13万元/亩。</w:t>
            </w:r>
          </w:p>
        </w:tc>
        <w:tc>
          <w:tcPr>
            <w:tcW w:w="1336" w:type="pct"/>
            <w:gridSpan w:val="2"/>
            <w:tcBorders>
              <w:tl2br w:val="nil"/>
              <w:tr2bl w:val="nil"/>
            </w:tcBorders>
            <w:noWrap w:val="0"/>
            <w:vAlign w:val="center"/>
          </w:tcPr>
          <w:p w14:paraId="285B2E46">
            <w:pPr>
              <w:widowControl w:val="0"/>
              <w:autoSpaceDE w:val="0"/>
              <w:autoSpaceDN w:val="0"/>
              <w:bidi w:val="0"/>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项目主要消耗能源</w:t>
            </w:r>
          </w:p>
          <w:p w14:paraId="34C4D264">
            <w:pPr>
              <w:widowControl w:val="0"/>
              <w:autoSpaceDE w:val="0"/>
              <w:autoSpaceDN w:val="0"/>
              <w:bidi w:val="0"/>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为电</w:t>
            </w:r>
            <w:r>
              <w:rPr>
                <w:rFonts w:hint="eastAsia" w:ascii="Times New Roman" w:hAnsi="Times New Roman" w:eastAsia="宋体" w:cs="Times New Roman"/>
                <w:color w:val="auto"/>
                <w:sz w:val="21"/>
                <w:szCs w:val="21"/>
                <w:u w:val="none" w:color="auto"/>
                <w:lang w:val="en-US" w:eastAsia="zh-CN"/>
              </w:rPr>
              <w:t>能</w:t>
            </w:r>
            <w:r>
              <w:rPr>
                <w:rFonts w:hint="default" w:ascii="Times New Roman" w:hAnsi="Times New Roman" w:eastAsia="宋体" w:cs="Times New Roman"/>
                <w:color w:val="auto"/>
                <w:sz w:val="21"/>
                <w:szCs w:val="21"/>
                <w:u w:val="none" w:color="auto"/>
                <w:lang w:eastAsia="zh-CN"/>
              </w:rPr>
              <w:t>。项目生产用水可循环使用</w:t>
            </w:r>
            <w:r>
              <w:rPr>
                <w:rFonts w:hint="eastAsia" w:ascii="Times New Roman" w:hAnsi="Times New Roman" w:eastAsia="宋体" w:cs="Times New Roman"/>
                <w:color w:val="auto"/>
                <w:sz w:val="21"/>
                <w:szCs w:val="21"/>
                <w:u w:val="none" w:color="auto"/>
                <w:lang w:val="en-US" w:eastAsia="zh-CN"/>
              </w:rPr>
              <w:t>；</w:t>
            </w:r>
            <w:r>
              <w:rPr>
                <w:rFonts w:hint="default" w:ascii="Times New Roman" w:hAnsi="Times New Roman" w:eastAsia="宋体" w:cs="Times New Roman"/>
                <w:color w:val="auto"/>
                <w:sz w:val="21"/>
                <w:szCs w:val="21"/>
                <w:u w:val="none" w:color="auto"/>
                <w:lang w:eastAsia="zh-CN"/>
              </w:rPr>
              <w:t>生活用水量不大，水资源消耗量</w:t>
            </w:r>
          </w:p>
          <w:p w14:paraId="7FCD36CA">
            <w:pPr>
              <w:widowControl w:val="0"/>
              <w:autoSpaceDE w:val="0"/>
              <w:autoSpaceDN w:val="0"/>
              <w:bidi w:val="0"/>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较小。项目已获得土</w:t>
            </w:r>
          </w:p>
          <w:p w14:paraId="47519572">
            <w:pPr>
              <w:widowControl w:val="0"/>
              <w:autoSpaceDE w:val="0"/>
              <w:autoSpaceDN w:val="0"/>
              <w:bidi w:val="0"/>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地使用权，用地符合</w:t>
            </w:r>
          </w:p>
          <w:p w14:paraId="65D3C6E7">
            <w:pPr>
              <w:widowControl w:val="0"/>
              <w:autoSpaceDE w:val="0"/>
              <w:autoSpaceDN w:val="0"/>
              <w:bidi w:val="0"/>
              <w:ind w:left="0" w:leftChars="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规划。</w:t>
            </w:r>
          </w:p>
        </w:tc>
      </w:tr>
    </w:tbl>
    <w:p w14:paraId="20D98B06">
      <w:pPr>
        <w:pStyle w:val="20"/>
        <w:ind w:firstLine="480"/>
        <w:rPr>
          <w:color w:val="auto"/>
          <w:u w:val="none" w:color="auto"/>
        </w:rPr>
      </w:pPr>
      <w:r>
        <w:rPr>
          <w:rFonts w:hint="eastAsia"/>
          <w:color w:val="auto"/>
          <w:u w:val="none" w:color="auto"/>
        </w:rPr>
        <w:t>项目与《湖南省生态环境分区管控总体管控要求暨省级以上产业园区生态环境准入清单》</w:t>
      </w:r>
      <w:r>
        <w:rPr>
          <w:rFonts w:hint="eastAsia"/>
          <w:color w:val="auto"/>
          <w:u w:val="none" w:color="auto"/>
          <w:lang w:eastAsia="zh-CN"/>
        </w:rPr>
        <w:t>（湘环函〔2024〕26号）</w:t>
      </w:r>
      <w:r>
        <w:rPr>
          <w:rFonts w:hint="eastAsia"/>
          <w:color w:val="auto"/>
          <w:u w:val="none" w:color="auto"/>
        </w:rPr>
        <w:t>相符。</w:t>
      </w:r>
    </w:p>
    <w:p w14:paraId="4DBDC862">
      <w:pPr>
        <w:pStyle w:val="4"/>
        <w:rPr>
          <w:rFonts w:hint="default" w:ascii="Times New Roman" w:hAnsi="Times New Roman" w:cs="Times New Roman"/>
          <w:color w:val="auto"/>
          <w:u w:val="none" w:color="auto"/>
        </w:rPr>
      </w:pPr>
      <w:bookmarkStart w:id="151" w:name="_Toc6660"/>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环境功能区划适应性分析</w:t>
      </w:r>
      <w:bookmarkEnd w:id="151"/>
    </w:p>
    <w:p w14:paraId="0090A57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（1）地表水环境</w:t>
      </w:r>
    </w:p>
    <w:p w14:paraId="7FE2C291">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项目纳污水体汨罗江</w:t>
      </w:r>
      <w:r>
        <w:rPr>
          <w:rFonts w:hint="eastAsia" w:ascii="Times New Roman" w:hAnsi="Times New Roman" w:cs="Times New Roman"/>
          <w:color w:val="auto"/>
          <w:u w:val="none" w:color="auto"/>
          <w:lang w:val="en-US" w:eastAsia="zh-CN"/>
        </w:rPr>
        <w:t>新市断面</w:t>
      </w:r>
      <w:r>
        <w:rPr>
          <w:rFonts w:hint="default" w:ascii="Times New Roman" w:hAnsi="Times New Roman" w:cs="Times New Roman"/>
          <w:color w:val="auto"/>
          <w:u w:val="none" w:color="auto"/>
        </w:rPr>
        <w:t>至南渡断面河段为渔业用水区，水质执行《地表水环境质量标准》（GB3838-2002）中Ⅲ类标准。根据岳阳市汨罗生态环境监测站发布的202</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年1月至202</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年12月汨罗江新市断面和南渡断面的水质监测结果，汨罗江新市断面、南渡断面水质均满足《地表水环境质量标准》（GB3838-2002）Ⅲ类标准。根据引用的《汨罗高新技术产业开发区扩区规划环境影响报告书》中湖南桓泓检测技术有限公司对区域地表水环境质量的补充监测结果，汨罗江各监测断面的所有监测因子均符合《地表水环境质量标准》（GB3838-2002）中的Ⅲ类标准。区域地表水环境仍有一定的纳污容量，因此，本项目的建设符合区域地表水水域功能要求。</w:t>
      </w:r>
    </w:p>
    <w:p w14:paraId="304EC4C4">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（2）大气环境</w:t>
      </w:r>
    </w:p>
    <w:p w14:paraId="7B983C05">
      <w:pPr>
        <w:pStyle w:val="20"/>
        <w:ind w:firstLine="48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rPr>
        <w:t>本项目评价区环境空气功能属于二类功能区，执行《环境空气质量标准》（GB3095-2012）及其修改单中的二级标准。</w:t>
      </w:r>
      <w:r>
        <w:rPr>
          <w:color w:val="auto"/>
          <w:sz w:val="24"/>
          <w:szCs w:val="24"/>
          <w:u w:val="none" w:color="auto"/>
        </w:rPr>
        <w:t>根据汨罗市202</w:t>
      </w:r>
      <w:r>
        <w:rPr>
          <w:rFonts w:hint="eastAsia"/>
          <w:color w:val="auto"/>
          <w:sz w:val="24"/>
          <w:szCs w:val="24"/>
          <w:u w:val="none" w:color="auto"/>
          <w:lang w:val="en-US" w:eastAsia="zh-CN"/>
        </w:rPr>
        <w:t>4</w:t>
      </w:r>
      <w:r>
        <w:rPr>
          <w:color w:val="auto"/>
          <w:sz w:val="24"/>
          <w:szCs w:val="24"/>
          <w:u w:val="none" w:color="auto"/>
        </w:rPr>
        <w:t>年度环境空气质量统计数据，</w:t>
      </w:r>
      <w:r>
        <w:rPr>
          <w:rFonts w:hint="default" w:ascii="Times New Roman" w:hAnsi="Times New Roman" w:cs="Times New Roman"/>
          <w:color w:val="auto"/>
          <w:kern w:val="0"/>
          <w:sz w:val="24"/>
          <w:szCs w:val="24"/>
          <w:u w:val="none" w:color="auto"/>
          <w:lang w:val="en-US" w:eastAsia="zh-CN" w:bidi="ar"/>
        </w:rPr>
        <w:t>202</w:t>
      </w:r>
      <w:r>
        <w:rPr>
          <w:rFonts w:hint="eastAsia" w:ascii="Times New Roman" w:hAnsi="Times New Roman" w:cs="Times New Roman"/>
          <w:color w:val="auto"/>
          <w:kern w:val="0"/>
          <w:sz w:val="24"/>
          <w:szCs w:val="24"/>
          <w:u w:val="none" w:color="auto"/>
          <w:lang w:val="en-US" w:eastAsia="zh-CN" w:bidi="ar"/>
        </w:rPr>
        <w:t>4</w:t>
      </w:r>
      <w:r>
        <w:rPr>
          <w:rFonts w:hint="default" w:ascii="Times New Roman" w:hAnsi="Times New Roman" w:cs="Times New Roman"/>
          <w:color w:val="auto"/>
          <w:kern w:val="0"/>
          <w:sz w:val="24"/>
          <w:szCs w:val="24"/>
          <w:u w:val="none" w:color="auto"/>
          <w:lang w:val="en-US" w:eastAsia="zh-CN" w:bidi="ar"/>
        </w:rPr>
        <w:t>年</w:t>
      </w:r>
      <w:r>
        <w:rPr>
          <w:rFonts w:hint="default" w:ascii="Times New Roman" w:hAnsi="Times New Roman" w:eastAsia="宋体" w:cs="Times New Roman"/>
          <w:color w:val="auto"/>
          <w:kern w:val="0"/>
          <w:sz w:val="24"/>
          <w:szCs w:val="24"/>
          <w:u w:val="none" w:color="auto"/>
          <w:lang w:val="en-US" w:eastAsia="zh-CN" w:bidi="ar"/>
        </w:rPr>
        <w:t>汨罗市环境空气质量六项基本污染物PM</w:t>
      </w:r>
      <w:r>
        <w:rPr>
          <w:rFonts w:hint="default" w:ascii="Times New Roman" w:hAnsi="Times New Roman" w:eastAsia="宋体" w:cs="Times New Roman"/>
          <w:color w:val="auto"/>
          <w:kern w:val="0"/>
          <w:sz w:val="15"/>
          <w:szCs w:val="15"/>
          <w:u w:val="none" w:color="auto"/>
          <w:lang w:val="en-US" w:eastAsia="zh-CN" w:bidi="ar"/>
        </w:rPr>
        <w:t>10</w:t>
      </w:r>
      <w:r>
        <w:rPr>
          <w:rFonts w:hint="default" w:ascii="Times New Roman" w:hAnsi="Times New Roman" w:eastAsia="宋体" w:cs="Times New Roman"/>
          <w:color w:val="auto"/>
          <w:kern w:val="0"/>
          <w:sz w:val="24"/>
          <w:szCs w:val="24"/>
          <w:u w:val="none" w:color="auto"/>
          <w:lang w:val="en-US" w:eastAsia="zh-CN" w:bidi="ar"/>
        </w:rPr>
        <w:t>、PM</w:t>
      </w:r>
      <w:r>
        <w:rPr>
          <w:rFonts w:hint="default" w:ascii="Times New Roman" w:hAnsi="Times New Roman" w:eastAsia="宋体" w:cs="Times New Roman"/>
          <w:color w:val="auto"/>
          <w:kern w:val="0"/>
          <w:sz w:val="15"/>
          <w:szCs w:val="15"/>
          <w:u w:val="none" w:color="auto"/>
          <w:lang w:val="en-US" w:eastAsia="zh-CN" w:bidi="ar"/>
        </w:rPr>
        <w:t>2.5</w:t>
      </w:r>
      <w:r>
        <w:rPr>
          <w:rFonts w:hint="default" w:ascii="Times New Roman" w:hAnsi="Times New Roman" w:eastAsia="宋体" w:cs="Times New Roman"/>
          <w:color w:val="auto"/>
          <w:kern w:val="0"/>
          <w:sz w:val="24"/>
          <w:szCs w:val="24"/>
          <w:u w:val="none" w:color="auto"/>
          <w:lang w:val="en-US" w:eastAsia="zh-CN" w:bidi="ar"/>
        </w:rPr>
        <w:t>、SO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、NO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、CO、O</w:t>
      </w:r>
      <w:r>
        <w:rPr>
          <w:rFonts w:hint="default" w:ascii="Times New Roman" w:hAnsi="Times New Roman" w:eastAsia="宋体" w:cs="Times New Roman"/>
          <w:color w:val="auto"/>
          <w:kern w:val="0"/>
          <w:sz w:val="15"/>
          <w:szCs w:val="15"/>
          <w:u w:val="none" w:color="auto"/>
          <w:lang w:val="en-US" w:eastAsia="zh-CN" w:bidi="ar"/>
        </w:rPr>
        <w:t>3</w:t>
      </w:r>
      <w:r>
        <w:rPr>
          <w:rFonts w:hint="eastAsia" w:eastAsia="宋体" w:cs="Times New Roman"/>
          <w:color w:val="auto"/>
          <w:kern w:val="0"/>
          <w:sz w:val="24"/>
          <w:szCs w:val="24"/>
          <w:u w:val="none" w:color="auto"/>
          <w:vertAlign w:val="baseline"/>
          <w:lang w:val="en-US" w:eastAsia="zh-CN" w:bidi="ar"/>
        </w:rPr>
        <w:t>中除PM</w:t>
      </w:r>
      <w:r>
        <w:rPr>
          <w:rFonts w:hint="eastAsia" w:eastAsia="宋体" w:cs="Times New Roman"/>
          <w:color w:val="auto"/>
          <w:kern w:val="0"/>
          <w:sz w:val="24"/>
          <w:szCs w:val="24"/>
          <w:u w:val="none" w:color="auto"/>
          <w:vertAlign w:val="subscript"/>
          <w:lang w:val="en-US" w:eastAsia="zh-CN" w:bidi="ar"/>
        </w:rPr>
        <w:t>2.5</w:t>
      </w:r>
      <w:r>
        <w:rPr>
          <w:rFonts w:hint="eastAsia" w:eastAsia="宋体" w:cs="Times New Roman"/>
          <w:color w:val="auto"/>
          <w:kern w:val="0"/>
          <w:sz w:val="24"/>
          <w:szCs w:val="24"/>
          <w:u w:val="none" w:color="auto"/>
          <w:vertAlign w:val="baseline"/>
          <w:lang w:val="en-US" w:eastAsia="zh-CN" w:bidi="ar"/>
        </w:rPr>
        <w:t>的95百分位日平均外，均能</w:t>
      </w:r>
      <w:r>
        <w:rPr>
          <w:rFonts w:hint="default" w:ascii="Times New Roman" w:hAnsi="Times New Roman" w:cs="Times New Roman"/>
          <w:color w:val="auto"/>
          <w:kern w:val="0"/>
          <w:sz w:val="24"/>
          <w:szCs w:val="24"/>
          <w:u w:val="none" w:color="auto"/>
          <w:lang w:val="en-US" w:eastAsia="zh-CN" w:bidi="ar"/>
        </w:rPr>
        <w:t>满足</w:t>
      </w:r>
      <w:r>
        <w:rPr>
          <w:rFonts w:hint="default" w:ascii="Times New Roman" w:hAnsi="Times New Roman" w:eastAsia="宋体" w:cs="Times New Roman"/>
          <w:color w:val="auto"/>
          <w:kern w:val="0"/>
          <w:sz w:val="24"/>
          <w:szCs w:val="24"/>
          <w:u w:val="none" w:color="auto"/>
          <w:lang w:val="en-US" w:eastAsia="zh-CN" w:bidi="ar"/>
        </w:rPr>
        <w:t>《环境空气质量标准》（GB3095-2012）及其修改单中的二级标准</w:t>
      </w:r>
      <w:r>
        <w:rPr>
          <w:rFonts w:hint="eastAsia" w:eastAsia="宋体" w:cs="Times New Roman"/>
          <w:color w:val="auto"/>
          <w:kern w:val="0"/>
          <w:sz w:val="24"/>
          <w:szCs w:val="24"/>
          <w:u w:val="none" w:color="auto"/>
          <w:lang w:val="en-US" w:eastAsia="zh-CN" w:bidi="ar"/>
        </w:rPr>
        <w:t>，</w:t>
      </w:r>
      <w:r>
        <w:rPr>
          <w:rFonts w:hint="eastAsia" w:eastAsia="宋体" w:cs="Times New Roman"/>
          <w:color w:val="auto"/>
          <w:kern w:val="0"/>
          <w:sz w:val="24"/>
          <w:szCs w:val="24"/>
          <w:u w:val="none" w:color="auto"/>
          <w:vertAlign w:val="baseline"/>
          <w:lang w:val="en-US" w:eastAsia="zh-CN" w:bidi="ar"/>
        </w:rPr>
        <w:t>PM</w:t>
      </w:r>
      <w:r>
        <w:rPr>
          <w:rFonts w:hint="eastAsia" w:eastAsia="宋体" w:cs="Times New Roman"/>
          <w:color w:val="auto"/>
          <w:kern w:val="0"/>
          <w:sz w:val="24"/>
          <w:szCs w:val="24"/>
          <w:u w:val="none" w:color="auto"/>
          <w:vertAlign w:val="subscript"/>
          <w:lang w:val="en-US" w:eastAsia="zh-CN" w:bidi="ar"/>
        </w:rPr>
        <w:t>2.5</w:t>
      </w:r>
      <w:r>
        <w:rPr>
          <w:rFonts w:hint="eastAsia" w:eastAsia="宋体" w:cs="Times New Roman"/>
          <w:color w:val="auto"/>
          <w:kern w:val="0"/>
          <w:sz w:val="24"/>
          <w:szCs w:val="24"/>
          <w:u w:val="none" w:color="auto"/>
          <w:vertAlign w:val="baseline"/>
          <w:lang w:val="en-US" w:eastAsia="zh-CN" w:bidi="ar"/>
        </w:rPr>
        <w:t>的95百分位日平均最大占标率为118.67%，超标倍数为0.187，</w:t>
      </w:r>
      <w:r>
        <w:rPr>
          <w:rFonts w:hint="default" w:ascii="Times New Roman" w:hAnsi="Times New Roman" w:eastAsia="宋体" w:cs="Times New Roman"/>
          <w:color w:val="auto"/>
          <w:kern w:val="0"/>
          <w:sz w:val="24"/>
          <w:szCs w:val="24"/>
          <w:u w:val="none" w:color="auto"/>
          <w:lang w:val="en-US" w:eastAsia="zh-CN" w:bidi="ar"/>
        </w:rPr>
        <w:t>项目区域大气环境质量为</w:t>
      </w:r>
      <w:r>
        <w:rPr>
          <w:rFonts w:hint="eastAsia" w:eastAsia="宋体" w:cs="Times New Roman"/>
          <w:color w:val="auto"/>
          <w:kern w:val="0"/>
          <w:sz w:val="24"/>
          <w:szCs w:val="24"/>
          <w:u w:val="none" w:color="auto"/>
          <w:lang w:val="en-US" w:eastAsia="zh-CN" w:bidi="ar"/>
        </w:rPr>
        <w:t>不</w:t>
      </w:r>
      <w:r>
        <w:rPr>
          <w:rFonts w:hint="default" w:ascii="Times New Roman" w:hAnsi="Times New Roman" w:eastAsia="宋体" w:cs="Times New Roman"/>
          <w:color w:val="auto"/>
          <w:kern w:val="0"/>
          <w:sz w:val="24"/>
          <w:szCs w:val="24"/>
          <w:u w:val="none" w:color="auto"/>
          <w:lang w:val="en-US" w:eastAsia="zh-CN" w:bidi="ar"/>
        </w:rPr>
        <w:t>达标区。目前岳阳市已于2020年7月印发《岳阳市环境空气质量期限达标规划（2020-2026）》（岳生环委发〔2020〕10号），根据该规划，在2026年底前岳阳市将实现空气质量6项主要污染物（PM</w:t>
      </w:r>
      <w:r>
        <w:rPr>
          <w:rFonts w:hint="default" w:ascii="Times New Roman" w:hAnsi="Times New Roman" w:eastAsia="宋体" w:cs="Times New Roman"/>
          <w:color w:val="auto"/>
          <w:kern w:val="0"/>
          <w:sz w:val="24"/>
          <w:szCs w:val="24"/>
          <w:u w:val="none" w:color="auto"/>
          <w:vertAlign w:val="subscript"/>
          <w:lang w:val="en-US" w:eastAsia="zh-CN" w:bidi="ar"/>
        </w:rPr>
        <w:t>10</w:t>
      </w:r>
      <w:r>
        <w:rPr>
          <w:rFonts w:hint="default" w:ascii="Times New Roman" w:hAnsi="Times New Roman" w:eastAsia="宋体" w:cs="Times New Roman"/>
          <w:color w:val="auto"/>
          <w:kern w:val="0"/>
          <w:sz w:val="24"/>
          <w:szCs w:val="24"/>
          <w:u w:val="none" w:color="auto"/>
          <w:lang w:val="en-US" w:eastAsia="zh-CN" w:bidi="ar"/>
        </w:rPr>
        <w:t>、PM</w:t>
      </w:r>
      <w:r>
        <w:rPr>
          <w:rFonts w:hint="default" w:ascii="Times New Roman" w:hAnsi="Times New Roman" w:eastAsia="宋体" w:cs="Times New Roman"/>
          <w:color w:val="auto"/>
          <w:kern w:val="0"/>
          <w:sz w:val="24"/>
          <w:szCs w:val="24"/>
          <w:u w:val="none" w:color="auto"/>
          <w:vertAlign w:val="subscript"/>
          <w:lang w:val="en-US" w:eastAsia="zh-CN" w:bidi="ar"/>
        </w:rPr>
        <w:t>2.5</w:t>
      </w:r>
      <w:r>
        <w:rPr>
          <w:rFonts w:hint="default" w:ascii="Times New Roman" w:hAnsi="Times New Roman" w:eastAsia="宋体" w:cs="Times New Roman"/>
          <w:color w:val="auto"/>
          <w:kern w:val="0"/>
          <w:sz w:val="24"/>
          <w:szCs w:val="24"/>
          <w:u w:val="none" w:color="auto"/>
          <w:lang w:val="en-US" w:eastAsia="zh-CN" w:bidi="ar"/>
        </w:rPr>
        <w:t>、二氧化硫、二氧化氮、一氧化碳和臭氧）全部达标</w:t>
      </w:r>
      <w:r>
        <w:rPr>
          <w:rFonts w:hint="default" w:ascii="Times New Roman" w:hAnsi="Times New Roman" w:cs="Times New Roman"/>
          <w:color w:val="auto"/>
          <w:u w:val="none" w:color="auto"/>
        </w:rPr>
        <w:t>。根据引用的环境空气质量补充监测数据，评价区域内TSP</w:t>
      </w:r>
      <w:r>
        <w:rPr>
          <w:rFonts w:hint="eastAsia" w:ascii="Times New Roman" w:hAnsi="Times New Roman" w:cs="Times New Roman"/>
          <w:color w:val="auto"/>
          <w:u w:val="none" w:color="auto"/>
          <w:lang w:val="en-US" w:eastAsia="zh-CN"/>
        </w:rPr>
        <w:t>满足</w:t>
      </w:r>
      <w:r>
        <w:rPr>
          <w:rFonts w:hint="default" w:ascii="Times New Roman" w:hAnsi="Times New Roman" w:cs="Times New Roman"/>
          <w:color w:val="auto"/>
          <w:u w:val="none" w:color="auto"/>
        </w:rPr>
        <w:t>《环境空气质量标准》（GB3095-2012）及其修改单中的二级标准；非甲烷总烃满足《大气污染物综合排放标准详解》2.0mg/m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的标准；</w:t>
      </w:r>
      <w:r>
        <w:rPr>
          <w:rFonts w:hint="eastAsia" w:ascii="Times New Roman" w:hAnsi="Times New Roman" w:cs="Times New Roman"/>
          <w:color w:val="auto"/>
          <w:u w:val="none" w:color="auto"/>
          <w:lang w:val="en-US" w:eastAsia="zh-CN"/>
        </w:rPr>
        <w:t>TVOC、氯化氢、二甲苯满足</w:t>
      </w:r>
      <w:r>
        <w:rPr>
          <w:rFonts w:hint="default" w:ascii="Times New Roman" w:hAnsi="Times New Roman" w:cs="Times New Roman"/>
          <w:color w:val="auto"/>
          <w:u w:val="none" w:color="auto"/>
        </w:rPr>
        <w:t>《环境影响评价技术导则大气环境》（HJ 2.2-2018）附录D. 1限值</w:t>
      </w:r>
      <w:r>
        <w:rPr>
          <w:rFonts w:hint="eastAsia" w:ascii="Times New Roman" w:hAnsi="Times New Roman" w:cs="Times New Roman"/>
          <w:color w:val="auto"/>
          <w:u w:val="none" w:color="auto"/>
          <w:lang w:val="en-US" w:eastAsia="zh-CN"/>
        </w:rPr>
        <w:t>要求</w:t>
      </w:r>
      <w:r>
        <w:rPr>
          <w:rFonts w:hint="default" w:ascii="Times New Roman" w:hAnsi="Times New Roman" w:cs="Times New Roman"/>
          <w:color w:val="auto"/>
          <w:u w:val="none" w:color="auto"/>
        </w:rPr>
        <w:t>。区域大气环境仍有一定的纳污容量，本项目建设符合环境空气功能区划要求。</w:t>
      </w:r>
    </w:p>
    <w:p w14:paraId="2C1FE53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（3）声环境</w:t>
      </w:r>
    </w:p>
    <w:p w14:paraId="267F2132">
      <w:pPr>
        <w:pStyle w:val="20"/>
        <w:ind w:firstLine="480"/>
        <w:rPr>
          <w:rFonts w:hint="default" w:ascii="Times New Roman" w:hAnsi="Times New Roman" w:cs="Times New Roman"/>
          <w:color w:val="auto"/>
          <w:u w:val="none" w:color="auto"/>
        </w:rPr>
      </w:pPr>
      <w:r>
        <w:rPr>
          <w:color w:val="auto"/>
          <w:u w:val="none" w:color="auto"/>
        </w:rPr>
        <w:t>本项目</w:t>
      </w:r>
      <w:r>
        <w:rPr>
          <w:rFonts w:hint="eastAsia"/>
          <w:color w:val="auto"/>
          <w:u w:val="none" w:color="auto"/>
        </w:rPr>
        <w:t>所在地</w:t>
      </w:r>
      <w:r>
        <w:rPr>
          <w:color w:val="auto"/>
          <w:u w:val="none" w:color="auto"/>
        </w:rPr>
        <w:t>声环境适用《声环境质量标准》（GB3096-2008）中</w:t>
      </w:r>
      <w:r>
        <w:rPr>
          <w:rFonts w:hint="eastAsia"/>
          <w:color w:val="auto"/>
          <w:u w:val="none" w:color="auto"/>
        </w:rPr>
        <w:t>3</w:t>
      </w:r>
      <w:r>
        <w:rPr>
          <w:color w:val="auto"/>
          <w:u w:val="none" w:color="auto"/>
        </w:rPr>
        <w:t>类声环境功能区，执行《声环境质量标准》（GB3096-2008）中的</w:t>
      </w:r>
      <w:r>
        <w:rPr>
          <w:rFonts w:hint="eastAsia"/>
          <w:color w:val="auto"/>
          <w:u w:val="none" w:color="auto"/>
        </w:rPr>
        <w:t>3</w:t>
      </w:r>
      <w:r>
        <w:rPr>
          <w:color w:val="auto"/>
          <w:u w:val="none" w:color="auto"/>
        </w:rPr>
        <w:t>类环境噪声限值。根据环评期间的环境噪声现状监测结果，</w:t>
      </w:r>
      <w:r>
        <w:rPr>
          <w:rFonts w:hint="eastAsia"/>
          <w:color w:val="auto"/>
          <w:u w:val="none" w:color="auto"/>
        </w:rPr>
        <w:t>项目</w:t>
      </w:r>
      <w:r>
        <w:rPr>
          <w:color w:val="auto"/>
          <w:u w:val="none" w:color="auto"/>
        </w:rPr>
        <w:t>厂界声环境均可达到《声环境质量标准》（GB3096-2008）中的</w:t>
      </w:r>
      <w:r>
        <w:rPr>
          <w:rFonts w:hint="eastAsia"/>
          <w:color w:val="auto"/>
          <w:u w:val="none" w:color="auto"/>
        </w:rPr>
        <w:t>3</w:t>
      </w:r>
      <w:r>
        <w:rPr>
          <w:color w:val="auto"/>
          <w:u w:val="none" w:color="auto"/>
        </w:rPr>
        <w:t>类环境噪声限值。</w:t>
      </w:r>
    </w:p>
    <w:p w14:paraId="3DF26DED">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（4）地下水环境</w:t>
      </w:r>
    </w:p>
    <w:p w14:paraId="6698E228">
      <w:pPr>
        <w:pStyle w:val="20"/>
        <w:bidi w:val="0"/>
        <w:rPr>
          <w:rFonts w:hint="default"/>
          <w:color w:val="auto"/>
          <w:u w:val="none" w:color="auto"/>
        </w:rPr>
      </w:pPr>
      <w:r>
        <w:rPr>
          <w:rFonts w:hint="default"/>
          <w:color w:val="auto"/>
          <w:u w:val="none" w:color="auto"/>
        </w:rPr>
        <w:t>项目</w:t>
      </w:r>
      <w:r>
        <w:rPr>
          <w:rFonts w:hint="default"/>
          <w:color w:val="auto"/>
          <w:u w:val="none" w:color="auto"/>
          <w:lang w:eastAsia="zh-CN"/>
        </w:rPr>
        <w:t>区域</w:t>
      </w:r>
      <w:r>
        <w:rPr>
          <w:rFonts w:hint="default"/>
          <w:color w:val="auto"/>
          <w:u w:val="none" w:color="auto"/>
        </w:rPr>
        <w:t>地下水执行《地下水质量标准》（GB14848-2017）中的Ⅲ类标准，项目及评价区域内地下水监测点的各监测因子均能达到《地下水质量标准》（GB/T14848-2017）Ⅲ类水质标准</w:t>
      </w:r>
      <w:r>
        <w:rPr>
          <w:rFonts w:hint="default"/>
          <w:color w:val="auto"/>
          <w:u w:val="none" w:color="auto"/>
          <w:lang w:eastAsia="zh-CN"/>
        </w:rPr>
        <w:t>，区域地下水环境质量现状</w:t>
      </w:r>
      <w:r>
        <w:rPr>
          <w:rFonts w:hint="default"/>
          <w:color w:val="auto"/>
          <w:u w:val="none" w:color="auto"/>
        </w:rPr>
        <w:t>可满足项目建设的需要。</w:t>
      </w:r>
    </w:p>
    <w:p w14:paraId="69D75A78">
      <w:pPr>
        <w:pStyle w:val="4"/>
        <w:rPr>
          <w:rFonts w:hint="default" w:ascii="Times New Roman" w:hAnsi="Times New Roman" w:cs="Times New Roman"/>
          <w:color w:val="auto"/>
          <w:u w:val="none" w:color="auto"/>
        </w:rPr>
      </w:pPr>
      <w:bookmarkStart w:id="152" w:name="_Toc2481"/>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rPr>
        <w:t>项目选址合理性分析</w:t>
      </w:r>
      <w:bookmarkEnd w:id="133"/>
      <w:bookmarkEnd w:id="134"/>
      <w:bookmarkEnd w:id="152"/>
    </w:p>
    <w:p w14:paraId="5C4E2918">
      <w:pPr>
        <w:pStyle w:val="20"/>
        <w:ind w:firstLine="480"/>
        <w:rPr>
          <w:rFonts w:hint="eastAsia"/>
          <w:color w:val="auto"/>
          <w:u w:val="none" w:color="auto"/>
          <w:lang w:val="en-US" w:eastAsia="zh-CN"/>
        </w:rPr>
      </w:pPr>
      <w:r>
        <w:rPr>
          <w:color w:val="auto"/>
          <w:u w:val="none" w:color="auto"/>
        </w:rPr>
        <w:t>本项目位于</w:t>
      </w:r>
      <w:r>
        <w:rPr>
          <w:rFonts w:hint="default" w:ascii="Times New Roman" w:hAnsi="Times New Roman" w:eastAsia="宋体" w:cs="Times New Roman"/>
          <w:color w:val="auto"/>
          <w:sz w:val="24"/>
          <w:u w:val="none" w:color="auto"/>
          <w:lang w:eastAsia="zh-CN"/>
        </w:rPr>
        <w:t>湖南汨罗高新技术产业开发区新市片区西片区龙舟路东侧合心路北侧</w:t>
      </w:r>
      <w:r>
        <w:rPr>
          <w:rFonts w:hint="eastAsia"/>
          <w:color w:val="auto"/>
          <w:u w:val="none" w:color="auto"/>
        </w:rPr>
        <w:t>，不位于生态保护区和水源保护区内，周边没有风景名胜区、生态脆弱区等需要特殊保护的区域。</w:t>
      </w:r>
      <w:r>
        <w:rPr>
          <w:rFonts w:hint="default" w:ascii="Times New Roman" w:hAnsi="Times New Roman" w:eastAsia="宋体" w:cs="Times New Roman"/>
          <w:color w:val="auto"/>
          <w:sz w:val="24"/>
          <w:szCs w:val="24"/>
          <w:u w:val="none" w:color="auto"/>
        </w:rPr>
        <w:t>根据《汨罗高新技术产业开发区控制性详细规划》（2022-2035年）中的土地利用规划图</w:t>
      </w:r>
      <w:r>
        <w:rPr>
          <w:rFonts w:hint="eastAsia"/>
          <w:color w:val="auto"/>
          <w:u w:val="none" w:color="auto"/>
        </w:rPr>
        <w:t>可知，项目所在地规划为</w:t>
      </w:r>
      <w:r>
        <w:rPr>
          <w:rFonts w:hint="eastAsia"/>
          <w:color w:val="auto"/>
          <w:u w:val="none" w:color="auto"/>
          <w:lang w:val="en-US" w:eastAsia="zh-CN"/>
        </w:rPr>
        <w:t>二</w:t>
      </w:r>
      <w:r>
        <w:rPr>
          <w:rFonts w:hint="eastAsia"/>
          <w:color w:val="auto"/>
          <w:u w:val="none" w:color="auto"/>
        </w:rPr>
        <w:t>类工业用地，本项目用地符合</w:t>
      </w:r>
      <w:r>
        <w:rPr>
          <w:rFonts w:hint="eastAsia"/>
          <w:color w:val="auto"/>
          <w:u w:val="none" w:color="auto"/>
          <w:lang w:val="en-US" w:eastAsia="zh-CN"/>
        </w:rPr>
        <w:t>规划要求。</w:t>
      </w:r>
    </w:p>
    <w:p w14:paraId="7658064D">
      <w:pPr>
        <w:pStyle w:val="20"/>
        <w:ind w:firstLine="480"/>
        <w:rPr>
          <w:color w:val="auto"/>
          <w:u w:val="none" w:color="auto"/>
        </w:rPr>
      </w:pPr>
      <w:r>
        <w:rPr>
          <w:color w:val="auto"/>
          <w:u w:val="none" w:color="auto"/>
        </w:rPr>
        <w:t>根据规划，项目周边属于大气环境质量二类区，地表水环境质量III类水体，声环境</w:t>
      </w:r>
      <w:r>
        <w:rPr>
          <w:rFonts w:hint="eastAsia"/>
          <w:color w:val="auto"/>
          <w:u w:val="none" w:color="auto"/>
        </w:rPr>
        <w:t>3</w:t>
      </w:r>
      <w:r>
        <w:rPr>
          <w:color w:val="auto"/>
          <w:u w:val="none" w:color="auto"/>
        </w:rPr>
        <w:t>类功能区。本项目排放一定量的粉尘</w:t>
      </w:r>
      <w:r>
        <w:rPr>
          <w:rFonts w:hint="eastAsia"/>
          <w:color w:val="auto"/>
          <w:u w:val="none" w:color="auto"/>
        </w:rPr>
        <w:t>、</w:t>
      </w:r>
      <w:r>
        <w:rPr>
          <w:color w:val="auto"/>
          <w:u w:val="none" w:color="auto"/>
        </w:rPr>
        <w:t>有机废气</w:t>
      </w:r>
      <w:r>
        <w:rPr>
          <w:rFonts w:hint="eastAsia"/>
          <w:color w:val="auto"/>
          <w:u w:val="none" w:color="auto"/>
          <w:lang w:val="en-US" w:eastAsia="zh-CN"/>
        </w:rPr>
        <w:t>等</w:t>
      </w:r>
      <w:r>
        <w:rPr>
          <w:color w:val="auto"/>
          <w:u w:val="none" w:color="auto"/>
        </w:rPr>
        <w:t>，经过处理后均能达标排放。</w:t>
      </w:r>
      <w:r>
        <w:rPr>
          <w:rFonts w:hint="eastAsia"/>
          <w:color w:val="auto"/>
          <w:u w:val="none" w:color="auto"/>
        </w:rPr>
        <w:t>项目冷却水经处理后循环使用，不外排，生活污水经化粪池处理后排入湖南汨罗高新技术产业开发区（循环园区）污水处理厂，污水管网已达项目所在地</w:t>
      </w:r>
      <w:r>
        <w:rPr>
          <w:rFonts w:hint="eastAsia"/>
          <w:color w:val="auto"/>
          <w:u w:val="none" w:color="auto"/>
          <w:lang w:eastAsia="zh-CN"/>
        </w:rPr>
        <w:t>。</w:t>
      </w:r>
      <w:r>
        <w:rPr>
          <w:color w:val="auto"/>
          <w:u w:val="none" w:color="auto"/>
        </w:rPr>
        <w:t>本项目使用的生产设备通过</w:t>
      </w:r>
      <w:r>
        <w:rPr>
          <w:rFonts w:hint="eastAsia"/>
          <w:color w:val="auto"/>
          <w:u w:val="none" w:color="auto"/>
        </w:rPr>
        <w:t>减振</w:t>
      </w:r>
      <w:r>
        <w:rPr>
          <w:color w:val="auto"/>
          <w:u w:val="none" w:color="auto"/>
        </w:rPr>
        <w:t>、隔声等措施可以实现</w:t>
      </w:r>
      <w:r>
        <w:rPr>
          <w:rFonts w:hint="eastAsia"/>
          <w:color w:val="auto"/>
          <w:u w:val="none" w:color="auto"/>
          <w:lang w:val="en-US" w:eastAsia="zh-CN"/>
        </w:rPr>
        <w:t>厂界噪声排放</w:t>
      </w:r>
      <w:r>
        <w:rPr>
          <w:color w:val="auto"/>
          <w:u w:val="none" w:color="auto"/>
        </w:rPr>
        <w:t>满足</w:t>
      </w:r>
      <w:r>
        <w:rPr>
          <w:rFonts w:hint="eastAsia"/>
          <w:color w:val="auto"/>
          <w:u w:val="none" w:color="auto"/>
        </w:rPr>
        <w:t>3</w:t>
      </w:r>
      <w:r>
        <w:rPr>
          <w:color w:val="auto"/>
          <w:u w:val="none" w:color="auto"/>
        </w:rPr>
        <w:t>类功能区要求。因此本项目的选址与所在地的环境功能区划分相容。</w:t>
      </w:r>
    </w:p>
    <w:p w14:paraId="7BFA2341">
      <w:pPr>
        <w:pStyle w:val="20"/>
        <w:ind w:firstLine="480"/>
        <w:rPr>
          <w:rFonts w:hint="default" w:ascii="Times New Roman" w:hAnsi="Times New Roman" w:cs="Times New Roman"/>
          <w:color w:val="auto"/>
          <w:u w:val="none" w:color="auto"/>
        </w:rPr>
      </w:pPr>
      <w:r>
        <w:rPr>
          <w:rFonts w:hint="eastAsia" w:eastAsia="宋体"/>
          <w:color w:val="auto"/>
          <w:u w:val="none" w:color="auto"/>
          <w:lang w:eastAsia="zh-CN"/>
        </w:rPr>
        <w:t>在对</w:t>
      </w:r>
      <w:r>
        <w:rPr>
          <w:rFonts w:hint="eastAsia" w:eastAsia="宋体"/>
          <w:color w:val="auto"/>
          <w:u w:val="none" w:color="auto"/>
          <w:lang w:val="en-US" w:eastAsia="zh-CN"/>
        </w:rPr>
        <w:t>项目西侧二类工业用地上现有居民进行</w:t>
      </w:r>
      <w:r>
        <w:rPr>
          <w:rFonts w:hint="eastAsia" w:eastAsia="宋体"/>
          <w:color w:val="auto"/>
          <w:u w:val="none" w:color="auto"/>
          <w:lang w:eastAsia="zh-CN"/>
        </w:rPr>
        <w:t>环保搬迁的前提下，从环境保护角度分析，本项目选址是可行的</w:t>
      </w:r>
      <w:r>
        <w:rPr>
          <w:rFonts w:hint="eastAsia"/>
          <w:color w:val="auto"/>
          <w:u w:val="none" w:color="auto"/>
          <w:lang w:eastAsia="zh-CN"/>
        </w:rPr>
        <w:t>。</w:t>
      </w:r>
    </w:p>
    <w:p w14:paraId="510F640E">
      <w:pPr>
        <w:pStyle w:val="4"/>
        <w:rPr>
          <w:rFonts w:hint="default" w:ascii="Times New Roman" w:hAnsi="Times New Roman" w:cs="Times New Roman"/>
          <w:color w:val="auto"/>
          <w:u w:val="none" w:color="auto"/>
        </w:rPr>
      </w:pPr>
      <w:bookmarkStart w:id="153" w:name="_Toc10553"/>
      <w:r>
        <w:rPr>
          <w:rFonts w:hint="default" w:ascii="Times New Roman" w:hAnsi="Times New Roman" w:cs="Times New Roman"/>
          <w:color w:val="auto"/>
          <w:u w:val="none" w:color="auto"/>
        </w:rPr>
        <w:t>1.</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rPr>
        <w:t>平面布局合理性分析</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3"/>
    </w:p>
    <w:p w14:paraId="42A7AEF5">
      <w:pPr>
        <w:pStyle w:val="20"/>
        <w:bidi w:val="0"/>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zh-CN"/>
        </w:rPr>
        <w:t>项目</w:t>
      </w:r>
      <w:r>
        <w:rPr>
          <w:rFonts w:hint="eastAsia" w:ascii="Times New Roman" w:hAnsi="Times New Roman" w:cs="Times New Roman"/>
          <w:color w:val="auto"/>
          <w:highlight w:val="none"/>
          <w:u w:val="none" w:color="auto"/>
          <w:lang w:val="en-US" w:eastAsia="zh-CN"/>
        </w:rPr>
        <w:t>位于</w:t>
      </w:r>
      <w:r>
        <w:rPr>
          <w:rFonts w:hint="default" w:ascii="Times New Roman" w:hAnsi="Times New Roman" w:eastAsia="宋体" w:cs="Times New Roman"/>
          <w:color w:val="auto"/>
          <w:sz w:val="24"/>
          <w:u w:val="none" w:color="auto"/>
          <w:lang w:eastAsia="zh-CN"/>
        </w:rPr>
        <w:t>湖南汨罗高新技术产业开发区新市片区西片区龙舟路东侧合心路北侧</w:t>
      </w:r>
      <w:r>
        <w:rPr>
          <w:rFonts w:hint="eastAsia" w:ascii="Times New Roman" w:hAnsi="Times New Roman" w:cs="Times New Roman"/>
          <w:color w:val="auto"/>
          <w:highlight w:val="none"/>
          <w:u w:val="none" w:color="auto"/>
          <w:lang w:val="en-US" w:eastAsia="zh-CN"/>
        </w:rPr>
        <w:t>，项目使用购置园区闲置空地新建厂房进行生产，生产、生活分区进行。</w:t>
      </w:r>
    </w:p>
    <w:p w14:paraId="2DFFCD2F">
      <w:pPr>
        <w:pStyle w:val="20"/>
        <w:bidi w:val="0"/>
        <w:rPr>
          <w:rFonts w:hint="default" w:ascii="Times New Roman" w:hAnsi="Times New Roman" w:cs="Times New Roman"/>
          <w:color w:val="auto"/>
          <w:highlight w:val="none"/>
          <w:u w:val="none" w:color="auto"/>
        </w:rPr>
      </w:pPr>
      <w:r>
        <w:rPr>
          <w:rFonts w:hint="eastAsia" w:ascii="Times New Roman" w:hAnsi="Times New Roman" w:cs="Times New Roman"/>
          <w:color w:val="auto"/>
          <w:highlight w:val="none"/>
          <w:u w:val="none" w:color="auto"/>
          <w:lang w:val="en-US" w:eastAsia="zh-CN"/>
        </w:rPr>
        <w:t>本项目为迁建工程，搬迁后购置地块新建厂房作为生产经营场所，项目主要建设三栋标准化厂房、一栋综合楼、一栋设备房、一栋门卫室，在厂房内进行功能分区，1#厂房分别布置破碎磨粉区、供料贮存区、挤出覆膜区、半成品及成品区等主体工程，2#厂房为覆膜车间，分别布置线条覆膜区、仓库、大板覆膜区等，3#厂房为预留车间，用于后续发展，并配套建设循环水池、一般固废间等公辅储运工程及环保工程；循环水池、一般固废间布置于厂区北侧，危废暂存间布置于1#厂房内东侧，1#厂房环保措施布置于厂房外东北侧及东侧，2#厂房环保措施布置于厂房外南侧，</w:t>
      </w:r>
      <w:r>
        <w:rPr>
          <w:rFonts w:hint="default" w:ascii="Times New Roman" w:hAnsi="Times New Roman" w:cs="Times New Roman"/>
          <w:color w:val="auto"/>
          <w:highlight w:val="none"/>
          <w:u w:val="none" w:color="auto"/>
        </w:rPr>
        <w:t>本项目拟设置</w:t>
      </w:r>
      <w:r>
        <w:rPr>
          <w:rFonts w:hint="eastAsia" w:ascii="Times New Roman" w:hAnsi="Times New Roman" w:cs="Times New Roman"/>
          <w:color w:val="auto"/>
          <w:highlight w:val="none"/>
          <w:u w:val="none" w:color="auto"/>
          <w:lang w:val="en-US" w:eastAsia="zh-CN"/>
        </w:rPr>
        <w:t>3</w:t>
      </w:r>
      <w:r>
        <w:rPr>
          <w:rFonts w:hint="default" w:ascii="Times New Roman" w:hAnsi="Times New Roman" w:cs="Times New Roman"/>
          <w:color w:val="auto"/>
          <w:highlight w:val="none"/>
          <w:u w:val="none" w:color="auto"/>
          <w:lang w:eastAsia="zh-CN"/>
        </w:rPr>
        <w:t>根</w:t>
      </w:r>
      <w:r>
        <w:rPr>
          <w:rFonts w:hint="default" w:ascii="Times New Roman" w:hAnsi="Times New Roman" w:cs="Times New Roman"/>
          <w:color w:val="auto"/>
          <w:highlight w:val="none"/>
          <w:u w:val="none" w:color="auto"/>
        </w:rPr>
        <w:t>排气筒，排气筒</w:t>
      </w:r>
      <w:r>
        <w:rPr>
          <w:rFonts w:hint="eastAsia" w:ascii="Times New Roman" w:hAnsi="Times New Roman" w:cs="Times New Roman"/>
          <w:color w:val="auto"/>
          <w:highlight w:val="none"/>
          <w:u w:val="none" w:color="auto"/>
          <w:lang w:val="en-US" w:eastAsia="zh-CN"/>
        </w:rPr>
        <w:t>设置均</w:t>
      </w:r>
      <w:r>
        <w:rPr>
          <w:rFonts w:hint="eastAsia" w:cs="Times New Roman"/>
          <w:color w:val="auto"/>
          <w:highlight w:val="none"/>
          <w:u w:val="none" w:color="auto"/>
          <w:lang w:val="en-US" w:eastAsia="zh-CN"/>
        </w:rPr>
        <w:t>靠近废气处理措施，并尽量远离西侧现有居民</w:t>
      </w:r>
      <w:r>
        <w:rPr>
          <w:rFonts w:hint="default" w:ascii="Times New Roman" w:hAnsi="Times New Roman" w:cs="Times New Roman"/>
          <w:color w:val="auto"/>
          <w:highlight w:val="none"/>
          <w:u w:val="none" w:color="auto"/>
        </w:rPr>
        <w:t>。</w:t>
      </w:r>
    </w:p>
    <w:p w14:paraId="04E65325">
      <w:pPr>
        <w:pStyle w:val="20"/>
        <w:bidi w:val="0"/>
        <w:rPr>
          <w:rFonts w:hint="default" w:ascii="Times New Roman" w:hAnsi="Times New Roman" w:cs="Times New Roman"/>
          <w:color w:val="auto"/>
          <w:highlight w:val="none"/>
          <w:u w:val="none" w:color="auto"/>
          <w:lang w:val="zh-CN"/>
        </w:rPr>
      </w:pPr>
      <w:r>
        <w:rPr>
          <w:rFonts w:hint="default" w:ascii="Times New Roman" w:hAnsi="Times New Roman" w:cs="Times New Roman"/>
          <w:color w:val="auto"/>
          <w:highlight w:val="none"/>
          <w:u w:val="none" w:color="auto"/>
        </w:rPr>
        <w:t>根据总平面布置原则，项目总体布局简洁紧凑，土地利用率较高。建、构筑物的布置满足工艺流程的顺畅，便于物流人流畅通的同时，保证了卫生、消防安全要求。</w:t>
      </w:r>
      <w:r>
        <w:rPr>
          <w:rFonts w:hint="eastAsia" w:ascii="Times New Roman" w:hAnsi="Times New Roman" w:cs="Times New Roman"/>
          <w:color w:val="auto"/>
          <w:highlight w:val="none"/>
          <w:u w:val="none" w:color="auto"/>
          <w:lang w:val="en-US" w:eastAsia="zh-CN"/>
        </w:rPr>
        <w:t>相较于原址，新厂址平面布置更合理，周转更迅速。</w:t>
      </w:r>
      <w:r>
        <w:rPr>
          <w:rFonts w:hint="default" w:ascii="Times New Roman" w:hAnsi="Times New Roman" w:cs="Times New Roman"/>
          <w:color w:val="auto"/>
          <w:highlight w:val="none"/>
          <w:u w:val="none" w:color="auto"/>
        </w:rPr>
        <w:t>本项目的平面设计根据流程和设备运转的要求，按照工艺过程、运转顺序和安全生产的需要布置生产装置，满足了工艺流程的合理顺畅，使生产设备集中布置。综上所述，本项目厂区布局合理。具体详见附</w:t>
      </w:r>
      <w:r>
        <w:rPr>
          <w:rFonts w:hint="default" w:ascii="Times New Roman" w:hAnsi="Times New Roman" w:cs="Times New Roman"/>
          <w:color w:val="auto"/>
          <w:highlight w:val="none"/>
          <w:u w:val="none" w:color="auto"/>
          <w:lang w:eastAsia="zh-CN"/>
        </w:rPr>
        <w:t>图</w:t>
      </w:r>
      <w:r>
        <w:rPr>
          <w:rFonts w:hint="eastAsia"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w:t>
      </w:r>
    </w:p>
    <w:bookmarkEnd w:id="58"/>
    <w:bookmarkEnd w:id="59"/>
    <w:bookmarkEnd w:id="60"/>
    <w:bookmarkEnd w:id="61"/>
    <w:bookmarkEnd w:id="62"/>
    <w:bookmarkEnd w:id="63"/>
    <w:p w14:paraId="6360C205">
      <w:pPr>
        <w:pStyle w:val="3"/>
        <w:bidi w:val="0"/>
        <w:rPr>
          <w:rFonts w:hint="default"/>
          <w:color w:val="auto"/>
          <w:u w:val="none" w:color="auto"/>
        </w:rPr>
      </w:pPr>
      <w:bookmarkStart w:id="154" w:name="_Toc12071"/>
      <w:bookmarkStart w:id="155" w:name="_Toc29646_WPSOffice_Level2"/>
      <w:bookmarkStart w:id="156" w:name="_Toc14560_WPSOffice_Level2"/>
      <w:bookmarkStart w:id="157" w:name="_Toc32145_WPSOffice_Level2"/>
      <w:bookmarkStart w:id="158" w:name="_Toc2042_WPSOffice_Level2"/>
      <w:bookmarkStart w:id="159" w:name="_Toc20404"/>
      <w:bookmarkStart w:id="160" w:name="_Toc18157"/>
      <w:r>
        <w:rPr>
          <w:rFonts w:hint="default"/>
          <w:color w:val="auto"/>
          <w:u w:val="none" w:color="auto"/>
        </w:rPr>
        <w:t>1.</w:t>
      </w:r>
      <w:r>
        <w:rPr>
          <w:rFonts w:hint="eastAsia"/>
          <w:color w:val="auto"/>
          <w:u w:val="none" w:color="auto"/>
          <w:lang w:val="en-US" w:eastAsia="zh-CN"/>
        </w:rPr>
        <w:t>4</w:t>
      </w:r>
      <w:r>
        <w:rPr>
          <w:rFonts w:hint="default"/>
          <w:color w:val="auto"/>
          <w:u w:val="none" w:color="auto"/>
        </w:rPr>
        <w:t>项目特点</w:t>
      </w:r>
      <w:bookmarkEnd w:id="28"/>
      <w:bookmarkEnd w:id="29"/>
      <w:bookmarkEnd w:id="30"/>
      <w:bookmarkEnd w:id="31"/>
      <w:bookmarkEnd w:id="32"/>
      <w:bookmarkEnd w:id="64"/>
      <w:bookmarkEnd w:id="65"/>
      <w:bookmarkEnd w:id="66"/>
      <w:bookmarkEnd w:id="154"/>
      <w:bookmarkEnd w:id="155"/>
      <w:bookmarkEnd w:id="156"/>
      <w:bookmarkEnd w:id="157"/>
      <w:bookmarkEnd w:id="158"/>
      <w:bookmarkEnd w:id="159"/>
      <w:bookmarkEnd w:id="160"/>
    </w:p>
    <w:p w14:paraId="0D98BDBD">
      <w:pPr>
        <w:pStyle w:val="20"/>
        <w:ind w:firstLine="480"/>
        <w:rPr>
          <w:rFonts w:hint="default" w:ascii="Times New Roman" w:hAnsi="Times New Roman" w:eastAsia="宋体" w:cs="Times New Roman"/>
          <w:color w:val="auto"/>
          <w:highlight w:val="none"/>
          <w:u w:val="none" w:color="auto"/>
          <w:lang w:val="en-US" w:eastAsia="zh-CN"/>
        </w:rPr>
      </w:pPr>
      <w:bookmarkStart w:id="161" w:name="_Toc1051"/>
      <w:bookmarkStart w:id="162" w:name="_Toc25222_WPSOffice_Level2"/>
      <w:bookmarkStart w:id="163" w:name="_Toc8630"/>
      <w:bookmarkStart w:id="164" w:name="_Toc481738342"/>
      <w:bookmarkStart w:id="165" w:name="_Toc32237_WPSOffice_Level2"/>
      <w:bookmarkStart w:id="166" w:name="_Toc8839"/>
      <w:bookmarkStart w:id="167" w:name="_Toc23082_WPSOffice_Level2"/>
      <w:bookmarkStart w:id="168" w:name="_Toc845_WPSOffice_Level2"/>
      <w:bookmarkStart w:id="169" w:name="_Toc471286041"/>
      <w:bookmarkStart w:id="170" w:name="_Toc9915_WPSOffice_Level2"/>
      <w:bookmarkStart w:id="171" w:name="_Toc24863_WPSOffice_Level2"/>
      <w:bookmarkStart w:id="172" w:name="_Toc17031_WPSOffice_Level2"/>
      <w:r>
        <w:rPr>
          <w:rFonts w:hint="default" w:ascii="Times New Roman" w:hAnsi="Times New Roman" w:cs="Times New Roman"/>
          <w:b w:val="0"/>
          <w:bCs w:val="0"/>
          <w:color w:val="auto"/>
          <w:highlight w:val="none"/>
          <w:u w:val="none" w:color="auto"/>
        </w:rPr>
        <w:t>①本项目建成后废气主要为粉尘、非甲烷总烃</w:t>
      </w:r>
      <w:r>
        <w:rPr>
          <w:rFonts w:hint="eastAsia" w:ascii="Times New Roman" w:hAnsi="Times New Roman" w:cs="Times New Roman"/>
          <w:b w:val="0"/>
          <w:bCs w:val="0"/>
          <w:color w:val="auto"/>
          <w:highlight w:val="none"/>
          <w:u w:val="none" w:color="auto"/>
          <w:lang w:eastAsia="zh-CN"/>
        </w:rPr>
        <w:t>、</w:t>
      </w:r>
      <w:r>
        <w:rPr>
          <w:rFonts w:hint="eastAsia" w:ascii="Times New Roman" w:hAnsi="Times New Roman" w:cs="Times New Roman"/>
          <w:b w:val="0"/>
          <w:bCs w:val="0"/>
          <w:color w:val="auto"/>
          <w:highlight w:val="none"/>
          <w:u w:val="none" w:color="auto"/>
          <w:lang w:val="en-US" w:eastAsia="zh-CN"/>
        </w:rPr>
        <w:t>二甲苯、</w:t>
      </w:r>
      <w:r>
        <w:rPr>
          <w:rFonts w:hint="default" w:ascii="Times New Roman" w:hAnsi="Times New Roman" w:cs="Times New Roman"/>
          <w:b w:val="0"/>
          <w:bCs w:val="0"/>
          <w:color w:val="auto"/>
          <w:highlight w:val="none"/>
          <w:u w:val="none" w:color="auto"/>
        </w:rPr>
        <w:t>HCl。粉尘经过集气罩+脉冲式布袋除尘器处理后经一根15m高的排气筒排放（</w:t>
      </w:r>
      <w:r>
        <w:rPr>
          <w:rFonts w:hint="eastAsia" w:ascii="Times New Roman" w:hAnsi="Times New Roman" w:cs="Times New Roman"/>
          <w:b w:val="0"/>
          <w:bCs w:val="0"/>
          <w:color w:val="auto"/>
          <w:highlight w:val="none"/>
          <w:u w:val="none" w:color="auto"/>
          <w:lang w:val="en-US" w:eastAsia="zh-CN"/>
        </w:rPr>
        <w:t>DA001</w:t>
      </w:r>
      <w:r>
        <w:rPr>
          <w:rFonts w:hint="default" w:ascii="Times New Roman" w:hAnsi="Times New Roman" w:cs="Times New Roman"/>
          <w:b w:val="0"/>
          <w:bCs w:val="0"/>
          <w:color w:val="auto"/>
          <w:highlight w:val="none"/>
          <w:u w:val="none" w:color="auto"/>
        </w:rPr>
        <w:t>）。</w:t>
      </w:r>
      <w:r>
        <w:rPr>
          <w:rFonts w:hint="eastAsia" w:ascii="Times New Roman" w:hAnsi="Times New Roman" w:cs="Times New Roman"/>
          <w:b w:val="0"/>
          <w:bCs w:val="0"/>
          <w:color w:val="auto"/>
          <w:highlight w:val="none"/>
          <w:u w:val="none" w:color="auto"/>
          <w:lang w:val="en-US" w:eastAsia="zh-CN"/>
        </w:rPr>
        <w:t>1#厂房</w:t>
      </w:r>
      <w:r>
        <w:rPr>
          <w:rFonts w:hint="default" w:ascii="Times New Roman" w:hAnsi="Times New Roman" w:cs="Times New Roman"/>
          <w:b w:val="0"/>
          <w:bCs w:val="0"/>
          <w:color w:val="auto"/>
          <w:highlight w:val="none"/>
          <w:u w:val="none" w:color="auto"/>
        </w:rPr>
        <w:t>非甲烷总烃、HCl经过集气罩+</w:t>
      </w:r>
      <w:r>
        <w:rPr>
          <w:rFonts w:hint="eastAsia" w:ascii="Times New Roman" w:hAnsi="Times New Roman" w:cs="Times New Roman"/>
          <w:b w:val="0"/>
          <w:bCs w:val="0"/>
          <w:color w:val="auto"/>
          <w:highlight w:val="none"/>
          <w:u w:val="none" w:color="auto"/>
          <w:lang w:val="en-US" w:eastAsia="zh-CN"/>
        </w:rPr>
        <w:t>二级</w:t>
      </w:r>
      <w:r>
        <w:rPr>
          <w:rFonts w:hint="default" w:ascii="Times New Roman" w:hAnsi="Times New Roman" w:cs="Times New Roman"/>
          <w:b w:val="0"/>
          <w:bCs w:val="0"/>
          <w:color w:val="auto"/>
          <w:highlight w:val="none"/>
          <w:u w:val="none" w:color="auto"/>
        </w:rPr>
        <w:t>活性炭吸附+15m高的排气筒排放（</w:t>
      </w:r>
      <w:r>
        <w:rPr>
          <w:rFonts w:hint="eastAsia" w:ascii="Times New Roman" w:hAnsi="Times New Roman" w:cs="Times New Roman"/>
          <w:b w:val="0"/>
          <w:bCs w:val="0"/>
          <w:color w:val="auto"/>
          <w:highlight w:val="none"/>
          <w:u w:val="none" w:color="auto"/>
          <w:lang w:val="en-US" w:eastAsia="zh-CN"/>
        </w:rPr>
        <w:t>DA002</w:t>
      </w:r>
      <w:r>
        <w:rPr>
          <w:rFonts w:hint="default" w:ascii="Times New Roman" w:hAnsi="Times New Roman" w:cs="Times New Roman"/>
          <w:b w:val="0"/>
          <w:bCs w:val="0"/>
          <w:color w:val="auto"/>
          <w:highlight w:val="none"/>
          <w:u w:val="none" w:color="auto"/>
        </w:rPr>
        <w:t>）</w:t>
      </w:r>
      <w:r>
        <w:rPr>
          <w:rFonts w:hint="eastAsia" w:cs="Times New Roman"/>
          <w:b w:val="0"/>
          <w:bCs w:val="0"/>
          <w:color w:val="auto"/>
          <w:highlight w:val="none"/>
          <w:u w:val="none" w:color="auto"/>
          <w:lang w:val="en-US" w:eastAsia="zh-CN"/>
        </w:rPr>
        <w:t>。2</w:t>
      </w:r>
      <w:r>
        <w:rPr>
          <w:rFonts w:hint="eastAsia" w:ascii="Times New Roman" w:hAnsi="Times New Roman" w:cs="Times New Roman"/>
          <w:b w:val="0"/>
          <w:bCs w:val="0"/>
          <w:color w:val="auto"/>
          <w:highlight w:val="none"/>
          <w:u w:val="none" w:color="auto"/>
          <w:lang w:val="en-US" w:eastAsia="zh-CN"/>
        </w:rPr>
        <w:t>#厂房</w:t>
      </w:r>
      <w:r>
        <w:rPr>
          <w:rFonts w:hint="default" w:ascii="Times New Roman" w:hAnsi="Times New Roman" w:cs="Times New Roman"/>
          <w:b w:val="0"/>
          <w:bCs w:val="0"/>
          <w:color w:val="auto"/>
          <w:highlight w:val="none"/>
          <w:u w:val="none" w:color="auto"/>
        </w:rPr>
        <w:t>非甲烷总烃、</w:t>
      </w:r>
      <w:r>
        <w:rPr>
          <w:rFonts w:hint="eastAsia" w:ascii="Times New Roman" w:hAnsi="Times New Roman" w:cs="Times New Roman"/>
          <w:b w:val="0"/>
          <w:bCs w:val="0"/>
          <w:color w:val="auto"/>
          <w:highlight w:val="none"/>
          <w:u w:val="none" w:color="auto"/>
          <w:lang w:val="en-US" w:eastAsia="zh-CN"/>
        </w:rPr>
        <w:t>二甲苯</w:t>
      </w:r>
      <w:r>
        <w:rPr>
          <w:rFonts w:hint="default" w:ascii="Times New Roman" w:hAnsi="Times New Roman" w:cs="Times New Roman"/>
          <w:b w:val="0"/>
          <w:bCs w:val="0"/>
          <w:color w:val="auto"/>
          <w:highlight w:val="none"/>
          <w:u w:val="none" w:color="auto"/>
        </w:rPr>
        <w:t>经过集气罩+</w:t>
      </w:r>
      <w:r>
        <w:rPr>
          <w:rFonts w:hint="eastAsia" w:ascii="Times New Roman" w:hAnsi="Times New Roman" w:cs="Times New Roman"/>
          <w:b w:val="0"/>
          <w:bCs w:val="0"/>
          <w:color w:val="auto"/>
          <w:highlight w:val="none"/>
          <w:u w:val="none" w:color="auto"/>
          <w:lang w:val="en-US" w:eastAsia="zh-CN"/>
        </w:rPr>
        <w:t>二级</w:t>
      </w:r>
      <w:r>
        <w:rPr>
          <w:rFonts w:hint="default" w:ascii="Times New Roman" w:hAnsi="Times New Roman" w:cs="Times New Roman"/>
          <w:b w:val="0"/>
          <w:bCs w:val="0"/>
          <w:color w:val="auto"/>
          <w:highlight w:val="none"/>
          <w:u w:val="none" w:color="auto"/>
        </w:rPr>
        <w:t>活性炭吸附+15m高的排气筒排放（</w:t>
      </w:r>
      <w:r>
        <w:rPr>
          <w:rFonts w:hint="eastAsia" w:ascii="Times New Roman" w:hAnsi="Times New Roman" w:cs="Times New Roman"/>
          <w:b w:val="0"/>
          <w:bCs w:val="0"/>
          <w:color w:val="auto"/>
          <w:highlight w:val="none"/>
          <w:u w:val="none" w:color="auto"/>
          <w:lang w:val="en-US" w:eastAsia="zh-CN"/>
        </w:rPr>
        <w:t>DA003</w:t>
      </w:r>
      <w:r>
        <w:rPr>
          <w:rFonts w:hint="default" w:ascii="Times New Roman" w:hAnsi="Times New Roman" w:cs="Times New Roman"/>
          <w:b w:val="0"/>
          <w:bCs w:val="0"/>
          <w:color w:val="auto"/>
          <w:highlight w:val="none"/>
          <w:u w:val="none" w:color="auto"/>
        </w:rPr>
        <w:t>）</w:t>
      </w:r>
      <w:r>
        <w:rPr>
          <w:rFonts w:hint="eastAsia" w:cs="Times New Roman"/>
          <w:b w:val="0"/>
          <w:bCs w:val="0"/>
          <w:color w:val="auto"/>
          <w:highlight w:val="none"/>
          <w:u w:val="none" w:color="auto"/>
          <w:lang w:val="en-US" w:eastAsia="zh-CN"/>
        </w:rPr>
        <w:t>。</w:t>
      </w:r>
    </w:p>
    <w:p w14:paraId="04B4F8C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②本项目</w:t>
      </w:r>
      <w:r>
        <w:rPr>
          <w:rFonts w:hint="eastAsia" w:ascii="Times New Roman" w:hAnsi="Times New Roman" w:cs="Times New Roman"/>
          <w:color w:val="auto"/>
          <w:u w:val="none" w:color="auto"/>
          <w:lang w:val="en-US" w:eastAsia="zh-CN"/>
        </w:rPr>
        <w:t>冷却水经循环冷却水池+冷却塔处理后循环使用，不外排</w:t>
      </w:r>
      <w:r>
        <w:rPr>
          <w:rFonts w:hint="eastAsia" w:ascii="Times New Roman" w:hAnsi="Times New Roman" w:eastAsia="宋体" w:cs="Times New Roman"/>
          <w:color w:val="auto"/>
          <w:u w:val="none" w:color="auto"/>
          <w:lang w:val="en-US" w:eastAsia="zh-CN"/>
        </w:rPr>
        <w:t>；</w:t>
      </w:r>
      <w:r>
        <w:rPr>
          <w:rFonts w:hint="eastAsia"/>
          <w:color w:val="auto"/>
          <w:u w:val="none" w:color="auto"/>
          <w:lang w:val="en-US" w:eastAsia="zh-CN"/>
        </w:rPr>
        <w:t>生活污水经化粪池处理后排入湖南汨罗高新技术产业开发区（循环园区）污水处理厂。</w:t>
      </w:r>
    </w:p>
    <w:p w14:paraId="290D8F1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highlight w:val="none"/>
          <w:u w:val="none" w:color="auto"/>
        </w:rPr>
        <w:t>③项目生产过程中的固体废物主要包括一般工业固废：收集到的粉尘、不合格产品、边角料、</w:t>
      </w:r>
      <w:r>
        <w:rPr>
          <w:rFonts w:hint="eastAsia" w:ascii="Times New Roman" w:hAnsi="Times New Roman" w:cs="Times New Roman"/>
          <w:color w:val="auto"/>
          <w:highlight w:val="none"/>
          <w:u w:val="none" w:color="auto"/>
          <w:lang w:val="en-US" w:eastAsia="zh-CN"/>
        </w:rPr>
        <w:t>废膜、</w:t>
      </w:r>
      <w:r>
        <w:rPr>
          <w:rFonts w:hint="default" w:ascii="Times New Roman" w:hAnsi="Times New Roman" w:cs="Times New Roman"/>
          <w:color w:val="auto"/>
          <w:highlight w:val="none"/>
          <w:u w:val="none" w:color="auto"/>
        </w:rPr>
        <w:t>一般性废包装材料及沉淀池沉渣等一般固废；废活性炭、废矿物油等危险物废物和员工生活垃圾。</w:t>
      </w:r>
    </w:p>
    <w:p w14:paraId="0502A6FF">
      <w:pPr>
        <w:pStyle w:val="3"/>
        <w:bidi w:val="0"/>
        <w:rPr>
          <w:rFonts w:hint="default"/>
          <w:color w:val="auto"/>
          <w:u w:val="none" w:color="auto"/>
        </w:rPr>
      </w:pPr>
      <w:bookmarkStart w:id="173" w:name="_Toc7998"/>
      <w:bookmarkStart w:id="174" w:name="_Toc441"/>
      <w:bookmarkStart w:id="175" w:name="_Toc18238"/>
      <w:r>
        <w:rPr>
          <w:rFonts w:hint="default"/>
          <w:color w:val="auto"/>
          <w:u w:val="none" w:color="auto"/>
        </w:rPr>
        <w:t>1.</w:t>
      </w:r>
      <w:r>
        <w:rPr>
          <w:rFonts w:hint="eastAsia"/>
          <w:color w:val="auto"/>
          <w:u w:val="none" w:color="auto"/>
          <w:lang w:val="en-US" w:eastAsia="zh-CN"/>
        </w:rPr>
        <w:t>5</w:t>
      </w:r>
      <w:r>
        <w:rPr>
          <w:rFonts w:hint="default"/>
          <w:color w:val="auto"/>
          <w:u w:val="none" w:color="auto"/>
        </w:rPr>
        <w:t>主要环境问题及环境影响</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14:paraId="753ACB06">
      <w:pPr>
        <w:spacing w:line="360" w:lineRule="auto"/>
        <w:ind w:firstLine="434" w:firstLineChars="181"/>
        <w:rPr>
          <w:rFonts w:hint="default" w:ascii="Times New Roman" w:hAnsi="Times New Roman" w:cs="Times New Roman"/>
          <w:color w:val="auto"/>
          <w:kern w:val="0"/>
          <w:sz w:val="24"/>
          <w:u w:val="none" w:color="auto"/>
        </w:rPr>
      </w:pPr>
      <w:bookmarkStart w:id="176" w:name="_Toc1338_WPSOffice_Level2"/>
      <w:bookmarkStart w:id="177" w:name="_Toc471286042"/>
      <w:bookmarkStart w:id="178" w:name="_Toc15472"/>
      <w:bookmarkStart w:id="179" w:name="_Toc22012_WPSOffice_Level2"/>
      <w:bookmarkStart w:id="180" w:name="_Toc15801_WPSOffice_Level2"/>
      <w:bookmarkStart w:id="181" w:name="_Toc17323_WPSOffice_Level2"/>
      <w:bookmarkStart w:id="182" w:name="_Toc3129_WPSOffice_Level2"/>
      <w:bookmarkStart w:id="183" w:name="_Toc4908"/>
      <w:bookmarkStart w:id="184" w:name="_Toc21958"/>
      <w:bookmarkStart w:id="185" w:name="_Toc481738343"/>
      <w:bookmarkStart w:id="186" w:name="_Toc25797_WPSOffice_Level2"/>
      <w:bookmarkStart w:id="187" w:name="_Toc17753_WPSOffice_Level2"/>
      <w:r>
        <w:rPr>
          <w:rFonts w:hint="default" w:ascii="Times New Roman" w:hAnsi="Times New Roman" w:cs="Times New Roman"/>
          <w:color w:val="auto"/>
          <w:kern w:val="0"/>
          <w:sz w:val="24"/>
          <w:u w:val="none" w:color="auto"/>
        </w:rPr>
        <w:t>本项目关注的主要环境问题是：</w:t>
      </w:r>
    </w:p>
    <w:p w14:paraId="51305D54">
      <w:pPr>
        <w:spacing w:line="360" w:lineRule="auto"/>
        <w:ind w:firstLine="434" w:firstLineChars="181"/>
        <w:rPr>
          <w:rFonts w:hint="default" w:ascii="Times New Roman" w:hAnsi="Times New Roman" w:cs="Times New Roman"/>
          <w:color w:val="auto"/>
          <w:kern w:val="0"/>
          <w:sz w:val="24"/>
          <w:u w:val="none" w:color="auto"/>
        </w:rPr>
      </w:pPr>
      <w:r>
        <w:rPr>
          <w:rFonts w:hint="default" w:ascii="Times New Roman" w:hAnsi="Times New Roman" w:cs="Times New Roman"/>
          <w:color w:val="auto"/>
          <w:kern w:val="0"/>
          <w:sz w:val="24"/>
          <w:u w:val="none" w:color="auto"/>
        </w:rPr>
        <w:t>①本项目关注项目拟采取的废水、废气、固体废物等污染防治措施的合理性分析，污染物实现稳定达标排放的可行性、可靠性分析。</w:t>
      </w:r>
    </w:p>
    <w:p w14:paraId="5C3A9400">
      <w:pPr>
        <w:pStyle w:val="20"/>
        <w:bidi w:val="0"/>
        <w:rPr>
          <w:rFonts w:hint="eastAsia" w:eastAsia="宋体"/>
          <w:color w:val="auto"/>
          <w:u w:val="none" w:color="auto"/>
          <w:lang w:eastAsia="zh-CN"/>
        </w:rPr>
      </w:pPr>
      <w:r>
        <w:rPr>
          <w:rFonts w:hint="eastAsia"/>
          <w:color w:val="auto"/>
          <w:u w:val="none" w:color="auto"/>
          <w:lang w:val="en-US" w:eastAsia="zh-CN"/>
        </w:rPr>
        <w:t>②</w:t>
      </w:r>
      <w:r>
        <w:rPr>
          <w:rFonts w:hint="default"/>
          <w:color w:val="auto"/>
          <w:u w:val="none" w:color="auto"/>
        </w:rPr>
        <w:t>关注项目的环境管理工作，提出项目环境管理体系建设的要求和规范</w:t>
      </w:r>
      <w:r>
        <w:rPr>
          <w:rFonts w:hint="eastAsia"/>
          <w:color w:val="auto"/>
          <w:u w:val="none" w:color="auto"/>
          <w:lang w:eastAsia="zh-CN"/>
        </w:rPr>
        <w:t>。</w:t>
      </w:r>
    </w:p>
    <w:p w14:paraId="6A19042D">
      <w:pPr>
        <w:pStyle w:val="3"/>
        <w:bidi w:val="0"/>
        <w:rPr>
          <w:rFonts w:hint="default"/>
          <w:color w:val="auto"/>
          <w:u w:val="none" w:color="auto"/>
        </w:rPr>
      </w:pPr>
      <w:bookmarkStart w:id="188" w:name="_Toc31494"/>
      <w:bookmarkStart w:id="189" w:name="_Toc15236"/>
      <w:bookmarkStart w:id="190" w:name="_Toc23342"/>
      <w:r>
        <w:rPr>
          <w:rFonts w:hint="default"/>
          <w:color w:val="auto"/>
          <w:u w:val="none" w:color="auto"/>
        </w:rPr>
        <w:t>1.</w:t>
      </w:r>
      <w:r>
        <w:rPr>
          <w:rFonts w:hint="eastAsia"/>
          <w:color w:val="auto"/>
          <w:u w:val="none" w:color="auto"/>
          <w:lang w:val="en-US" w:eastAsia="zh-CN"/>
        </w:rPr>
        <w:t>6</w:t>
      </w:r>
      <w:r>
        <w:rPr>
          <w:rFonts w:hint="default"/>
          <w:color w:val="auto"/>
          <w:u w:val="none" w:color="auto"/>
        </w:rPr>
        <w:t>环境影响评价主要结论</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p>
    <w:p w14:paraId="2CC90B13">
      <w:pPr>
        <w:pStyle w:val="20"/>
        <w:ind w:firstLine="480"/>
        <w:rPr>
          <w:rFonts w:hint="default" w:ascii="Times New Roman" w:hAnsi="Times New Roman" w:cs="Times New Roman"/>
          <w:color w:val="auto"/>
          <w:u w:val="none" w:color="auto"/>
        </w:rPr>
      </w:pPr>
      <w:bookmarkStart w:id="191" w:name="_Toc59103487"/>
      <w:bookmarkStart w:id="192" w:name="_Toc9883"/>
      <w:bookmarkStart w:id="193" w:name="_Toc59104187"/>
      <w:bookmarkStart w:id="194" w:name="_Toc353549397"/>
      <w:bookmarkStart w:id="195" w:name="_Toc59104094"/>
      <w:bookmarkStart w:id="196" w:name="_Toc372124928"/>
      <w:r>
        <w:rPr>
          <w:rFonts w:hint="eastAsia" w:ascii="Times New Roman" w:hAnsi="Times New Roman" w:cs="Times New Roman"/>
          <w:color w:val="auto"/>
          <w:u w:val="none" w:color="auto"/>
          <w:lang w:val="en-US" w:eastAsia="zh-CN"/>
        </w:rPr>
        <w:t>湖南铭腾新材料有限公司</w:t>
      </w:r>
      <w:r>
        <w:rPr>
          <w:rFonts w:hint="default" w:ascii="Times New Roman" w:hAnsi="Times New Roman" w:cs="Times New Roman"/>
          <w:color w:val="auto"/>
          <w:u w:val="none" w:color="auto"/>
          <w:lang w:val="en-US" w:eastAsia="zh-CN"/>
        </w:rPr>
        <w:t>铭腾高分子制品年产30000吨塑料板材、5000吨装饰线条建设项目</w:t>
      </w:r>
      <w:r>
        <w:rPr>
          <w:rFonts w:hint="default" w:ascii="Times New Roman" w:hAnsi="Times New Roman" w:cs="Times New Roman"/>
          <w:color w:val="auto"/>
          <w:u w:val="none" w:color="auto"/>
          <w:lang w:eastAsia="zh-CN"/>
        </w:rPr>
        <w:t>建设符合国家产业政策；项目生产所采用的原料和设备、所采用的生产工艺符合国家现行产业政策，其所采取的污染防治措施可行，建设单位在落实本报告提出的各项环保措施和风险防范措施的情况下，不会对区域环境质量产生明显影响</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环境风险可控</w:t>
      </w:r>
      <w:r>
        <w:rPr>
          <w:rFonts w:hint="default" w:ascii="Times New Roman" w:hAnsi="Times New Roman" w:cs="Times New Roman"/>
          <w:color w:val="auto"/>
          <w:u w:val="none" w:color="auto"/>
          <w:lang w:eastAsia="zh-CN"/>
        </w:rPr>
        <w:t>。从环保角度而言，该项目的建设是可行的。</w:t>
      </w:r>
    </w:p>
    <w:p w14:paraId="1399A3C5">
      <w:pPr>
        <w:pStyle w:val="2"/>
        <w:bidi w:val="0"/>
        <w:rPr>
          <w:rFonts w:hint="default" w:ascii="Times New Roman" w:hAnsi="Times New Roman" w:eastAsia="宋体" w:cs="Times New Roman"/>
          <w:color w:val="auto"/>
          <w:szCs w:val="20"/>
          <w:u w:val="none" w:color="auto"/>
        </w:rPr>
      </w:pPr>
      <w:r>
        <w:rPr>
          <w:rFonts w:hint="default" w:ascii="Times New Roman" w:hAnsi="Times New Roman" w:eastAsia="宋体" w:cs="Times New Roman"/>
          <w:color w:val="auto"/>
          <w:u w:val="none" w:color="auto"/>
        </w:rPr>
        <w:br w:type="page"/>
      </w:r>
      <w:bookmarkStart w:id="197" w:name="_Toc4740_WPSOffice_Level1"/>
      <w:bookmarkStart w:id="198" w:name="_Toc30946"/>
      <w:bookmarkStart w:id="199" w:name="_Toc29481"/>
      <w:bookmarkStart w:id="200" w:name="_Toc3700"/>
      <w:bookmarkStart w:id="201" w:name="_Toc23064_WPSOffice_Level1"/>
      <w:bookmarkStart w:id="202" w:name="_Toc14401"/>
      <w:bookmarkStart w:id="203" w:name="_Toc5917_WPSOffice_Level1"/>
      <w:bookmarkStart w:id="204" w:name="_Toc22577_WPSOffice_Level1"/>
      <w:bookmarkStart w:id="205" w:name="_Toc7140_WPSOffice_Level1"/>
      <w:bookmarkStart w:id="206" w:name="_Toc27622"/>
      <w:bookmarkStart w:id="207" w:name="_Toc26328_WPSOffice_Level1"/>
      <w:bookmarkStart w:id="208" w:name="_Toc17861_WPSOffice_Level1"/>
      <w:bookmarkStart w:id="209" w:name="_Toc13685_WPSOffice_Level1"/>
      <w:bookmarkStart w:id="210" w:name="_Toc6529"/>
      <w:bookmarkStart w:id="211" w:name="_Toc27815_WPSOffice_Level1"/>
      <w:r>
        <w:rPr>
          <w:rFonts w:hint="default" w:ascii="Times New Roman" w:hAnsi="Times New Roman" w:eastAsia="宋体" w:cs="Times New Roman"/>
          <w:color w:val="auto"/>
          <w:u w:val="none" w:color="auto"/>
        </w:rPr>
        <w:t>2、总则</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238613B3">
      <w:pPr>
        <w:pStyle w:val="3"/>
        <w:bidi w:val="0"/>
        <w:rPr>
          <w:rFonts w:hint="default"/>
          <w:color w:val="auto"/>
          <w:u w:val="none" w:color="auto"/>
        </w:rPr>
      </w:pPr>
      <w:bookmarkStart w:id="212" w:name="_Toc5222_WPSOffice_Level2"/>
      <w:bookmarkStart w:id="213" w:name="_Toc21343_WPSOffice_Level2"/>
      <w:bookmarkStart w:id="214" w:name="_Toc11591"/>
      <w:bookmarkStart w:id="215" w:name="_Toc12201_WPSOffice_Level2"/>
      <w:bookmarkStart w:id="216" w:name="_Toc27359"/>
      <w:bookmarkStart w:id="217" w:name="_Toc458169515"/>
      <w:bookmarkStart w:id="218" w:name="_Toc13978"/>
      <w:bookmarkStart w:id="219" w:name="_Toc25220_WPSOffice_Level2"/>
      <w:bookmarkStart w:id="220" w:name="_Toc18671_WPSOffice_Level2"/>
      <w:bookmarkStart w:id="221" w:name="_Toc22245"/>
      <w:bookmarkStart w:id="222" w:name="_Toc2329_WPSOffice_Level2"/>
      <w:bookmarkStart w:id="223" w:name="_Toc7944"/>
      <w:bookmarkStart w:id="224" w:name="_Toc8664_WPSOffice_Level2"/>
      <w:bookmarkStart w:id="225" w:name="_Toc27554"/>
      <w:bookmarkStart w:id="226" w:name="_Toc14472"/>
      <w:bookmarkStart w:id="227" w:name="OLE_LINK11"/>
      <w:r>
        <w:rPr>
          <w:rFonts w:hint="default"/>
          <w:color w:val="auto"/>
          <w:u w:val="none" w:color="auto"/>
        </w:rPr>
        <w:t>2.1编制依据</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bookmarkEnd w:id="227"/>
    <w:p w14:paraId="2EA58476">
      <w:pPr>
        <w:pStyle w:val="4"/>
        <w:rPr>
          <w:rFonts w:hint="default" w:ascii="Times New Roman" w:hAnsi="Times New Roman" w:cs="Times New Roman"/>
          <w:color w:val="auto"/>
          <w:u w:val="none" w:color="auto"/>
        </w:rPr>
      </w:pPr>
      <w:bookmarkStart w:id="228" w:name="_Toc270622547"/>
      <w:bookmarkStart w:id="229" w:name="_Toc25089"/>
      <w:bookmarkStart w:id="230" w:name="_Toc269630352"/>
      <w:bookmarkStart w:id="231" w:name="_Toc269630436"/>
      <w:bookmarkStart w:id="232" w:name="_Toc15868"/>
      <w:bookmarkStart w:id="233" w:name="_Toc458169516"/>
      <w:bookmarkStart w:id="234" w:name="_Toc302936678"/>
      <w:bookmarkStart w:id="235" w:name="_Toc17678"/>
      <w:bookmarkStart w:id="236" w:name="_Toc26795"/>
      <w:bookmarkStart w:id="237" w:name="_Toc20293"/>
      <w:bookmarkStart w:id="238" w:name="_Toc17107"/>
      <w:bookmarkStart w:id="239" w:name="_Toc9250"/>
      <w:bookmarkStart w:id="240" w:name="_Toc20122"/>
      <w:bookmarkStart w:id="241" w:name="_Toc6878"/>
      <w:bookmarkStart w:id="242" w:name="_Toc9010"/>
      <w:bookmarkStart w:id="243" w:name="_Toc6685"/>
      <w:bookmarkStart w:id="244" w:name="_Toc4607"/>
      <w:bookmarkStart w:id="245" w:name="_Toc26650"/>
      <w:bookmarkStart w:id="246" w:name="_Toc31606_WPSOffice_Level3"/>
      <w:bookmarkStart w:id="247" w:name="_Toc1742_WPSOffice_Level3"/>
      <w:bookmarkStart w:id="248" w:name="_Toc9924"/>
      <w:bookmarkStart w:id="249" w:name="_Toc5219"/>
      <w:bookmarkStart w:id="250" w:name="_Toc19911"/>
      <w:bookmarkStart w:id="251" w:name="_Toc26217"/>
      <w:bookmarkStart w:id="252" w:name="_Toc32124"/>
      <w:bookmarkStart w:id="253" w:name="_Toc29214"/>
      <w:r>
        <w:rPr>
          <w:rFonts w:hint="default" w:ascii="Times New Roman" w:hAnsi="Times New Roman" w:cs="Times New Roman"/>
          <w:color w:val="auto"/>
          <w:u w:val="none" w:color="auto"/>
        </w:rPr>
        <w:t>2.1.1</w:t>
      </w:r>
      <w:bookmarkEnd w:id="228"/>
      <w:bookmarkEnd w:id="229"/>
      <w:bookmarkEnd w:id="230"/>
      <w:bookmarkEnd w:id="231"/>
      <w:bookmarkEnd w:id="232"/>
      <w:bookmarkEnd w:id="233"/>
      <w:bookmarkEnd w:id="234"/>
      <w:r>
        <w:rPr>
          <w:rFonts w:hint="default" w:ascii="Times New Roman" w:hAnsi="Times New Roman" w:cs="Times New Roman"/>
          <w:color w:val="auto"/>
          <w:u w:val="none" w:color="auto"/>
        </w:rPr>
        <w:t>国家法律、法规和政策</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14:paraId="0D3F6CC0">
      <w:pPr>
        <w:pStyle w:val="20"/>
        <w:ind w:firstLine="480"/>
        <w:rPr>
          <w:rFonts w:hint="default" w:ascii="Times New Roman" w:hAnsi="Times New Roman" w:cs="Times New Roman"/>
          <w:color w:val="auto"/>
          <w:u w:val="none" w:color="auto"/>
        </w:rPr>
      </w:pPr>
      <w:bookmarkStart w:id="254" w:name="_Toc12847_WPSOffice_Level3"/>
      <w:bookmarkStart w:id="255" w:name="_Toc29780"/>
      <w:bookmarkStart w:id="256" w:name="_Toc10353_WPSOffice_Level3"/>
      <w:bookmarkStart w:id="257" w:name="_Toc8820"/>
      <w:bookmarkStart w:id="258" w:name="_Toc19688"/>
      <w:bookmarkStart w:id="259" w:name="_Toc20716"/>
      <w:bookmarkStart w:id="260" w:name="_Toc6923"/>
      <w:bookmarkStart w:id="261" w:name="_Toc11552"/>
      <w:bookmarkStart w:id="262" w:name="_Toc20610"/>
      <w:bookmarkStart w:id="263" w:name="_Toc892"/>
      <w:bookmarkStart w:id="264" w:name="_Toc15139"/>
      <w:bookmarkStart w:id="265" w:name="_Toc4142"/>
      <w:bookmarkStart w:id="266" w:name="_Toc29355"/>
      <w:bookmarkStart w:id="267" w:name="_Toc12435"/>
      <w:bookmarkStart w:id="268" w:name="_Toc655"/>
      <w:bookmarkStart w:id="269" w:name="_Toc3210"/>
      <w:bookmarkStart w:id="270" w:name="_Toc302936680"/>
      <w:bookmarkStart w:id="271" w:name="_Toc269630438"/>
      <w:bookmarkStart w:id="272" w:name="_Toc16491"/>
      <w:bookmarkStart w:id="273" w:name="_Toc270622549"/>
      <w:bookmarkStart w:id="274" w:name="_Toc269630354"/>
      <w:bookmarkStart w:id="275" w:name="_Toc29169"/>
      <w:bookmarkStart w:id="276" w:name="_Toc458169518"/>
      <w:r>
        <w:rPr>
          <w:rFonts w:hint="default" w:ascii="Times New Roman" w:hAnsi="Times New Roman" w:cs="Times New Roman"/>
          <w:color w:val="auto"/>
          <w:u w:val="none" w:color="auto"/>
        </w:rPr>
        <w:t>（1）《中华人民共和国环境保护法》，2015年1月1日起实施；</w:t>
      </w:r>
    </w:p>
    <w:p w14:paraId="50A20B5D">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（2）《中华人民共和国环境影响评价法》，2018年12月29日修订实施；</w:t>
      </w:r>
    </w:p>
    <w:p w14:paraId="4049400D">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（3）《中华人民共和国水污染防治法》，2018年1月1日起实施；</w:t>
      </w:r>
    </w:p>
    <w:p w14:paraId="3EF673D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（4）《中华人民共和国大气污染防治法》，2018年10月26日修订实施；</w:t>
      </w:r>
    </w:p>
    <w:p w14:paraId="274C39F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（5）《中华人民共和国固体废物污染环境防治法》，20</w:t>
      </w:r>
      <w:r>
        <w:rPr>
          <w:rFonts w:hint="default" w:ascii="Times New Roman" w:hAnsi="Times New Roman" w:cs="Times New Roman"/>
          <w:color w:val="auto"/>
          <w:u w:val="none" w:color="auto"/>
          <w:lang w:val="en-US" w:eastAsia="zh-CN"/>
        </w:rPr>
        <w:t>20</w:t>
      </w:r>
      <w:r>
        <w:rPr>
          <w:rFonts w:hint="default" w:ascii="Times New Roman" w:hAnsi="Times New Roman" w:cs="Times New Roman"/>
          <w:color w:val="auto"/>
          <w:u w:val="none" w:color="auto"/>
        </w:rPr>
        <w:t>年</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月</w:t>
      </w:r>
      <w:r>
        <w:rPr>
          <w:rFonts w:hint="default" w:ascii="Times New Roman" w:hAnsi="Times New Roman" w:cs="Times New Roman"/>
          <w:color w:val="auto"/>
          <w:u w:val="none" w:color="auto"/>
          <w:lang w:val="en-US" w:eastAsia="zh-CN"/>
        </w:rPr>
        <w:t>29</w:t>
      </w:r>
      <w:r>
        <w:rPr>
          <w:rFonts w:hint="default" w:ascii="Times New Roman" w:hAnsi="Times New Roman" w:cs="Times New Roman"/>
          <w:color w:val="auto"/>
          <w:u w:val="none" w:color="auto"/>
        </w:rPr>
        <w:t>日修正；</w:t>
      </w:r>
    </w:p>
    <w:p w14:paraId="0E3398D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（6）《中华人民共和国噪声污染防治法》，2022年6月5日起实施；</w:t>
      </w:r>
    </w:p>
    <w:p w14:paraId="21CB5AF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《中华人民共和国土壤污染防治法》，201</w:t>
      </w:r>
      <w:r>
        <w:rPr>
          <w:rFonts w:hint="default" w:ascii="Times New Roman" w:hAnsi="Times New Roman" w:cs="Times New Roman"/>
          <w:color w:val="auto"/>
          <w:u w:val="none" w:color="auto"/>
          <w:lang w:val="en-US" w:eastAsia="zh-CN"/>
        </w:rPr>
        <w:t>9</w:t>
      </w:r>
      <w:r>
        <w:rPr>
          <w:rFonts w:hint="default" w:ascii="Times New Roman" w:hAnsi="Times New Roman" w:cs="Times New Roman"/>
          <w:color w:val="auto"/>
          <w:u w:val="none" w:color="auto"/>
        </w:rPr>
        <w:t>年</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月</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日修订实施；</w:t>
      </w:r>
    </w:p>
    <w:p w14:paraId="58739F85">
      <w:pPr>
        <w:pStyle w:val="20"/>
        <w:ind w:firstLine="480"/>
        <w:rPr>
          <w:color w:val="auto"/>
          <w:u w:val="none" w:color="auto"/>
        </w:rPr>
      </w:pPr>
      <w:r>
        <w:rPr>
          <w:color w:val="auto"/>
          <w:u w:val="none" w:color="auto"/>
        </w:rPr>
        <w:t>（8）《中华人民共和国</w:t>
      </w:r>
      <w:r>
        <w:rPr>
          <w:rFonts w:hint="eastAsia"/>
          <w:color w:val="auto"/>
          <w:u w:val="none" w:color="auto"/>
          <w:lang w:eastAsia="zh-CN"/>
        </w:rPr>
        <w:t>长江保护</w:t>
      </w:r>
      <w:r>
        <w:rPr>
          <w:color w:val="auto"/>
          <w:u w:val="none" w:color="auto"/>
        </w:rPr>
        <w:t>法》，20</w:t>
      </w:r>
      <w:r>
        <w:rPr>
          <w:rFonts w:hint="eastAsia"/>
          <w:color w:val="auto"/>
          <w:u w:val="none" w:color="auto"/>
          <w:lang w:val="en-US" w:eastAsia="zh-CN"/>
        </w:rPr>
        <w:t>21</w:t>
      </w:r>
      <w:r>
        <w:rPr>
          <w:color w:val="auto"/>
          <w:u w:val="none" w:color="auto"/>
        </w:rPr>
        <w:t>年</w:t>
      </w:r>
      <w:r>
        <w:rPr>
          <w:rFonts w:hint="eastAsia"/>
          <w:color w:val="auto"/>
          <w:u w:val="none" w:color="auto"/>
          <w:lang w:val="en-US" w:eastAsia="zh-CN"/>
        </w:rPr>
        <w:t>3</w:t>
      </w:r>
      <w:r>
        <w:rPr>
          <w:color w:val="auto"/>
          <w:u w:val="none" w:color="auto"/>
        </w:rPr>
        <w:t>月1日</w:t>
      </w:r>
      <w:r>
        <w:rPr>
          <w:rFonts w:hint="eastAsia"/>
          <w:color w:val="auto"/>
          <w:u w:val="none" w:color="auto"/>
          <w:lang w:eastAsia="zh-CN"/>
        </w:rPr>
        <w:t>起</w:t>
      </w:r>
      <w:r>
        <w:rPr>
          <w:color w:val="auto"/>
          <w:u w:val="none" w:color="auto"/>
        </w:rPr>
        <w:t>实施；</w:t>
      </w:r>
    </w:p>
    <w:p w14:paraId="6550B5FC">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9</w:t>
      </w:r>
      <w:r>
        <w:rPr>
          <w:rFonts w:hint="eastAsia"/>
          <w:color w:val="auto"/>
          <w:u w:val="none" w:color="auto"/>
          <w:lang w:eastAsia="zh-CN"/>
        </w:rPr>
        <w:t>）《</w:t>
      </w:r>
      <w:r>
        <w:rPr>
          <w:color w:val="auto"/>
          <w:u w:val="none" w:color="auto"/>
        </w:rPr>
        <w:t>中华人民共和国循环经济促进法</w:t>
      </w:r>
      <w:r>
        <w:rPr>
          <w:rFonts w:hint="eastAsia"/>
          <w:color w:val="auto"/>
          <w:u w:val="none" w:color="auto"/>
          <w:lang w:eastAsia="zh-CN"/>
        </w:rPr>
        <w:t>》，</w:t>
      </w:r>
      <w:r>
        <w:rPr>
          <w:rFonts w:hint="default"/>
          <w:color w:val="auto"/>
          <w:u w:val="none" w:color="auto"/>
        </w:rPr>
        <w:t>2018</w:t>
      </w:r>
      <w:r>
        <w:rPr>
          <w:rFonts w:hint="eastAsia"/>
          <w:color w:val="auto"/>
          <w:u w:val="none" w:color="auto"/>
          <w:lang w:val="en-US" w:eastAsia="zh-CN"/>
        </w:rPr>
        <w:t>年</w:t>
      </w:r>
      <w:r>
        <w:rPr>
          <w:rFonts w:hint="default"/>
          <w:color w:val="auto"/>
          <w:u w:val="none" w:color="auto"/>
        </w:rPr>
        <w:t>修正</w:t>
      </w:r>
      <w:r>
        <w:rPr>
          <w:rFonts w:hint="eastAsia"/>
          <w:color w:val="auto"/>
          <w:u w:val="none" w:color="auto"/>
          <w:lang w:eastAsia="zh-CN"/>
        </w:rPr>
        <w:t>；</w:t>
      </w:r>
    </w:p>
    <w:p w14:paraId="589E766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10</w:t>
      </w:r>
      <w:r>
        <w:rPr>
          <w:rFonts w:hint="default" w:ascii="Times New Roman" w:hAnsi="Times New Roman" w:cs="Times New Roman"/>
          <w:color w:val="auto"/>
          <w:u w:val="none" w:color="auto"/>
        </w:rPr>
        <w:t>）《建设项目环境保护管理条例》，（国务院令第682号），2017年</w:t>
      </w:r>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rPr>
        <w:t>月</w:t>
      </w:r>
      <w:r>
        <w:rPr>
          <w:rFonts w:hint="eastAsia" w:ascii="Times New Roman" w:hAnsi="Times New Roman" w:cs="Times New Roman"/>
          <w:color w:val="auto"/>
          <w:u w:val="none" w:color="auto"/>
          <w:lang w:val="en-US" w:eastAsia="zh-CN"/>
        </w:rPr>
        <w:t>16</w:t>
      </w:r>
      <w:r>
        <w:rPr>
          <w:rFonts w:hint="default" w:ascii="Times New Roman" w:hAnsi="Times New Roman" w:cs="Times New Roman"/>
          <w:color w:val="auto"/>
          <w:u w:val="none" w:color="auto"/>
        </w:rPr>
        <w:t>日修订，2017年10月1日起实施；</w:t>
      </w:r>
    </w:p>
    <w:p w14:paraId="3FE2993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11</w:t>
      </w:r>
      <w:r>
        <w:rPr>
          <w:rFonts w:hint="default" w:ascii="Times New Roman" w:hAnsi="Times New Roman" w:cs="Times New Roman"/>
          <w:color w:val="auto"/>
          <w:u w:val="none" w:color="auto"/>
        </w:rPr>
        <w:t>）</w:t>
      </w:r>
      <w:r>
        <w:rPr>
          <w:color w:val="auto"/>
          <w:u w:val="none" w:color="auto"/>
        </w:rPr>
        <w:t>《建设项目环境影响评价分类管理名录》，生态环境部第1</w:t>
      </w:r>
      <w:r>
        <w:rPr>
          <w:rFonts w:hint="eastAsia"/>
          <w:color w:val="auto"/>
          <w:u w:val="none" w:color="auto"/>
          <w:lang w:val="en-US" w:eastAsia="zh-CN"/>
        </w:rPr>
        <w:t>6</w:t>
      </w:r>
      <w:r>
        <w:rPr>
          <w:color w:val="auto"/>
          <w:u w:val="none" w:color="auto"/>
        </w:rPr>
        <w:t>号令，20</w:t>
      </w:r>
      <w:r>
        <w:rPr>
          <w:rFonts w:hint="eastAsia"/>
          <w:color w:val="auto"/>
          <w:u w:val="none" w:color="auto"/>
          <w:lang w:val="en-US" w:eastAsia="zh-CN"/>
        </w:rPr>
        <w:t>21</w:t>
      </w:r>
      <w:r>
        <w:rPr>
          <w:color w:val="auto"/>
          <w:u w:val="none" w:color="auto"/>
        </w:rPr>
        <w:t>年</w:t>
      </w:r>
      <w:r>
        <w:rPr>
          <w:rFonts w:hint="eastAsia"/>
          <w:color w:val="auto"/>
          <w:u w:val="none" w:color="auto"/>
          <w:lang w:val="en-US" w:eastAsia="zh-CN"/>
        </w:rPr>
        <w:t>1</w:t>
      </w:r>
      <w:r>
        <w:rPr>
          <w:color w:val="auto"/>
          <w:u w:val="none" w:color="auto"/>
        </w:rPr>
        <w:t>月</w:t>
      </w:r>
      <w:r>
        <w:rPr>
          <w:rFonts w:hint="eastAsia"/>
          <w:color w:val="auto"/>
          <w:u w:val="none" w:color="auto"/>
          <w:lang w:val="en-US" w:eastAsia="zh-CN"/>
        </w:rPr>
        <w:t>1</w:t>
      </w:r>
      <w:r>
        <w:rPr>
          <w:color w:val="auto"/>
          <w:u w:val="none" w:color="auto"/>
        </w:rPr>
        <w:t>日起实施</w:t>
      </w:r>
      <w:r>
        <w:rPr>
          <w:rFonts w:hint="default" w:ascii="Times New Roman" w:hAnsi="Times New Roman" w:cs="Times New Roman"/>
          <w:color w:val="auto"/>
          <w:u w:val="none" w:color="auto"/>
        </w:rPr>
        <w:t>；</w:t>
      </w:r>
    </w:p>
    <w:p w14:paraId="19E66E5F">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1</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）《环境影响评价公众参与办法》，生态环境部第4号令，2019年1月1日公布实施；</w:t>
      </w:r>
    </w:p>
    <w:p w14:paraId="55E6E62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13</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《产业结构调整指导目录（20</w:t>
      </w:r>
      <w:r>
        <w:rPr>
          <w:rFonts w:hint="eastAsia" w:ascii="Times New Roman" w:hAnsi="Times New Roman" w:cs="Times New Roman"/>
          <w:color w:val="auto"/>
          <w:u w:val="none" w:color="auto"/>
          <w:lang w:val="en-US" w:eastAsia="zh-CN"/>
        </w:rPr>
        <w:t>24</w:t>
      </w:r>
      <w:r>
        <w:rPr>
          <w:rFonts w:hint="default" w:ascii="Times New Roman" w:hAnsi="Times New Roman" w:cs="Times New Roman"/>
          <w:color w:val="auto"/>
          <w:u w:val="none" w:color="auto"/>
          <w:lang w:eastAsia="zh-CN"/>
        </w:rPr>
        <w:t>年本）》；</w:t>
      </w:r>
    </w:p>
    <w:p w14:paraId="2C497837">
      <w:pPr>
        <w:pStyle w:val="20"/>
        <w:ind w:firstLine="48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（14）《环境保护综合名录（2021年版）》；</w:t>
      </w:r>
    </w:p>
    <w:p w14:paraId="3F799436">
      <w:pPr>
        <w:pStyle w:val="20"/>
        <w:bidi w:val="0"/>
        <w:rPr>
          <w:rFonts w:hint="default"/>
          <w:color w:val="auto"/>
          <w:u w:val="none" w:color="auto"/>
        </w:rPr>
      </w:pPr>
      <w:r>
        <w:rPr>
          <w:color w:val="auto"/>
          <w:u w:val="none" w:color="auto"/>
        </w:rPr>
        <w:t>（</w:t>
      </w:r>
      <w:r>
        <w:rPr>
          <w:rFonts w:hint="eastAsia"/>
          <w:color w:val="auto"/>
          <w:u w:val="none" w:color="auto"/>
          <w:lang w:val="en-US" w:eastAsia="zh-CN"/>
        </w:rPr>
        <w:t>15</w:t>
      </w:r>
      <w:r>
        <w:rPr>
          <w:color w:val="auto"/>
          <w:u w:val="none" w:color="auto"/>
        </w:rPr>
        <w:t>）</w:t>
      </w:r>
      <w:r>
        <w:rPr>
          <w:rFonts w:hint="eastAsia"/>
          <w:color w:val="auto"/>
          <w:u w:val="none" w:color="auto"/>
        </w:rPr>
        <w:t>关于印发《生态环境分区管控管理暂行规定》的通知（环环评〔2024〕41号）</w:t>
      </w:r>
      <w:r>
        <w:rPr>
          <w:color w:val="auto"/>
          <w:u w:val="none" w:color="auto"/>
        </w:rPr>
        <w:t>；</w:t>
      </w:r>
    </w:p>
    <w:p w14:paraId="38509EC4">
      <w:pPr>
        <w:pStyle w:val="20"/>
        <w:bidi w:val="0"/>
        <w:rPr>
          <w:rFonts w:hint="eastAsia"/>
          <w:color w:val="auto"/>
          <w:u w:val="none" w:color="auto"/>
          <w:lang w:eastAsia="zh-CN"/>
        </w:rPr>
      </w:pPr>
      <w:r>
        <w:rPr>
          <w:color w:val="auto"/>
          <w:u w:val="none" w:color="auto"/>
        </w:rPr>
        <w:t>（</w:t>
      </w:r>
      <w:r>
        <w:rPr>
          <w:rFonts w:hint="eastAsia"/>
          <w:color w:val="auto"/>
          <w:u w:val="none" w:color="auto"/>
          <w:lang w:val="en-US" w:eastAsia="zh-CN"/>
        </w:rPr>
        <w:t>16</w:t>
      </w:r>
      <w:r>
        <w:rPr>
          <w:color w:val="auto"/>
          <w:u w:val="none" w:color="auto"/>
        </w:rPr>
        <w:t>）</w:t>
      </w:r>
      <w:r>
        <w:rPr>
          <w:rFonts w:hint="eastAsia"/>
          <w:color w:val="auto"/>
          <w:u w:val="none" w:color="auto"/>
        </w:rPr>
        <w:t>《长江经济带发展负面清单指南（试行，2022年版）》，长江办[2022]7号，2022年1月19号实施</w:t>
      </w:r>
      <w:r>
        <w:rPr>
          <w:rFonts w:hint="eastAsia"/>
          <w:color w:val="auto"/>
          <w:u w:val="none" w:color="auto"/>
          <w:lang w:eastAsia="zh-CN"/>
        </w:rPr>
        <w:t>。</w:t>
      </w:r>
    </w:p>
    <w:p w14:paraId="5229A2B4">
      <w:pPr>
        <w:pStyle w:val="4"/>
        <w:rPr>
          <w:rFonts w:hint="default" w:ascii="Times New Roman" w:hAnsi="Times New Roman" w:cs="Times New Roman"/>
          <w:color w:val="auto"/>
          <w:u w:val="none" w:color="auto"/>
        </w:rPr>
      </w:pPr>
      <w:bookmarkStart w:id="277" w:name="_Toc10766"/>
      <w:bookmarkStart w:id="278" w:name="_Toc9686"/>
      <w:bookmarkStart w:id="279" w:name="_Toc1955"/>
      <w:r>
        <w:rPr>
          <w:rFonts w:hint="default" w:ascii="Times New Roman" w:hAnsi="Times New Roman" w:cs="Times New Roman"/>
          <w:color w:val="auto"/>
          <w:u w:val="none" w:color="auto"/>
        </w:rPr>
        <w:t>2.1.2地方法规、规划</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7"/>
      <w:bookmarkEnd w:id="278"/>
      <w:bookmarkEnd w:id="279"/>
    </w:p>
    <w:p w14:paraId="335AFBD0">
      <w:pPr>
        <w:pStyle w:val="20"/>
        <w:bidi w:val="0"/>
        <w:rPr>
          <w:rFonts w:hint="default" w:ascii="Times New Roman" w:hAnsi="Times New Roman" w:cs="Times New Roman"/>
          <w:color w:val="auto"/>
          <w:u w:val="none" w:color="auto"/>
        </w:rPr>
      </w:pPr>
      <w:bookmarkStart w:id="280" w:name="_Toc5332"/>
      <w:bookmarkStart w:id="281" w:name="_Toc844"/>
      <w:bookmarkStart w:id="282" w:name="_Toc16884"/>
      <w:bookmarkStart w:id="283" w:name="_Toc9233_WPSOffice_Level3"/>
      <w:bookmarkStart w:id="284" w:name="_Toc10733_WPSOffice_Level3"/>
      <w:bookmarkStart w:id="285" w:name="_Toc22765"/>
      <w:bookmarkStart w:id="286" w:name="_Toc10423"/>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《湖南省主要水系地表水环境功能区划》（DB43/023-2005）；</w:t>
      </w:r>
    </w:p>
    <w:p w14:paraId="32C372C9">
      <w:pPr>
        <w:pStyle w:val="20"/>
        <w:bidi w:val="0"/>
        <w:rPr>
          <w:color w:val="auto"/>
          <w:u w:val="none" w:color="auto"/>
        </w:rPr>
      </w:pPr>
      <w:r>
        <w:rPr>
          <w:color w:val="auto"/>
          <w:u w:val="none" w:color="auto"/>
        </w:rPr>
        <w:t>（</w:t>
      </w:r>
      <w:r>
        <w:rPr>
          <w:rFonts w:hint="eastAsia"/>
          <w:color w:val="auto"/>
          <w:u w:val="none" w:color="auto"/>
          <w:lang w:val="en-US" w:eastAsia="zh-CN"/>
        </w:rPr>
        <w:t>2</w:t>
      </w:r>
      <w:r>
        <w:rPr>
          <w:color w:val="auto"/>
          <w:u w:val="none" w:color="auto"/>
        </w:rPr>
        <w:t>）</w:t>
      </w:r>
      <w:r>
        <w:rPr>
          <w:rFonts w:hint="eastAsia"/>
          <w:color w:val="auto"/>
          <w:u w:val="none" w:color="auto"/>
        </w:rPr>
        <w:t>《湖南省环境保护条例》，湖南省第十四届人民代表大会常务委员会第十三次会议，2024年11月29日修订</w:t>
      </w:r>
      <w:r>
        <w:rPr>
          <w:color w:val="auto"/>
          <w:u w:val="none" w:color="auto"/>
        </w:rPr>
        <w:t>；</w:t>
      </w:r>
    </w:p>
    <w:p w14:paraId="540AB3AE">
      <w:pPr>
        <w:pStyle w:val="20"/>
        <w:bidi w:val="0"/>
        <w:rPr>
          <w:color w:val="auto"/>
          <w:u w:val="none" w:color="auto"/>
        </w:rPr>
      </w:pPr>
      <w:r>
        <w:rPr>
          <w:color w:val="auto"/>
          <w:u w:val="none" w:color="auto"/>
        </w:rPr>
        <w:t>（</w:t>
      </w:r>
      <w:r>
        <w:rPr>
          <w:rFonts w:hint="eastAsia"/>
          <w:color w:val="auto"/>
          <w:u w:val="none" w:color="auto"/>
          <w:lang w:val="en-US" w:eastAsia="zh-CN"/>
        </w:rPr>
        <w:t>3</w:t>
      </w:r>
      <w:r>
        <w:rPr>
          <w:color w:val="auto"/>
          <w:u w:val="none" w:color="auto"/>
        </w:rPr>
        <w:t>）《关于进一步规范我省固体</w:t>
      </w:r>
      <w:r>
        <w:rPr>
          <w:rFonts w:hint="default" w:ascii="Times New Roman" w:hAnsi="Times New Roman" w:cs="Times New Roman"/>
          <w:color w:val="auto"/>
          <w:u w:val="none" w:color="auto"/>
        </w:rPr>
        <w:t>（危险）</w:t>
      </w:r>
      <w:r>
        <w:rPr>
          <w:color w:val="auto"/>
          <w:u w:val="none" w:color="auto"/>
        </w:rPr>
        <w:t>废物转移管理的通知》）（湘环发[2014]22号）；</w:t>
      </w:r>
    </w:p>
    <w:p w14:paraId="64300198">
      <w:pPr>
        <w:pStyle w:val="20"/>
        <w:bidi w:val="0"/>
        <w:rPr>
          <w:color w:val="auto"/>
          <w:u w:val="none" w:color="auto"/>
        </w:rPr>
      </w:pPr>
      <w:r>
        <w:rPr>
          <w:color w:val="auto"/>
          <w:u w:val="none" w:color="auto"/>
        </w:rPr>
        <w:t>（</w:t>
      </w:r>
      <w:r>
        <w:rPr>
          <w:rFonts w:hint="eastAsia"/>
          <w:color w:val="auto"/>
          <w:u w:val="none" w:color="auto"/>
          <w:lang w:val="en-US" w:eastAsia="zh-CN"/>
        </w:rPr>
        <w:t>4</w:t>
      </w:r>
      <w:r>
        <w:rPr>
          <w:color w:val="auto"/>
          <w:u w:val="none" w:color="auto"/>
        </w:rPr>
        <w:t>）</w:t>
      </w:r>
      <w:r>
        <w:rPr>
          <w:rFonts w:hint="eastAsia"/>
          <w:color w:val="auto"/>
          <w:u w:val="none" w:color="auto"/>
          <w:lang w:eastAsia="zh-CN"/>
        </w:rPr>
        <w:t>《</w:t>
      </w:r>
      <w:r>
        <w:rPr>
          <w:color w:val="auto"/>
          <w:u w:val="none" w:color="auto"/>
        </w:rPr>
        <w:t>湖南省贯彻国务院关于印发</w:t>
      </w:r>
      <w:r>
        <w:rPr>
          <w:rFonts w:hint="eastAsia"/>
          <w:color w:val="auto"/>
          <w:u w:val="none" w:color="auto"/>
          <w:lang w:val="en-US" w:eastAsia="zh-CN"/>
        </w:rPr>
        <w:t>&lt;</w:t>
      </w:r>
      <w:r>
        <w:rPr>
          <w:color w:val="auto"/>
          <w:u w:val="none" w:color="auto"/>
        </w:rPr>
        <w:t>水污染防治行动计划</w:t>
      </w:r>
      <w:r>
        <w:rPr>
          <w:rFonts w:hint="eastAsia"/>
          <w:color w:val="auto"/>
          <w:u w:val="none" w:color="auto"/>
          <w:lang w:val="en-US" w:eastAsia="zh-CN"/>
        </w:rPr>
        <w:t>&gt;</w:t>
      </w:r>
      <w:r>
        <w:rPr>
          <w:color w:val="auto"/>
          <w:u w:val="none" w:color="auto"/>
        </w:rPr>
        <w:t>的通知》（国发〔2015〕17号）；</w:t>
      </w:r>
    </w:p>
    <w:p w14:paraId="7200F405">
      <w:pPr>
        <w:pStyle w:val="20"/>
        <w:bidi w:val="0"/>
        <w:rPr>
          <w:color w:val="auto"/>
          <w:u w:val="none" w:color="auto"/>
        </w:rPr>
      </w:pPr>
      <w:r>
        <w:rPr>
          <w:color w:val="auto"/>
          <w:u w:val="none" w:color="auto"/>
        </w:rPr>
        <w:t>（</w:t>
      </w:r>
      <w:r>
        <w:rPr>
          <w:rFonts w:hint="eastAsia"/>
          <w:color w:val="auto"/>
          <w:u w:val="none" w:color="auto"/>
          <w:lang w:val="en-US" w:eastAsia="zh-CN"/>
        </w:rPr>
        <w:t>5</w:t>
      </w:r>
      <w:r>
        <w:rPr>
          <w:color w:val="auto"/>
          <w:u w:val="none" w:color="auto"/>
        </w:rPr>
        <w:t>）</w:t>
      </w:r>
      <w:r>
        <w:rPr>
          <w:rFonts w:hint="eastAsia"/>
          <w:color w:val="auto"/>
          <w:u w:val="none" w:color="auto"/>
        </w:rPr>
        <w:t>湖南省人民政府办公厅关于印发《长株潭及传输通道城市环境空气质量达标攻坚行动计划》的通知，湘政办发〔2023〕3号</w:t>
      </w:r>
      <w:r>
        <w:rPr>
          <w:color w:val="auto"/>
          <w:u w:val="none" w:color="auto"/>
        </w:rPr>
        <w:t>；</w:t>
      </w:r>
    </w:p>
    <w:p w14:paraId="1EE234D9">
      <w:pPr>
        <w:pStyle w:val="20"/>
        <w:bidi w:val="0"/>
        <w:rPr>
          <w:color w:val="auto"/>
          <w:u w:val="none" w:color="auto"/>
        </w:rPr>
      </w:pPr>
      <w:r>
        <w:rPr>
          <w:color w:val="auto"/>
          <w:u w:val="none" w:color="auto"/>
        </w:rPr>
        <w:t>（</w:t>
      </w:r>
      <w:r>
        <w:rPr>
          <w:rFonts w:hint="eastAsia"/>
          <w:color w:val="auto"/>
          <w:u w:val="none" w:color="auto"/>
          <w:lang w:val="en-US" w:eastAsia="zh-CN"/>
        </w:rPr>
        <w:t>7</w:t>
      </w:r>
      <w:r>
        <w:rPr>
          <w:color w:val="auto"/>
          <w:u w:val="none" w:color="auto"/>
        </w:rPr>
        <w:t>）</w:t>
      </w:r>
      <w:r>
        <w:rPr>
          <w:rFonts w:hint="eastAsia"/>
          <w:color w:val="auto"/>
          <w:u w:val="none" w:color="auto"/>
          <w:lang w:val="en-US" w:eastAsia="zh-CN"/>
        </w:rPr>
        <w:t>湖南省生态环境厅关于公布湖南省生态环境分区管控更新成果（2023版）的公告，湖南省生态环境厅，2024年10月22日；</w:t>
      </w:r>
    </w:p>
    <w:p w14:paraId="2A6097AE">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8</w:t>
      </w:r>
      <w:r>
        <w:rPr>
          <w:rFonts w:hint="eastAsia"/>
          <w:color w:val="auto"/>
          <w:u w:val="none" w:color="auto"/>
          <w:lang w:eastAsia="zh-CN"/>
        </w:rPr>
        <w:t>）《湖南省“十四五”生态环境保护规划》，湘政办发[2021]61号，2021年9月30日实施；</w:t>
      </w:r>
    </w:p>
    <w:p w14:paraId="755D3D45">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9</w:t>
      </w:r>
      <w:r>
        <w:rPr>
          <w:rFonts w:hint="eastAsia"/>
          <w:color w:val="auto"/>
          <w:u w:val="none" w:color="auto"/>
          <w:lang w:eastAsia="zh-CN"/>
        </w:rPr>
        <w:t>）《湖南省“两高”项目管理</w:t>
      </w:r>
      <w:r>
        <w:rPr>
          <w:rFonts w:hint="eastAsia"/>
          <w:color w:val="auto"/>
          <w:u w:val="none" w:color="auto"/>
          <w:lang w:val="en-US" w:eastAsia="zh-CN"/>
        </w:rPr>
        <w:t>目录</w:t>
      </w:r>
      <w:r>
        <w:rPr>
          <w:rFonts w:hint="eastAsia"/>
          <w:color w:val="auto"/>
          <w:u w:val="none" w:color="auto"/>
          <w:lang w:eastAsia="zh-CN"/>
        </w:rPr>
        <w:t>》，湘发改环资[2021]</w:t>
      </w:r>
      <w:r>
        <w:rPr>
          <w:rFonts w:hint="eastAsia"/>
          <w:color w:val="auto"/>
          <w:u w:val="none" w:color="auto"/>
          <w:lang w:val="en-US" w:eastAsia="zh-CN"/>
        </w:rPr>
        <w:t>968</w:t>
      </w:r>
      <w:r>
        <w:rPr>
          <w:rFonts w:hint="eastAsia"/>
          <w:color w:val="auto"/>
          <w:u w:val="none" w:color="auto"/>
          <w:lang w:eastAsia="zh-CN"/>
        </w:rPr>
        <w:t>号，2021年</w:t>
      </w:r>
      <w:r>
        <w:rPr>
          <w:rFonts w:hint="eastAsia"/>
          <w:color w:val="auto"/>
          <w:u w:val="none" w:color="auto"/>
          <w:lang w:val="en-US" w:eastAsia="zh-CN"/>
        </w:rPr>
        <w:t>12</w:t>
      </w:r>
      <w:r>
        <w:rPr>
          <w:rFonts w:hint="eastAsia"/>
          <w:color w:val="auto"/>
          <w:u w:val="none" w:color="auto"/>
          <w:lang w:eastAsia="zh-CN"/>
        </w:rPr>
        <w:t>月</w:t>
      </w:r>
      <w:r>
        <w:rPr>
          <w:rFonts w:hint="eastAsia"/>
          <w:color w:val="auto"/>
          <w:u w:val="none" w:color="auto"/>
          <w:lang w:val="en-US" w:eastAsia="zh-CN"/>
        </w:rPr>
        <w:t>16</w:t>
      </w:r>
      <w:r>
        <w:rPr>
          <w:rFonts w:hint="eastAsia"/>
          <w:color w:val="auto"/>
          <w:u w:val="none" w:color="auto"/>
          <w:lang w:eastAsia="zh-CN"/>
        </w:rPr>
        <w:t>日印发；</w:t>
      </w:r>
    </w:p>
    <w:p w14:paraId="3981FF6F">
      <w:pPr>
        <w:pStyle w:val="20"/>
        <w:bidi w:val="0"/>
        <w:rPr>
          <w:rFonts w:hint="eastAsia"/>
          <w:color w:val="auto"/>
          <w:u w:val="none" w:color="auto"/>
          <w:lang w:eastAsia="zh-CN"/>
        </w:rPr>
      </w:pPr>
      <w:r>
        <w:rPr>
          <w:rFonts w:hint="eastAsia"/>
          <w:color w:val="auto"/>
          <w:u w:val="none" w:color="auto"/>
        </w:rPr>
        <w:t>（</w:t>
      </w:r>
      <w:r>
        <w:rPr>
          <w:rFonts w:hint="eastAsia"/>
          <w:color w:val="auto"/>
          <w:u w:val="none" w:color="auto"/>
          <w:lang w:val="en-US" w:eastAsia="zh-CN"/>
        </w:rPr>
        <w:t>10</w:t>
      </w:r>
      <w:r>
        <w:rPr>
          <w:rFonts w:hint="eastAsia"/>
          <w:color w:val="auto"/>
          <w:u w:val="none" w:color="auto"/>
        </w:rPr>
        <w:t>）《湖南省长江经济带发展负面清单实施细则（试行</w:t>
      </w:r>
      <w:r>
        <w:rPr>
          <w:rFonts w:hint="eastAsia"/>
          <w:color w:val="auto"/>
          <w:u w:val="none" w:color="auto"/>
          <w:lang w:eastAsia="zh-CN"/>
        </w:rPr>
        <w:t>，</w:t>
      </w:r>
      <w:r>
        <w:rPr>
          <w:rFonts w:hint="eastAsia"/>
          <w:color w:val="auto"/>
          <w:u w:val="none" w:color="auto"/>
          <w:lang w:val="en-US" w:eastAsia="zh-CN"/>
        </w:rPr>
        <w:t>2022版</w:t>
      </w:r>
      <w:r>
        <w:rPr>
          <w:rFonts w:hint="eastAsia"/>
          <w:color w:val="auto"/>
          <w:u w:val="none" w:color="auto"/>
        </w:rPr>
        <w:t>）》</w:t>
      </w:r>
      <w:r>
        <w:rPr>
          <w:rFonts w:hint="eastAsia"/>
          <w:color w:val="auto"/>
          <w:u w:val="none" w:color="auto"/>
          <w:lang w:eastAsia="zh-CN"/>
        </w:rPr>
        <w:t>；</w:t>
      </w:r>
    </w:p>
    <w:p w14:paraId="10C276D0">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11</w:t>
      </w:r>
      <w:r>
        <w:rPr>
          <w:rFonts w:hint="eastAsia"/>
          <w:color w:val="auto"/>
          <w:u w:val="none" w:color="auto"/>
          <w:lang w:eastAsia="zh-CN"/>
        </w:rPr>
        <w:t>）《湖南省县级以上地表水集中式饮用水水源保护区划定方案的通知》，湘政函［2016］176号，2016年12月30日；</w:t>
      </w:r>
    </w:p>
    <w:p w14:paraId="6379F256">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12</w:t>
      </w:r>
      <w:r>
        <w:rPr>
          <w:rFonts w:hint="eastAsia"/>
          <w:color w:val="auto"/>
          <w:u w:val="none" w:color="auto"/>
          <w:lang w:eastAsia="zh-CN"/>
        </w:rPr>
        <w:t>）《湖南省人民政府办公厅关于印发</w:t>
      </w:r>
      <w:r>
        <w:rPr>
          <w:rFonts w:hint="eastAsia"/>
          <w:color w:val="auto"/>
          <w:u w:val="none" w:color="auto"/>
          <w:lang w:val="en-US" w:eastAsia="zh-CN"/>
        </w:rPr>
        <w:t>&lt;</w:t>
      </w:r>
      <w:r>
        <w:rPr>
          <w:rFonts w:hint="eastAsia"/>
          <w:color w:val="auto"/>
          <w:u w:val="none" w:color="auto"/>
          <w:lang w:eastAsia="zh-CN"/>
        </w:rPr>
        <w:t>湖南省空气质量持续改善行动计划实施方案</w:t>
      </w:r>
      <w:r>
        <w:rPr>
          <w:rFonts w:hint="eastAsia"/>
          <w:color w:val="auto"/>
          <w:u w:val="none" w:color="auto"/>
          <w:lang w:val="en-US" w:eastAsia="zh-CN"/>
        </w:rPr>
        <w:t>&gt;</w:t>
      </w:r>
      <w:r>
        <w:rPr>
          <w:rFonts w:hint="eastAsia"/>
          <w:color w:val="auto"/>
          <w:u w:val="none" w:color="auto"/>
          <w:lang w:eastAsia="zh-CN"/>
        </w:rPr>
        <w:t>的通知》，湘政办发〔2024〕33号；</w:t>
      </w:r>
    </w:p>
    <w:p w14:paraId="6AC52633">
      <w:pPr>
        <w:pStyle w:val="20"/>
        <w:bidi w:val="0"/>
        <w:rPr>
          <w:rFonts w:hint="eastAsia"/>
          <w:color w:val="auto"/>
          <w:u w:val="none" w:color="auto"/>
          <w:lang w:eastAsia="zh-CN"/>
        </w:rPr>
      </w:pPr>
      <w:r>
        <w:rPr>
          <w:rFonts w:hint="eastAsia"/>
          <w:color w:val="auto"/>
          <w:u w:val="none" w:color="auto"/>
          <w:lang w:eastAsia="zh-CN"/>
        </w:rPr>
        <w:t>（1</w:t>
      </w:r>
      <w:r>
        <w:rPr>
          <w:rFonts w:hint="eastAsia"/>
          <w:color w:val="auto"/>
          <w:u w:val="none" w:color="auto"/>
          <w:lang w:val="en-US" w:eastAsia="zh-CN"/>
        </w:rPr>
        <w:t>3</w:t>
      </w:r>
      <w:r>
        <w:rPr>
          <w:rFonts w:hint="eastAsia"/>
          <w:color w:val="auto"/>
          <w:u w:val="none" w:color="auto"/>
          <w:lang w:eastAsia="zh-CN"/>
        </w:rPr>
        <w:t>）湖南省大气污染防治“守护蓝天”攻坚行动计划（2023-2025 年）（湘政办发〔2023〕34号）；</w:t>
      </w:r>
    </w:p>
    <w:p w14:paraId="6F62F229">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14</w:t>
      </w:r>
      <w:r>
        <w:rPr>
          <w:rFonts w:hint="eastAsia"/>
          <w:color w:val="auto"/>
          <w:u w:val="none" w:color="auto"/>
          <w:lang w:eastAsia="zh-CN"/>
        </w:rPr>
        <w:t>）《岳阳市人民政府办公室关于印发</w:t>
      </w:r>
      <w:r>
        <w:rPr>
          <w:rFonts w:hint="eastAsia"/>
          <w:color w:val="auto"/>
          <w:u w:val="none" w:color="auto"/>
          <w:lang w:val="en-US" w:eastAsia="zh-CN"/>
        </w:rPr>
        <w:t>&lt;</w:t>
      </w:r>
      <w:r>
        <w:rPr>
          <w:rFonts w:hint="eastAsia"/>
          <w:color w:val="auto"/>
          <w:u w:val="none" w:color="auto"/>
          <w:lang w:eastAsia="zh-CN"/>
        </w:rPr>
        <w:t>岳阳市水环境功能区管理规定</w:t>
      </w:r>
      <w:r>
        <w:rPr>
          <w:rFonts w:hint="eastAsia"/>
          <w:color w:val="auto"/>
          <w:u w:val="none" w:color="auto"/>
          <w:lang w:val="en-US" w:eastAsia="zh-CN"/>
        </w:rPr>
        <w:t>&gt;</w:t>
      </w:r>
      <w:r>
        <w:rPr>
          <w:rFonts w:hint="eastAsia"/>
          <w:color w:val="auto"/>
          <w:u w:val="none" w:color="auto"/>
          <w:lang w:eastAsia="zh-CN"/>
        </w:rPr>
        <w:t>和</w:t>
      </w:r>
      <w:r>
        <w:rPr>
          <w:rFonts w:hint="eastAsia"/>
          <w:color w:val="auto"/>
          <w:u w:val="none" w:color="auto"/>
          <w:lang w:val="en-US" w:eastAsia="zh-CN"/>
        </w:rPr>
        <w:t>&lt;</w:t>
      </w:r>
      <w:r>
        <w:rPr>
          <w:rFonts w:hint="eastAsia"/>
          <w:color w:val="auto"/>
          <w:u w:val="none" w:color="auto"/>
          <w:lang w:eastAsia="zh-CN"/>
        </w:rPr>
        <w:t>岳阳市水环境功能区划分</w:t>
      </w:r>
      <w:r>
        <w:rPr>
          <w:rFonts w:hint="eastAsia"/>
          <w:color w:val="auto"/>
          <w:u w:val="none" w:color="auto"/>
          <w:lang w:val="en-US" w:eastAsia="zh-CN"/>
        </w:rPr>
        <w:t>&gt;</w:t>
      </w:r>
      <w:r>
        <w:rPr>
          <w:rFonts w:hint="eastAsia"/>
          <w:color w:val="auto"/>
          <w:u w:val="none" w:color="auto"/>
          <w:lang w:eastAsia="zh-CN"/>
        </w:rPr>
        <w:t>的通知》（岳政办发[2010]30号）；</w:t>
      </w:r>
    </w:p>
    <w:p w14:paraId="56EFE7C6">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15</w:t>
      </w:r>
      <w:r>
        <w:rPr>
          <w:rFonts w:hint="eastAsia"/>
          <w:color w:val="auto"/>
          <w:u w:val="none" w:color="auto"/>
          <w:lang w:eastAsia="zh-CN"/>
        </w:rPr>
        <w:t>）《湖南省生态环境厅关于印发</w:t>
      </w:r>
      <w:r>
        <w:rPr>
          <w:rFonts w:hint="eastAsia"/>
          <w:color w:val="auto"/>
          <w:u w:val="none" w:color="auto"/>
          <w:lang w:val="en-US" w:eastAsia="zh-CN"/>
        </w:rPr>
        <w:t>&lt;</w:t>
      </w:r>
      <w:r>
        <w:rPr>
          <w:rFonts w:hint="eastAsia"/>
          <w:color w:val="auto"/>
          <w:u w:val="none" w:color="auto"/>
          <w:lang w:eastAsia="zh-CN"/>
        </w:rPr>
        <w:t>湖南省主要污染物排污权有偿使用和交易实施细则</w:t>
      </w:r>
      <w:r>
        <w:rPr>
          <w:rFonts w:hint="eastAsia"/>
          <w:color w:val="auto"/>
          <w:u w:val="none" w:color="auto"/>
          <w:lang w:val="en-US" w:eastAsia="zh-CN"/>
        </w:rPr>
        <w:t>&gt;</w:t>
      </w:r>
      <w:r>
        <w:rPr>
          <w:rFonts w:hint="eastAsia"/>
          <w:color w:val="auto"/>
          <w:u w:val="none" w:color="auto"/>
          <w:lang w:eastAsia="zh-CN"/>
        </w:rPr>
        <w:t>的通知》（湘环发〔2024〕3号）；</w:t>
      </w:r>
    </w:p>
    <w:p w14:paraId="3D1A1550">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16</w:t>
      </w:r>
      <w:r>
        <w:rPr>
          <w:rFonts w:hint="eastAsia"/>
          <w:color w:val="auto"/>
          <w:u w:val="none" w:color="auto"/>
          <w:lang w:eastAsia="zh-CN"/>
        </w:rPr>
        <w:t>）《岳阳市生态环境“十四五”规划（2021-2025）》；</w:t>
      </w:r>
    </w:p>
    <w:p w14:paraId="0A026F59">
      <w:pPr>
        <w:pStyle w:val="20"/>
        <w:bidi w:val="0"/>
        <w:rPr>
          <w:rFonts w:hint="eastAsia"/>
          <w:color w:val="auto"/>
          <w:u w:val="none" w:color="auto"/>
          <w:lang w:val="en-US" w:eastAsia="zh-CN"/>
        </w:rPr>
      </w:pPr>
      <w:r>
        <w:rPr>
          <w:rFonts w:hint="eastAsia"/>
          <w:color w:val="auto"/>
          <w:u w:val="none" w:color="auto"/>
          <w:lang w:eastAsia="zh-CN"/>
        </w:rPr>
        <w:t>（</w:t>
      </w:r>
      <w:r>
        <w:rPr>
          <w:rFonts w:hint="eastAsia"/>
          <w:color w:val="auto"/>
          <w:u w:val="none" w:color="auto"/>
          <w:lang w:val="en-US" w:eastAsia="zh-CN"/>
        </w:rPr>
        <w:t>17</w:t>
      </w:r>
      <w:r>
        <w:rPr>
          <w:rFonts w:hint="eastAsia"/>
          <w:color w:val="auto"/>
          <w:u w:val="none" w:color="auto"/>
          <w:lang w:eastAsia="zh-CN"/>
        </w:rPr>
        <w:t>）《岳阳市生态环境局关于发布岳阳市生态环境分区管控动态更新成果（2023 年版）的通知》，（岳环发〔2024〕14号）</w:t>
      </w:r>
      <w:r>
        <w:rPr>
          <w:rFonts w:hint="eastAsia"/>
          <w:color w:val="auto"/>
          <w:u w:val="none" w:color="auto"/>
          <w:lang w:val="en-US" w:eastAsia="zh-CN"/>
        </w:rPr>
        <w:t>；</w:t>
      </w:r>
    </w:p>
    <w:p w14:paraId="7BB44AF1">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18</w:t>
      </w:r>
      <w:r>
        <w:rPr>
          <w:rFonts w:hint="eastAsia"/>
          <w:color w:val="auto"/>
          <w:u w:val="none" w:color="auto"/>
          <w:lang w:eastAsia="zh-CN"/>
        </w:rPr>
        <w:t>）《湖南省生态环境厅关于执行污染物特别排放限值（第一批）的公告》，2018年10月29日；</w:t>
      </w:r>
    </w:p>
    <w:p w14:paraId="767D218A">
      <w:pPr>
        <w:pStyle w:val="20"/>
        <w:bidi w:val="0"/>
        <w:rPr>
          <w:rFonts w:hint="eastAsia"/>
          <w:color w:val="auto"/>
          <w:u w:val="none" w:color="auto"/>
          <w:lang w:eastAsia="zh-CN"/>
        </w:rPr>
      </w:pPr>
      <w:r>
        <w:rPr>
          <w:rFonts w:hint="eastAsia"/>
          <w:color w:val="auto"/>
          <w:u w:val="none" w:color="auto"/>
          <w:lang w:eastAsia="zh-CN"/>
        </w:rPr>
        <w:t>（</w:t>
      </w:r>
      <w:r>
        <w:rPr>
          <w:rFonts w:hint="eastAsia"/>
          <w:color w:val="auto"/>
          <w:u w:val="none" w:color="auto"/>
          <w:lang w:val="en-US" w:eastAsia="zh-CN"/>
        </w:rPr>
        <w:t>19</w:t>
      </w:r>
      <w:r>
        <w:rPr>
          <w:rFonts w:hint="eastAsia"/>
          <w:color w:val="auto"/>
          <w:u w:val="none" w:color="auto"/>
          <w:lang w:eastAsia="zh-CN"/>
        </w:rPr>
        <w:t>）《湖南省生态环境厅关于执行污染物特别排放限值（第二批）的公告》，</w:t>
      </w:r>
      <w:r>
        <w:rPr>
          <w:rFonts w:hint="eastAsia"/>
          <w:color w:val="auto"/>
          <w:u w:val="none" w:color="auto"/>
          <w:lang w:val="en-US" w:eastAsia="zh-CN"/>
        </w:rPr>
        <w:t>2022年12月30日</w:t>
      </w:r>
      <w:r>
        <w:rPr>
          <w:rFonts w:hint="eastAsia"/>
          <w:color w:val="auto"/>
          <w:u w:val="none" w:color="auto"/>
          <w:lang w:eastAsia="zh-CN"/>
        </w:rPr>
        <w:t>。</w:t>
      </w:r>
    </w:p>
    <w:p w14:paraId="743E9D72">
      <w:pPr>
        <w:pStyle w:val="4"/>
        <w:rPr>
          <w:rFonts w:hint="default" w:ascii="Times New Roman" w:hAnsi="Times New Roman" w:cs="Times New Roman"/>
          <w:color w:val="auto"/>
          <w:u w:val="none" w:color="auto"/>
        </w:rPr>
      </w:pPr>
      <w:bookmarkStart w:id="287" w:name="_Toc21432"/>
      <w:bookmarkStart w:id="288" w:name="_Toc18801"/>
      <w:bookmarkStart w:id="289" w:name="_Toc4881"/>
      <w:bookmarkStart w:id="290" w:name="_Toc22694"/>
      <w:bookmarkStart w:id="291" w:name="_Toc4931"/>
      <w:bookmarkStart w:id="292" w:name="_Toc11651"/>
      <w:bookmarkStart w:id="293" w:name="_Toc22535"/>
      <w:bookmarkStart w:id="294" w:name="_Toc12459"/>
      <w:bookmarkStart w:id="295" w:name="_Toc5829"/>
      <w:bookmarkStart w:id="296" w:name="_Toc14581"/>
      <w:bookmarkStart w:id="297" w:name="_Toc29733"/>
      <w:bookmarkStart w:id="298" w:name="_Toc20542"/>
      <w:r>
        <w:rPr>
          <w:rFonts w:hint="default" w:ascii="Times New Roman" w:hAnsi="Times New Roman" w:cs="Times New Roman"/>
          <w:color w:val="auto"/>
          <w:u w:val="none" w:color="auto"/>
        </w:rPr>
        <w:t>2.1.3相关的技术规范</w:t>
      </w:r>
      <w:bookmarkEnd w:id="270"/>
      <w:bookmarkEnd w:id="271"/>
      <w:bookmarkEnd w:id="272"/>
      <w:bookmarkEnd w:id="273"/>
      <w:bookmarkEnd w:id="274"/>
      <w:bookmarkEnd w:id="275"/>
      <w:bookmarkEnd w:id="276"/>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3F3F80EA">
      <w:pPr>
        <w:pStyle w:val="20"/>
        <w:bidi w:val="0"/>
        <w:rPr>
          <w:rFonts w:hint="default"/>
          <w:color w:val="auto"/>
          <w:u w:val="none" w:color="auto"/>
        </w:rPr>
      </w:pPr>
      <w:bookmarkStart w:id="299" w:name="_Toc9205"/>
      <w:bookmarkStart w:id="300" w:name="_Toc19051"/>
      <w:bookmarkStart w:id="301" w:name="_Toc4068"/>
      <w:bookmarkStart w:id="302" w:name="_Toc27271"/>
      <w:bookmarkStart w:id="303" w:name="_Toc20007"/>
      <w:bookmarkStart w:id="304" w:name="_Toc25500_WPSOffice_Level3"/>
      <w:bookmarkStart w:id="305" w:name="_Toc5782"/>
      <w:bookmarkStart w:id="306" w:name="_Toc29182"/>
      <w:bookmarkStart w:id="307" w:name="_Toc26220"/>
      <w:bookmarkStart w:id="308" w:name="_Toc5985"/>
      <w:bookmarkStart w:id="309" w:name="_Toc12764"/>
      <w:bookmarkStart w:id="310" w:name="_Toc7952_WPSOffice_Level3"/>
      <w:bookmarkStart w:id="311" w:name="_Toc16193"/>
      <w:bookmarkStart w:id="312" w:name="_Toc8607"/>
      <w:bookmarkStart w:id="313" w:name="_Toc17716"/>
      <w:bookmarkStart w:id="314" w:name="_Toc28473"/>
      <w:r>
        <w:rPr>
          <w:rFonts w:hint="default"/>
          <w:color w:val="auto"/>
          <w:u w:val="none" w:color="auto"/>
        </w:rPr>
        <w:t>（1）《建设项目环境影响评价技术导则 总纲》(HJ</w:t>
      </w:r>
      <w:r>
        <w:rPr>
          <w:rFonts w:hint="default"/>
          <w:color w:val="auto"/>
          <w:u w:val="none" w:color="auto"/>
          <w:lang w:val="en-US" w:eastAsia="zh-CN"/>
        </w:rPr>
        <w:t>2.1</w:t>
      </w:r>
      <w:r>
        <w:rPr>
          <w:rFonts w:hint="default"/>
          <w:color w:val="auto"/>
          <w:u w:val="none" w:color="auto"/>
        </w:rPr>
        <w:t>-2016)；</w:t>
      </w:r>
    </w:p>
    <w:p w14:paraId="6A7CA5B0">
      <w:pPr>
        <w:pStyle w:val="20"/>
        <w:bidi w:val="0"/>
        <w:rPr>
          <w:rFonts w:hint="default"/>
          <w:color w:val="auto"/>
          <w:u w:val="none" w:color="auto"/>
        </w:rPr>
      </w:pPr>
      <w:r>
        <w:rPr>
          <w:rFonts w:hint="default"/>
          <w:color w:val="auto"/>
          <w:u w:val="none" w:color="auto"/>
        </w:rPr>
        <w:t>（2）《环境影响评价技术导则 大气环境》(HJ2.2-2018)；</w:t>
      </w:r>
    </w:p>
    <w:p w14:paraId="745844AD">
      <w:pPr>
        <w:pStyle w:val="20"/>
        <w:bidi w:val="0"/>
        <w:rPr>
          <w:rFonts w:hint="default"/>
          <w:color w:val="auto"/>
          <w:u w:val="none" w:color="auto"/>
        </w:rPr>
      </w:pPr>
      <w:r>
        <w:rPr>
          <w:rFonts w:hint="default"/>
          <w:color w:val="auto"/>
          <w:u w:val="none" w:color="auto"/>
        </w:rPr>
        <w:t>（3）《环境影响评价技术导则 地表水</w:t>
      </w:r>
      <w:r>
        <w:rPr>
          <w:rFonts w:hint="default"/>
          <w:color w:val="auto"/>
          <w:u w:val="none" w:color="auto"/>
          <w:lang w:eastAsia="zh-CN"/>
        </w:rPr>
        <w:t>环境</w:t>
      </w:r>
      <w:r>
        <w:rPr>
          <w:rFonts w:hint="default"/>
          <w:color w:val="auto"/>
          <w:u w:val="none" w:color="auto"/>
        </w:rPr>
        <w:t>》(HJ2.3-2018)；</w:t>
      </w:r>
    </w:p>
    <w:p w14:paraId="41C0B57A">
      <w:pPr>
        <w:pStyle w:val="20"/>
        <w:bidi w:val="0"/>
        <w:rPr>
          <w:rFonts w:hint="default"/>
          <w:color w:val="auto"/>
          <w:u w:val="none" w:color="auto"/>
        </w:rPr>
      </w:pPr>
      <w:r>
        <w:rPr>
          <w:rFonts w:hint="default"/>
          <w:color w:val="auto"/>
          <w:u w:val="none" w:color="auto"/>
        </w:rPr>
        <w:t>（4）《环境影响评价技术导则 声环境》(HJ2.4-20</w:t>
      </w:r>
      <w:r>
        <w:rPr>
          <w:rFonts w:hint="eastAsia"/>
          <w:color w:val="auto"/>
          <w:u w:val="none" w:color="auto"/>
          <w:lang w:val="en-US" w:eastAsia="zh-CN"/>
        </w:rPr>
        <w:t>21</w:t>
      </w:r>
      <w:r>
        <w:rPr>
          <w:rFonts w:hint="default"/>
          <w:color w:val="auto"/>
          <w:u w:val="none" w:color="auto"/>
        </w:rPr>
        <w:t>)；</w:t>
      </w:r>
    </w:p>
    <w:p w14:paraId="4D5EBFEA">
      <w:pPr>
        <w:pStyle w:val="20"/>
        <w:bidi w:val="0"/>
        <w:rPr>
          <w:rFonts w:hint="default"/>
          <w:color w:val="auto"/>
          <w:u w:val="none" w:color="auto"/>
        </w:rPr>
      </w:pPr>
      <w:r>
        <w:rPr>
          <w:rFonts w:hint="default"/>
          <w:color w:val="auto"/>
          <w:u w:val="none" w:color="auto"/>
        </w:rPr>
        <w:t>（5）《环境影响评价技术导则 地下水环境》（HJ610-2016）</w:t>
      </w:r>
    </w:p>
    <w:p w14:paraId="2D46A4DB">
      <w:pPr>
        <w:pStyle w:val="20"/>
        <w:bidi w:val="0"/>
        <w:rPr>
          <w:rFonts w:hint="default"/>
          <w:color w:val="auto"/>
          <w:u w:val="none" w:color="auto"/>
        </w:rPr>
      </w:pPr>
      <w:r>
        <w:rPr>
          <w:rFonts w:hint="default"/>
          <w:color w:val="auto"/>
          <w:u w:val="none" w:color="auto"/>
          <w:lang w:eastAsia="zh-CN"/>
        </w:rPr>
        <w:t>（</w:t>
      </w:r>
      <w:r>
        <w:rPr>
          <w:rFonts w:hint="default"/>
          <w:color w:val="auto"/>
          <w:u w:val="none" w:color="auto"/>
          <w:lang w:val="en-US" w:eastAsia="zh-CN"/>
        </w:rPr>
        <w:t>6</w:t>
      </w:r>
      <w:r>
        <w:rPr>
          <w:rFonts w:hint="default"/>
          <w:color w:val="auto"/>
          <w:u w:val="none" w:color="auto"/>
          <w:lang w:eastAsia="zh-CN"/>
        </w:rPr>
        <w:t>）</w:t>
      </w:r>
      <w:r>
        <w:rPr>
          <w:rFonts w:hint="default"/>
          <w:color w:val="auto"/>
          <w:u w:val="none" w:color="auto"/>
        </w:rPr>
        <w:t>《环境影响评价技术导则 土壤环境（试行）》（HJ964-2018）</w:t>
      </w:r>
    </w:p>
    <w:p w14:paraId="63FD8437">
      <w:pPr>
        <w:pStyle w:val="20"/>
        <w:bidi w:val="0"/>
        <w:rPr>
          <w:rFonts w:hint="default"/>
          <w:color w:val="auto"/>
          <w:u w:val="none" w:color="auto"/>
        </w:rPr>
      </w:pPr>
      <w:r>
        <w:rPr>
          <w:rFonts w:hint="default"/>
          <w:color w:val="auto"/>
          <w:u w:val="none" w:color="auto"/>
        </w:rPr>
        <w:t>（</w:t>
      </w:r>
      <w:r>
        <w:rPr>
          <w:rFonts w:hint="default"/>
          <w:color w:val="auto"/>
          <w:u w:val="none" w:color="auto"/>
          <w:lang w:val="en-US" w:eastAsia="zh-CN"/>
        </w:rPr>
        <w:t>7</w:t>
      </w:r>
      <w:r>
        <w:rPr>
          <w:rFonts w:hint="default"/>
          <w:color w:val="auto"/>
          <w:u w:val="none" w:color="auto"/>
        </w:rPr>
        <w:t>）《建设项目环境风险评价技术导则》(HJ169-2018)；</w:t>
      </w:r>
    </w:p>
    <w:p w14:paraId="40C11033">
      <w:pPr>
        <w:pStyle w:val="20"/>
        <w:bidi w:val="0"/>
        <w:rPr>
          <w:rFonts w:hint="default"/>
          <w:color w:val="auto"/>
          <w:u w:val="none" w:color="auto"/>
        </w:rPr>
      </w:pPr>
      <w:r>
        <w:rPr>
          <w:rFonts w:hint="default"/>
          <w:color w:val="auto"/>
          <w:u w:val="none" w:color="auto"/>
        </w:rPr>
        <w:t>（</w:t>
      </w:r>
      <w:r>
        <w:rPr>
          <w:rFonts w:hint="default"/>
          <w:color w:val="auto"/>
          <w:u w:val="none" w:color="auto"/>
          <w:lang w:val="en-US" w:eastAsia="zh-CN"/>
        </w:rPr>
        <w:t>8</w:t>
      </w:r>
      <w:r>
        <w:rPr>
          <w:rFonts w:hint="default"/>
          <w:color w:val="auto"/>
          <w:u w:val="none" w:color="auto"/>
        </w:rPr>
        <w:t>）《环境影响评价技术导则 生态影响》(HJ19-2</w:t>
      </w:r>
      <w:r>
        <w:rPr>
          <w:rFonts w:hint="eastAsia"/>
          <w:color w:val="auto"/>
          <w:u w:val="none" w:color="auto"/>
          <w:lang w:val="en-US" w:eastAsia="zh-CN"/>
        </w:rPr>
        <w:t>022</w:t>
      </w:r>
      <w:r>
        <w:rPr>
          <w:rFonts w:hint="default"/>
          <w:color w:val="auto"/>
          <w:u w:val="none" w:color="auto"/>
        </w:rPr>
        <w:t>)；</w:t>
      </w:r>
    </w:p>
    <w:p w14:paraId="3CCB8873">
      <w:pPr>
        <w:pStyle w:val="20"/>
        <w:bidi w:val="0"/>
        <w:rPr>
          <w:rFonts w:hint="default"/>
          <w:color w:val="auto"/>
          <w:u w:val="none" w:color="auto"/>
          <w:lang w:eastAsia="zh-CN"/>
        </w:rPr>
      </w:pPr>
      <w:r>
        <w:rPr>
          <w:rFonts w:hint="default"/>
          <w:color w:val="auto"/>
          <w:u w:val="none" w:color="auto"/>
        </w:rPr>
        <w:t>（</w:t>
      </w:r>
      <w:r>
        <w:rPr>
          <w:rFonts w:hint="default"/>
          <w:color w:val="auto"/>
          <w:u w:val="none" w:color="auto"/>
          <w:lang w:val="en-US" w:eastAsia="zh-CN"/>
        </w:rPr>
        <w:t>9</w:t>
      </w:r>
      <w:r>
        <w:rPr>
          <w:rFonts w:hint="default"/>
          <w:color w:val="auto"/>
          <w:u w:val="none" w:color="auto"/>
        </w:rPr>
        <w:t>）《危险化学品重大危险源辨识》（GB18218-2018）；</w:t>
      </w:r>
    </w:p>
    <w:p w14:paraId="36411546">
      <w:pPr>
        <w:pStyle w:val="20"/>
        <w:bidi w:val="0"/>
        <w:rPr>
          <w:rFonts w:hint="default"/>
          <w:color w:val="auto"/>
          <w:u w:val="none" w:color="auto"/>
          <w:lang w:eastAsia="zh-CN"/>
        </w:rPr>
      </w:pPr>
      <w:r>
        <w:rPr>
          <w:rFonts w:hint="eastAsia"/>
          <w:color w:val="auto"/>
          <w:u w:val="none" w:color="auto"/>
          <w:lang w:eastAsia="zh-CN"/>
        </w:rPr>
        <w:t>（</w:t>
      </w:r>
      <w:r>
        <w:rPr>
          <w:rFonts w:hint="eastAsia"/>
          <w:color w:val="auto"/>
          <w:u w:val="none" w:color="auto"/>
          <w:lang w:val="en-US" w:eastAsia="zh-CN"/>
        </w:rPr>
        <w:t>10</w:t>
      </w:r>
      <w:r>
        <w:rPr>
          <w:rFonts w:hint="eastAsia"/>
          <w:color w:val="auto"/>
          <w:u w:val="none" w:color="auto"/>
          <w:lang w:eastAsia="zh-CN"/>
        </w:rPr>
        <w:t>）</w:t>
      </w:r>
      <w:r>
        <w:rPr>
          <w:rFonts w:hint="default"/>
          <w:color w:val="auto"/>
          <w:u w:val="none" w:color="auto"/>
        </w:rPr>
        <w:t>《国家危险废物名录》</w:t>
      </w:r>
      <w:r>
        <w:rPr>
          <w:rFonts w:hint="eastAsia"/>
          <w:color w:val="auto"/>
          <w:u w:val="none" w:color="auto"/>
          <w:lang w:val="en-US" w:eastAsia="zh-CN"/>
        </w:rPr>
        <w:t>2025版</w:t>
      </w:r>
      <w:r>
        <w:rPr>
          <w:rFonts w:hint="default"/>
          <w:color w:val="auto"/>
          <w:u w:val="none" w:color="auto"/>
        </w:rPr>
        <w:t>；</w:t>
      </w:r>
    </w:p>
    <w:p w14:paraId="6881E173">
      <w:pPr>
        <w:pStyle w:val="20"/>
        <w:bidi w:val="0"/>
        <w:rPr>
          <w:rFonts w:hint="eastAsia"/>
          <w:color w:val="auto"/>
          <w:u w:val="none" w:color="auto"/>
          <w:lang w:eastAsia="zh-CN"/>
        </w:rPr>
      </w:pPr>
      <w:r>
        <w:rPr>
          <w:rFonts w:hint="default"/>
          <w:color w:val="auto"/>
          <w:u w:val="none" w:color="auto"/>
          <w:lang w:eastAsia="zh-CN"/>
        </w:rPr>
        <w:t>（</w:t>
      </w:r>
      <w:r>
        <w:rPr>
          <w:rFonts w:hint="default"/>
          <w:color w:val="auto"/>
          <w:u w:val="none" w:color="auto"/>
          <w:lang w:val="en-US" w:eastAsia="zh-CN"/>
        </w:rPr>
        <w:t>1</w:t>
      </w:r>
      <w:r>
        <w:rPr>
          <w:rFonts w:hint="eastAsia"/>
          <w:color w:val="auto"/>
          <w:u w:val="none" w:color="auto"/>
          <w:lang w:val="en-US" w:eastAsia="zh-CN"/>
        </w:rPr>
        <w:t>1</w:t>
      </w:r>
      <w:r>
        <w:rPr>
          <w:rFonts w:hint="default"/>
          <w:color w:val="auto"/>
          <w:u w:val="none" w:color="auto"/>
          <w:lang w:eastAsia="zh-CN"/>
        </w:rPr>
        <w:t>）《排污许可证申请与核发技术规范 橡胶与塑料制品工业》（HJ1</w:t>
      </w:r>
      <w:r>
        <w:rPr>
          <w:rFonts w:hint="default"/>
          <w:color w:val="auto"/>
          <w:u w:val="none" w:color="auto"/>
          <w:lang w:val="en-US" w:eastAsia="zh-CN"/>
        </w:rPr>
        <w:t>122</w:t>
      </w:r>
      <w:r>
        <w:rPr>
          <w:rFonts w:hint="default"/>
          <w:color w:val="auto"/>
          <w:u w:val="none" w:color="auto"/>
          <w:lang w:eastAsia="zh-CN"/>
        </w:rPr>
        <w:t>-20</w:t>
      </w:r>
      <w:r>
        <w:rPr>
          <w:rFonts w:hint="default"/>
          <w:color w:val="auto"/>
          <w:u w:val="none" w:color="auto"/>
          <w:lang w:val="en-US" w:eastAsia="zh-CN"/>
        </w:rPr>
        <w:t>20</w:t>
      </w:r>
      <w:r>
        <w:rPr>
          <w:rFonts w:hint="default"/>
          <w:color w:val="auto"/>
          <w:u w:val="none" w:color="auto"/>
          <w:lang w:eastAsia="zh-CN"/>
        </w:rPr>
        <w:t>）</w:t>
      </w:r>
      <w:r>
        <w:rPr>
          <w:rFonts w:hint="eastAsia"/>
          <w:color w:val="auto"/>
          <w:u w:val="none" w:color="auto"/>
          <w:lang w:eastAsia="zh-CN"/>
        </w:rPr>
        <w:t>；</w:t>
      </w:r>
    </w:p>
    <w:p w14:paraId="3305D406">
      <w:pPr>
        <w:pStyle w:val="20"/>
        <w:bidi w:val="0"/>
        <w:rPr>
          <w:rFonts w:hint="default"/>
          <w:color w:val="auto"/>
          <w:u w:val="none" w:color="auto"/>
        </w:rPr>
      </w:pPr>
      <w:r>
        <w:rPr>
          <w:rFonts w:hint="default"/>
          <w:color w:val="auto"/>
          <w:u w:val="none" w:color="auto"/>
        </w:rPr>
        <w:t>（</w:t>
      </w:r>
      <w:r>
        <w:rPr>
          <w:rFonts w:hint="default"/>
          <w:color w:val="auto"/>
          <w:u w:val="none" w:color="auto"/>
          <w:lang w:val="en-US" w:eastAsia="zh-CN"/>
        </w:rPr>
        <w:t>1</w:t>
      </w:r>
      <w:r>
        <w:rPr>
          <w:rFonts w:hint="eastAsia"/>
          <w:color w:val="auto"/>
          <w:u w:val="none" w:color="auto"/>
          <w:lang w:val="en-US" w:eastAsia="zh-CN"/>
        </w:rPr>
        <w:t>2</w:t>
      </w:r>
      <w:r>
        <w:rPr>
          <w:rFonts w:hint="default"/>
          <w:color w:val="auto"/>
          <w:u w:val="none" w:color="auto"/>
        </w:rPr>
        <w:t>）</w:t>
      </w:r>
      <w:r>
        <w:rPr>
          <w:rFonts w:hint="eastAsia"/>
          <w:color w:val="auto"/>
          <w:u w:val="none" w:color="auto"/>
          <w:lang w:eastAsia="zh-CN"/>
        </w:rPr>
        <w:t>《</w:t>
      </w:r>
      <w:r>
        <w:rPr>
          <w:rFonts w:hint="default"/>
          <w:color w:val="auto"/>
          <w:u w:val="none" w:color="auto"/>
        </w:rPr>
        <w:t>排污单位自行监测技术指南总则</w:t>
      </w:r>
      <w:r>
        <w:rPr>
          <w:rFonts w:hint="eastAsia"/>
          <w:color w:val="auto"/>
          <w:u w:val="none" w:color="auto"/>
          <w:lang w:eastAsia="zh-CN"/>
        </w:rPr>
        <w:t>》（</w:t>
      </w:r>
      <w:r>
        <w:rPr>
          <w:rFonts w:hint="eastAsia"/>
          <w:color w:val="auto"/>
          <w:u w:val="none" w:color="auto"/>
          <w:lang w:val="en-US" w:eastAsia="zh-CN"/>
        </w:rPr>
        <w:t>HJ819-2017</w:t>
      </w:r>
      <w:r>
        <w:rPr>
          <w:rFonts w:hint="eastAsia"/>
          <w:color w:val="auto"/>
          <w:u w:val="none" w:color="auto"/>
          <w:lang w:eastAsia="zh-CN"/>
        </w:rPr>
        <w:t>）</w:t>
      </w:r>
      <w:r>
        <w:rPr>
          <w:rFonts w:hint="default"/>
          <w:color w:val="auto"/>
          <w:u w:val="none" w:color="auto"/>
        </w:rPr>
        <w:t>；</w:t>
      </w:r>
    </w:p>
    <w:p w14:paraId="7071260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eastAsia="zh-CN"/>
        </w:rPr>
        <w:t>《一般工业固体废物贮存和填埋污染控制标准》</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GB18599-2</w:t>
      </w:r>
      <w:r>
        <w:rPr>
          <w:rFonts w:hint="eastAsia" w:ascii="Times New Roman" w:hAnsi="Times New Roman" w:cs="Times New Roman"/>
          <w:color w:val="auto"/>
          <w:u w:val="none" w:color="auto"/>
          <w:lang w:val="en-US" w:eastAsia="zh-CN"/>
        </w:rPr>
        <w:t>020</w:t>
      </w: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eastAsia="zh-CN"/>
        </w:rPr>
        <w:t>；</w:t>
      </w:r>
    </w:p>
    <w:p w14:paraId="51FD17CF">
      <w:pPr>
        <w:pStyle w:val="20"/>
        <w:ind w:firstLine="480"/>
        <w:rPr>
          <w:rFonts w:hint="eastAsia" w:ascii="Times New Roman" w:hAnsi="Times New Roman" w:cs="Times New Roman"/>
          <w:color w:val="auto"/>
          <w:u w:val="none" w:color="auto"/>
          <w:lang w:eastAsia="zh-CN"/>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14</w:t>
      </w:r>
      <w:r>
        <w:rPr>
          <w:rFonts w:hint="default" w:ascii="Times New Roman" w:hAnsi="Times New Roman" w:cs="Times New Roman"/>
          <w:color w:val="auto"/>
          <w:u w:val="none" w:color="auto"/>
        </w:rPr>
        <w:t>）《危险废物贮存污染控制标准》（GB18597-20</w:t>
      </w:r>
      <w:r>
        <w:rPr>
          <w:rFonts w:hint="eastAsia" w:ascii="Times New Roman" w:hAnsi="Times New Roman" w:cs="Times New Roman"/>
          <w:color w:val="auto"/>
          <w:u w:val="none" w:color="auto"/>
          <w:lang w:val="en-US" w:eastAsia="zh-CN"/>
        </w:rPr>
        <w:t>23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eastAsia="zh-CN"/>
        </w:rPr>
        <w:t>；</w:t>
      </w:r>
    </w:p>
    <w:p w14:paraId="33654439">
      <w:pPr>
        <w:pStyle w:val="20"/>
        <w:ind w:firstLine="480"/>
        <w:rPr>
          <w:rFonts w:hint="eastAsia"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15</w:t>
      </w:r>
      <w:r>
        <w:rPr>
          <w:rFonts w:hint="default" w:ascii="Times New Roman" w:hAnsi="Times New Roman" w:cs="Times New Roman"/>
          <w:color w:val="auto"/>
          <w:u w:val="none" w:color="auto"/>
          <w:lang w:eastAsia="zh-CN"/>
        </w:rPr>
        <w:t>）《挥发性有机物无组织排放控制标准》（GB 37822</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eastAsia="zh-CN"/>
        </w:rPr>
        <w:t>2019）</w:t>
      </w:r>
      <w:r>
        <w:rPr>
          <w:rFonts w:hint="eastAsia" w:ascii="Times New Roman" w:hAnsi="Times New Roman" w:cs="Times New Roman"/>
          <w:color w:val="auto"/>
          <w:u w:val="none" w:color="auto"/>
          <w:lang w:val="en-US" w:eastAsia="zh-CN"/>
        </w:rPr>
        <w:t>；</w:t>
      </w:r>
    </w:p>
    <w:p w14:paraId="148E582C">
      <w:pPr>
        <w:pStyle w:val="20"/>
        <w:bidi w:val="0"/>
        <w:rPr>
          <w:rFonts w:hint="eastAsia"/>
          <w:color w:val="auto"/>
          <w:u w:val="none" w:color="auto"/>
          <w:lang w:eastAsia="zh-CN"/>
        </w:rPr>
      </w:pPr>
      <w:r>
        <w:rPr>
          <w:rFonts w:hint="eastAsia"/>
          <w:color w:val="auto"/>
          <w:u w:val="none" w:color="auto"/>
        </w:rPr>
        <w:t>（</w:t>
      </w:r>
      <w:r>
        <w:rPr>
          <w:rFonts w:hint="eastAsia"/>
          <w:color w:val="auto"/>
          <w:u w:val="none" w:color="auto"/>
          <w:lang w:val="en-US" w:eastAsia="zh-CN"/>
        </w:rPr>
        <w:t>16</w:t>
      </w:r>
      <w:r>
        <w:rPr>
          <w:rFonts w:hint="eastAsia"/>
          <w:color w:val="auto"/>
          <w:u w:val="none" w:color="auto"/>
        </w:rPr>
        <w:t>）《</w:t>
      </w:r>
      <w:r>
        <w:rPr>
          <w:rFonts w:hint="eastAsia"/>
          <w:color w:val="auto"/>
          <w:u w:val="none" w:color="auto"/>
          <w:lang w:eastAsia="zh-CN"/>
        </w:rPr>
        <w:t>废塑料污染</w:t>
      </w:r>
      <w:r>
        <w:rPr>
          <w:rFonts w:hint="eastAsia"/>
          <w:color w:val="auto"/>
          <w:u w:val="none" w:color="auto"/>
        </w:rPr>
        <w:t>控制技术规范》（HJ364-2022）</w:t>
      </w:r>
      <w:r>
        <w:rPr>
          <w:rFonts w:hint="eastAsia"/>
          <w:color w:val="auto"/>
          <w:u w:val="none" w:color="auto"/>
          <w:lang w:eastAsia="zh-CN"/>
        </w:rPr>
        <w:t>；</w:t>
      </w:r>
    </w:p>
    <w:p w14:paraId="46CE6BFF">
      <w:pPr>
        <w:pStyle w:val="20"/>
        <w:bidi w:val="0"/>
        <w:rPr>
          <w:rFonts w:hint="eastAsia" w:ascii="Times New Roman" w:hAnsi="Times New Roman" w:cs="Times New Roman"/>
          <w:color w:val="auto"/>
          <w:u w:val="none" w:color="auto"/>
          <w:lang w:eastAsia="zh-CN"/>
        </w:rPr>
      </w:pPr>
      <w:r>
        <w:rPr>
          <w:rFonts w:hint="eastAsia"/>
          <w:color w:val="auto"/>
          <w:u w:val="none" w:color="auto"/>
          <w:lang w:eastAsia="zh-CN"/>
        </w:rPr>
        <w:t>（</w:t>
      </w:r>
      <w:r>
        <w:rPr>
          <w:rFonts w:hint="eastAsia"/>
          <w:color w:val="auto"/>
          <w:u w:val="none" w:color="auto"/>
          <w:lang w:val="en-US" w:eastAsia="zh-CN"/>
        </w:rPr>
        <w:t>17</w:t>
      </w:r>
      <w:r>
        <w:rPr>
          <w:rFonts w:hint="eastAsia"/>
          <w:color w:val="auto"/>
          <w:u w:val="none" w:color="auto"/>
          <w:lang w:eastAsia="zh-CN"/>
        </w:rPr>
        <w:t>）</w:t>
      </w:r>
      <w:r>
        <w:rPr>
          <w:rFonts w:hint="default" w:ascii="Times New Roman" w:hAnsi="Times New Roman" w:cs="Times New Roman"/>
          <w:color w:val="auto"/>
          <w:u w:val="none" w:color="auto"/>
        </w:rPr>
        <w:t>《大气污染物综合排放标准》（GB16297-1996）</w:t>
      </w:r>
      <w:r>
        <w:rPr>
          <w:rFonts w:hint="eastAsia" w:ascii="Times New Roman" w:hAnsi="Times New Roman" w:cs="Times New Roman"/>
          <w:color w:val="auto"/>
          <w:u w:val="none" w:color="auto"/>
          <w:lang w:eastAsia="zh-CN"/>
        </w:rPr>
        <w:t>；</w:t>
      </w:r>
    </w:p>
    <w:p w14:paraId="5B5EBFCD">
      <w:pPr>
        <w:pStyle w:val="20"/>
        <w:bidi w:val="0"/>
        <w:rPr>
          <w:rFonts w:hint="eastAsia" w:eastAsia="宋体"/>
          <w:color w:val="auto"/>
          <w:u w:val="none" w:color="auto"/>
          <w:lang w:eastAsia="zh-CN"/>
        </w:rPr>
      </w:pPr>
      <w:r>
        <w:rPr>
          <w:rFonts w:hint="eastAsia"/>
          <w:color w:val="auto"/>
          <w:u w:val="none" w:color="auto"/>
          <w:lang w:eastAsia="zh-CN"/>
        </w:rPr>
        <w:t>（</w:t>
      </w:r>
      <w:r>
        <w:rPr>
          <w:rFonts w:hint="eastAsia"/>
          <w:color w:val="auto"/>
          <w:u w:val="none" w:color="auto"/>
          <w:lang w:val="en-US" w:eastAsia="zh-CN"/>
        </w:rPr>
        <w:t>18</w:t>
      </w:r>
      <w:r>
        <w:rPr>
          <w:rFonts w:hint="eastAsia"/>
          <w:color w:val="auto"/>
          <w:u w:val="none" w:color="auto"/>
          <w:lang w:eastAsia="zh-CN"/>
        </w:rPr>
        <w:t>）</w:t>
      </w:r>
      <w:r>
        <w:rPr>
          <w:rFonts w:hint="eastAsia"/>
          <w:color w:val="auto"/>
          <w:u w:val="none" w:color="auto"/>
        </w:rPr>
        <w:t>《恶臭污染物排放标准》（GB14554-93）</w:t>
      </w:r>
      <w:r>
        <w:rPr>
          <w:rFonts w:hint="eastAsia"/>
          <w:color w:val="auto"/>
          <w:u w:val="none" w:color="auto"/>
          <w:lang w:eastAsia="zh-CN"/>
        </w:rPr>
        <w:t>；</w:t>
      </w:r>
    </w:p>
    <w:p w14:paraId="435220B6">
      <w:pPr>
        <w:pStyle w:val="20"/>
        <w:bidi w:val="0"/>
        <w:rPr>
          <w:rFonts w:hint="eastAsia" w:eastAsia="宋体"/>
          <w:color w:val="auto"/>
          <w:u w:val="none" w:color="auto"/>
          <w:lang w:eastAsia="zh-CN"/>
        </w:rPr>
      </w:pPr>
      <w:r>
        <w:rPr>
          <w:rFonts w:hint="eastAsia"/>
          <w:color w:val="auto"/>
          <w:u w:val="none" w:color="auto"/>
          <w:lang w:eastAsia="zh-CN"/>
        </w:rPr>
        <w:t>（</w:t>
      </w:r>
      <w:r>
        <w:rPr>
          <w:rFonts w:hint="eastAsia"/>
          <w:color w:val="auto"/>
          <w:u w:val="none" w:color="auto"/>
          <w:lang w:val="en-US" w:eastAsia="zh-CN"/>
        </w:rPr>
        <w:t>19</w:t>
      </w:r>
      <w:r>
        <w:rPr>
          <w:rFonts w:hint="eastAsia"/>
          <w:color w:val="auto"/>
          <w:u w:val="none" w:color="auto"/>
          <w:lang w:eastAsia="zh-CN"/>
        </w:rPr>
        <w:t>）</w:t>
      </w:r>
      <w:r>
        <w:rPr>
          <w:color w:val="auto"/>
          <w:u w:val="none" w:color="auto"/>
        </w:rPr>
        <w:t>湖南省地方标准《用水定额》（DB43/T388-</w:t>
      </w:r>
      <w:r>
        <w:rPr>
          <w:rFonts w:hint="eastAsia"/>
          <w:color w:val="auto"/>
          <w:u w:val="none" w:color="auto"/>
        </w:rPr>
        <w:t>2020</w:t>
      </w:r>
      <w:r>
        <w:rPr>
          <w:color w:val="auto"/>
          <w:u w:val="none" w:color="auto"/>
        </w:rPr>
        <w:t>）</w:t>
      </w:r>
      <w:r>
        <w:rPr>
          <w:rFonts w:hint="eastAsia"/>
          <w:color w:val="auto"/>
          <w:u w:val="none" w:color="auto"/>
          <w:lang w:eastAsia="zh-CN"/>
        </w:rPr>
        <w:t>。</w:t>
      </w:r>
    </w:p>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14:paraId="42CB0A45">
      <w:pPr>
        <w:pStyle w:val="4"/>
        <w:rPr>
          <w:rFonts w:hint="default" w:ascii="Times New Roman" w:hAnsi="Times New Roman" w:cs="Times New Roman"/>
          <w:color w:val="auto"/>
          <w:u w:val="none" w:color="auto"/>
        </w:rPr>
      </w:pPr>
      <w:bookmarkStart w:id="315" w:name="_Toc9796"/>
      <w:bookmarkStart w:id="316" w:name="_Toc28205"/>
      <w:bookmarkStart w:id="317" w:name="_Toc16788"/>
      <w:bookmarkStart w:id="318" w:name="_Toc24190"/>
      <w:bookmarkStart w:id="319" w:name="_Toc28500"/>
      <w:bookmarkStart w:id="320" w:name="_Toc30446"/>
      <w:bookmarkStart w:id="321" w:name="_Toc25351"/>
      <w:bookmarkStart w:id="322" w:name="_Toc13784_WPSOffice_Level3"/>
      <w:bookmarkStart w:id="323" w:name="_Toc7249"/>
      <w:bookmarkStart w:id="324" w:name="_Toc30225_WPSOffice_Level3"/>
      <w:bookmarkStart w:id="325" w:name="_Toc32603"/>
      <w:bookmarkStart w:id="326" w:name="_Toc7903"/>
      <w:bookmarkStart w:id="327" w:name="_Toc30287"/>
      <w:bookmarkStart w:id="328" w:name="_Toc21589"/>
      <w:bookmarkStart w:id="329" w:name="_Toc21304"/>
      <w:bookmarkStart w:id="330" w:name="_Toc17075"/>
      <w:bookmarkStart w:id="331" w:name="_Toc5523"/>
      <w:bookmarkStart w:id="332" w:name="_Toc25237"/>
      <w:bookmarkStart w:id="333" w:name="_Toc7214"/>
      <w:r>
        <w:rPr>
          <w:rFonts w:hint="default" w:ascii="Times New Roman" w:hAnsi="Times New Roman" w:cs="Times New Roman"/>
          <w:color w:val="auto"/>
          <w:u w:val="none" w:color="auto"/>
        </w:rPr>
        <w:t>2.1.</w:t>
      </w:r>
      <w:r>
        <w:rPr>
          <w:rFonts w:hint="eastAsia" w:cs="Times New Roman"/>
          <w:color w:val="auto"/>
          <w:u w:val="none" w:color="auto"/>
          <w:lang w:val="en-US" w:eastAsia="zh-CN"/>
        </w:rPr>
        <w:t>4</w:t>
      </w:r>
      <w:r>
        <w:rPr>
          <w:rFonts w:hint="default" w:ascii="Times New Roman" w:hAnsi="Times New Roman" w:cs="Times New Roman"/>
          <w:color w:val="auto"/>
          <w:u w:val="none" w:color="auto"/>
        </w:rPr>
        <w:t>其他编制依据及工程资料</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6C84A383">
      <w:pPr>
        <w:pStyle w:val="20"/>
        <w:numPr>
          <w:ilvl w:val="0"/>
          <w:numId w:val="1"/>
        </w:numPr>
        <w:ind w:firstLine="480"/>
        <w:rPr>
          <w:rFonts w:hint="default" w:ascii="Times New Roman" w:hAnsi="Times New Roman" w:cs="Times New Roman"/>
          <w:color w:val="auto"/>
          <w:u w:val="none" w:color="auto"/>
        </w:rPr>
      </w:pPr>
      <w:bookmarkStart w:id="334" w:name="_Toc20947"/>
      <w:bookmarkStart w:id="335" w:name="_Toc21565_WPSOffice_Level2"/>
      <w:bookmarkStart w:id="336" w:name="_Toc24382_WPSOffice_Level2"/>
      <w:bookmarkStart w:id="337" w:name="_Toc11075_WPSOffice_Level2"/>
      <w:bookmarkStart w:id="338" w:name="_Toc12776"/>
      <w:bookmarkStart w:id="339" w:name="_Toc27072"/>
      <w:bookmarkStart w:id="340" w:name="_Toc1658_WPSOffice_Level2"/>
      <w:bookmarkStart w:id="341" w:name="_Toc1948_WPSOffice_Level2"/>
      <w:bookmarkStart w:id="342" w:name="_Toc4651"/>
      <w:bookmarkStart w:id="343" w:name="_Toc3607_WPSOffice_Level2"/>
      <w:bookmarkStart w:id="344" w:name="_Toc9102_WPSOffice_Level2"/>
      <w:r>
        <w:rPr>
          <w:rFonts w:hint="default" w:ascii="Times New Roman" w:hAnsi="Times New Roman" w:cs="Times New Roman"/>
          <w:color w:val="auto"/>
          <w:u w:val="none" w:color="auto"/>
        </w:rPr>
        <w:t>环评委托书</w:t>
      </w:r>
      <w:r>
        <w:rPr>
          <w:rFonts w:hint="eastAsia" w:ascii="Times New Roman" w:hAnsi="Times New Roman" w:cs="Times New Roman"/>
          <w:color w:val="auto"/>
          <w:u w:val="none" w:color="auto"/>
          <w:lang w:eastAsia="zh-CN"/>
        </w:rPr>
        <w:t>；</w:t>
      </w:r>
    </w:p>
    <w:p w14:paraId="7680AD64">
      <w:pPr>
        <w:pStyle w:val="20"/>
        <w:numPr>
          <w:ilvl w:val="0"/>
          <w:numId w:val="1"/>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标准函</w:t>
      </w:r>
      <w:r>
        <w:rPr>
          <w:rFonts w:hint="eastAsia" w:ascii="Times New Roman" w:hAnsi="Times New Roman" w:cs="Times New Roman"/>
          <w:color w:val="auto"/>
          <w:u w:val="none" w:color="auto"/>
          <w:lang w:eastAsia="zh-CN"/>
        </w:rPr>
        <w:t>；</w:t>
      </w:r>
    </w:p>
    <w:p w14:paraId="35F369DF">
      <w:pPr>
        <w:pStyle w:val="20"/>
        <w:numPr>
          <w:ilvl w:val="0"/>
          <w:numId w:val="1"/>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本项目环境质量现状监测质保单</w:t>
      </w:r>
      <w:r>
        <w:rPr>
          <w:rFonts w:hint="eastAsia" w:ascii="Times New Roman" w:hAnsi="Times New Roman" w:cs="Times New Roman"/>
          <w:color w:val="auto"/>
          <w:u w:val="none" w:color="auto"/>
          <w:lang w:eastAsia="zh-CN"/>
        </w:rPr>
        <w:t>；</w:t>
      </w:r>
    </w:p>
    <w:p w14:paraId="266A8914">
      <w:pPr>
        <w:pStyle w:val="20"/>
        <w:numPr>
          <w:ilvl w:val="0"/>
          <w:numId w:val="1"/>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《汨罗高新技术产业开发区扩区规划环境影响报告书》；</w:t>
      </w:r>
    </w:p>
    <w:p w14:paraId="035E739E">
      <w:pPr>
        <w:pStyle w:val="20"/>
        <w:numPr>
          <w:ilvl w:val="0"/>
          <w:numId w:val="1"/>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《湖南省生态环境厅关于&lt;汨罗高新技术产业开发区扩区规划环境影响报告书&gt;审查意见的函》（湘环评函[2024]41号）；</w:t>
      </w:r>
    </w:p>
    <w:p w14:paraId="4C8985C2">
      <w:pPr>
        <w:pStyle w:val="20"/>
        <w:numPr>
          <w:ilvl w:val="0"/>
          <w:numId w:val="1"/>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《汨罗高新技术产业开发区控制性详细规划》（2022-2035年）；</w:t>
      </w:r>
    </w:p>
    <w:p w14:paraId="071DBE37">
      <w:pPr>
        <w:pStyle w:val="20"/>
        <w:numPr>
          <w:ilvl w:val="0"/>
          <w:numId w:val="1"/>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《湖南汨罗高新技术产业开发区产业发展规划（2022-2027）》；</w:t>
      </w:r>
    </w:p>
    <w:p w14:paraId="6E46C2C9">
      <w:pPr>
        <w:pStyle w:val="20"/>
        <w:numPr>
          <w:ilvl w:val="0"/>
          <w:numId w:val="1"/>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企业提供的其他相关资料。</w:t>
      </w:r>
    </w:p>
    <w:p w14:paraId="130C6015">
      <w:pPr>
        <w:pStyle w:val="3"/>
        <w:bidi w:val="0"/>
        <w:rPr>
          <w:rFonts w:hint="default"/>
          <w:color w:val="auto"/>
          <w:u w:val="none" w:color="auto"/>
        </w:rPr>
      </w:pPr>
      <w:bookmarkStart w:id="345" w:name="_Toc7820"/>
      <w:bookmarkStart w:id="346" w:name="_Toc22812"/>
      <w:bookmarkStart w:id="347" w:name="_Toc2203"/>
      <w:r>
        <w:rPr>
          <w:rFonts w:hint="default"/>
          <w:color w:val="auto"/>
          <w:u w:val="none" w:color="auto"/>
        </w:rPr>
        <w:t>2.2评价因子</w:t>
      </w:r>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72ED128E">
      <w:pPr>
        <w:pStyle w:val="4"/>
        <w:spacing w:line="360" w:lineRule="auto"/>
        <w:rPr>
          <w:rFonts w:hint="default" w:ascii="Times New Roman" w:hAnsi="Times New Roman" w:cs="Times New Roman"/>
          <w:color w:val="auto"/>
          <w:u w:val="none" w:color="auto"/>
        </w:rPr>
      </w:pPr>
      <w:bookmarkStart w:id="348" w:name="_Toc28968"/>
      <w:bookmarkStart w:id="349" w:name="_Toc17626"/>
      <w:bookmarkStart w:id="350" w:name="_Toc4276"/>
      <w:bookmarkStart w:id="351" w:name="_Toc16628_WPSOffice_Level3"/>
      <w:bookmarkStart w:id="352" w:name="_Toc8660"/>
      <w:bookmarkStart w:id="353" w:name="_Toc5298"/>
      <w:bookmarkStart w:id="354" w:name="_Toc8897"/>
      <w:bookmarkStart w:id="355" w:name="_Toc11973"/>
      <w:bookmarkStart w:id="356" w:name="_Toc11291"/>
      <w:bookmarkStart w:id="357" w:name="_Toc4239"/>
      <w:bookmarkStart w:id="358" w:name="_Toc26241_WPSOffice_Level3"/>
      <w:bookmarkStart w:id="359" w:name="_Toc3565"/>
      <w:bookmarkStart w:id="360" w:name="_Toc8219"/>
      <w:bookmarkStart w:id="361" w:name="_Toc30417"/>
      <w:bookmarkStart w:id="362" w:name="_Toc11707"/>
      <w:bookmarkStart w:id="363" w:name="_Toc29225"/>
      <w:bookmarkStart w:id="364" w:name="_Toc3104"/>
      <w:bookmarkStart w:id="365" w:name="_Toc943"/>
      <w:bookmarkStart w:id="366" w:name="_Toc12824"/>
      <w:bookmarkStart w:id="367" w:name="_Toc27742"/>
      <w:bookmarkStart w:id="368" w:name="_Toc30144"/>
      <w:r>
        <w:rPr>
          <w:rFonts w:hint="default" w:ascii="Times New Roman" w:hAnsi="Times New Roman" w:cs="Times New Roman"/>
          <w:color w:val="auto"/>
          <w:u w:val="none" w:color="auto"/>
        </w:rPr>
        <w:t>2.2.1评价因子</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071973C">
      <w:pPr>
        <w:pStyle w:val="20"/>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1、环境影响要素识别</w:t>
      </w:r>
    </w:p>
    <w:p w14:paraId="31390719">
      <w:pPr>
        <w:pStyle w:val="20"/>
        <w:ind w:firstLine="480"/>
        <w:rPr>
          <w:rFonts w:hint="default" w:ascii="Times New Roman" w:hAnsi="Times New Roman" w:cs="Times New Roman"/>
          <w:color w:val="auto"/>
          <w:kern w:val="0"/>
          <w:u w:val="none" w:color="auto"/>
          <w:lang w:bidi="ar"/>
        </w:rPr>
      </w:pPr>
      <w:r>
        <w:rPr>
          <w:rFonts w:hint="default" w:ascii="Times New Roman" w:hAnsi="Times New Roman" w:cs="Times New Roman"/>
          <w:color w:val="auto"/>
          <w:kern w:val="0"/>
          <w:u w:val="none" w:color="auto"/>
          <w:lang w:bidi="ar"/>
        </w:rPr>
        <w:t>本项目为</w:t>
      </w:r>
      <w:r>
        <w:rPr>
          <w:rFonts w:hint="eastAsia" w:ascii="Times New Roman" w:hAnsi="Times New Roman" w:cs="Times New Roman"/>
          <w:color w:val="auto"/>
          <w:kern w:val="0"/>
          <w:u w:val="none" w:color="auto"/>
          <w:lang w:val="en-US" w:eastAsia="zh-CN" w:bidi="ar"/>
        </w:rPr>
        <w:t>迁建</w:t>
      </w:r>
      <w:r>
        <w:rPr>
          <w:rFonts w:hint="default" w:ascii="Times New Roman" w:hAnsi="Times New Roman" w:cs="Times New Roman"/>
          <w:color w:val="auto"/>
          <w:kern w:val="0"/>
          <w:u w:val="none" w:color="auto"/>
          <w:lang w:bidi="ar"/>
        </w:rPr>
        <w:t>项目，项目施工期、运营期会对环境空气、水环境、声环境、 土壤环境等产生一定的影响。根据工程分析及现场勘查情况，确定本项目对周围 环境的影响因素，采用矩阵法进行环境影响识别，见表2.</w:t>
      </w:r>
      <w:r>
        <w:rPr>
          <w:rFonts w:hint="eastAsia" w:ascii="Times New Roman" w:hAnsi="Times New Roman" w:cs="Times New Roman"/>
          <w:color w:val="auto"/>
          <w:kern w:val="0"/>
          <w:u w:val="none" w:color="auto"/>
          <w:lang w:val="en-US" w:eastAsia="zh-CN" w:bidi="ar"/>
        </w:rPr>
        <w:t>2</w:t>
      </w:r>
      <w:r>
        <w:rPr>
          <w:rFonts w:hint="default" w:ascii="Times New Roman" w:hAnsi="Times New Roman" w:cs="Times New Roman"/>
          <w:color w:val="auto"/>
          <w:kern w:val="0"/>
          <w:u w:val="none" w:color="auto"/>
          <w:lang w:bidi="ar"/>
        </w:rPr>
        <w:t>-1。</w:t>
      </w:r>
    </w:p>
    <w:p w14:paraId="379B3844">
      <w:pPr>
        <w:pStyle w:val="22"/>
        <w:bidi w:val="0"/>
        <w:rPr>
          <w:rFonts w:hint="default"/>
          <w:color w:val="auto"/>
          <w:u w:val="none" w:color="auto"/>
        </w:rPr>
      </w:pPr>
      <w:r>
        <w:rPr>
          <w:rFonts w:hint="default"/>
          <w:color w:val="auto"/>
          <w:u w:val="none" w:color="auto"/>
        </w:rPr>
        <w:t>表2.2-1 项目环境影响因素识别表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833"/>
        <w:gridCol w:w="2835"/>
        <w:gridCol w:w="2836"/>
      </w:tblGrid>
      <w:tr w14:paraId="3D8FA1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0CC47AB7">
            <w:pPr>
              <w:pStyle w:val="24"/>
              <w:bidi w:val="0"/>
              <w:rPr>
                <w:rFonts w:hint="default" w:eastAsia="宋体"/>
                <w:color w:val="auto"/>
                <w:u w:val="none" w:color="auto"/>
                <w:lang w:val="en-US" w:eastAsia="zh-CN"/>
              </w:rPr>
            </w:pPr>
            <w:r>
              <w:rPr>
                <w:rFonts w:hint="eastAsia"/>
                <w:color w:val="auto"/>
                <w:u w:val="none" w:color="auto"/>
                <w:lang w:val="en-US" w:eastAsia="zh-CN"/>
              </w:rPr>
              <w:t>环境要素</w:t>
            </w:r>
          </w:p>
        </w:tc>
        <w:tc>
          <w:tcPr>
            <w:tcW w:w="2835" w:type="dxa"/>
            <w:tcBorders>
              <w:tl2br w:val="nil"/>
              <w:tr2bl w:val="nil"/>
            </w:tcBorders>
            <w:noWrap w:val="0"/>
            <w:vAlign w:val="center"/>
          </w:tcPr>
          <w:p w14:paraId="79C42B1E">
            <w:pPr>
              <w:pStyle w:val="24"/>
              <w:bidi w:val="0"/>
              <w:rPr>
                <w:rFonts w:hint="eastAsia" w:eastAsia="宋体"/>
                <w:color w:val="auto"/>
                <w:u w:val="none" w:color="auto"/>
                <w:lang w:val="en-US" w:eastAsia="zh-CN"/>
              </w:rPr>
            </w:pPr>
            <w:r>
              <w:rPr>
                <w:rFonts w:hint="eastAsia"/>
                <w:color w:val="auto"/>
                <w:u w:val="none" w:color="auto"/>
                <w:lang w:val="en-US" w:eastAsia="zh-CN"/>
              </w:rPr>
              <w:t>施工期</w:t>
            </w:r>
          </w:p>
        </w:tc>
        <w:tc>
          <w:tcPr>
            <w:tcW w:w="2836" w:type="dxa"/>
            <w:tcBorders>
              <w:tl2br w:val="nil"/>
              <w:tr2bl w:val="nil"/>
            </w:tcBorders>
            <w:noWrap w:val="0"/>
            <w:vAlign w:val="center"/>
          </w:tcPr>
          <w:p w14:paraId="71A642C6">
            <w:pPr>
              <w:pStyle w:val="24"/>
              <w:bidi w:val="0"/>
              <w:rPr>
                <w:rFonts w:hint="default" w:eastAsia="宋体"/>
                <w:color w:val="auto"/>
                <w:u w:val="none" w:color="auto"/>
                <w:lang w:val="en-US" w:eastAsia="zh-CN"/>
              </w:rPr>
            </w:pPr>
            <w:r>
              <w:rPr>
                <w:rFonts w:hint="eastAsia"/>
                <w:color w:val="auto"/>
                <w:u w:val="none" w:color="auto"/>
                <w:lang w:val="en-US" w:eastAsia="zh-CN"/>
              </w:rPr>
              <w:t>运营期</w:t>
            </w:r>
          </w:p>
        </w:tc>
      </w:tr>
      <w:tr w14:paraId="654D6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11CA9054">
            <w:pPr>
              <w:pStyle w:val="24"/>
              <w:bidi w:val="0"/>
              <w:rPr>
                <w:rFonts w:hint="default" w:eastAsia="宋体"/>
                <w:color w:val="auto"/>
                <w:u w:val="none" w:color="auto"/>
                <w:lang w:val="en-US" w:eastAsia="zh-CN"/>
              </w:rPr>
            </w:pPr>
            <w:r>
              <w:rPr>
                <w:rFonts w:hint="eastAsia"/>
                <w:color w:val="auto"/>
                <w:u w:val="none" w:color="auto"/>
                <w:lang w:val="en-US" w:eastAsia="zh-CN"/>
              </w:rPr>
              <w:t>环境空气</w:t>
            </w:r>
          </w:p>
        </w:tc>
        <w:tc>
          <w:tcPr>
            <w:tcW w:w="2835" w:type="dxa"/>
            <w:tcBorders>
              <w:tl2br w:val="nil"/>
              <w:tr2bl w:val="nil"/>
            </w:tcBorders>
            <w:noWrap w:val="0"/>
            <w:vAlign w:val="center"/>
          </w:tcPr>
          <w:p w14:paraId="31F1BE08">
            <w:pPr>
              <w:pStyle w:val="24"/>
              <w:bidi w:val="0"/>
              <w:rPr>
                <w:rFonts w:hint="default" w:eastAsia="宋体"/>
                <w:color w:val="auto"/>
                <w:u w:val="none" w:color="auto"/>
                <w:lang w:val="en-US" w:eastAsia="zh-CN"/>
              </w:rPr>
            </w:pPr>
            <w:r>
              <w:rPr>
                <w:rFonts w:hint="eastAsia"/>
                <w:color w:val="auto"/>
                <w:u w:val="none" w:color="auto"/>
                <w:lang w:val="en-US" w:eastAsia="zh-CN"/>
              </w:rPr>
              <w:t>-1DK</w:t>
            </w:r>
          </w:p>
        </w:tc>
        <w:tc>
          <w:tcPr>
            <w:tcW w:w="2836" w:type="dxa"/>
            <w:tcBorders>
              <w:tl2br w:val="nil"/>
              <w:tr2bl w:val="nil"/>
            </w:tcBorders>
            <w:noWrap w:val="0"/>
            <w:vAlign w:val="center"/>
          </w:tcPr>
          <w:p w14:paraId="53746258">
            <w:pPr>
              <w:pStyle w:val="24"/>
              <w:bidi w:val="0"/>
              <w:rPr>
                <w:rFonts w:hint="default" w:eastAsia="宋体"/>
                <w:color w:val="auto"/>
                <w:u w:val="none" w:color="auto"/>
                <w:lang w:val="en-US" w:eastAsia="zh-CN"/>
              </w:rPr>
            </w:pPr>
            <w:r>
              <w:rPr>
                <w:rFonts w:hint="eastAsia"/>
                <w:color w:val="auto"/>
                <w:u w:val="none" w:color="auto"/>
                <w:lang w:val="en-US" w:eastAsia="zh-CN"/>
              </w:rPr>
              <w:t>-1CK</w:t>
            </w:r>
          </w:p>
        </w:tc>
      </w:tr>
      <w:tr w14:paraId="509941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4BF660ED">
            <w:pPr>
              <w:pStyle w:val="24"/>
              <w:bidi w:val="0"/>
              <w:rPr>
                <w:rFonts w:hint="eastAsia" w:eastAsia="宋体"/>
                <w:color w:val="auto"/>
                <w:u w:val="none" w:color="auto"/>
                <w:lang w:val="en-US" w:eastAsia="zh-CN"/>
              </w:rPr>
            </w:pPr>
            <w:r>
              <w:rPr>
                <w:rFonts w:hint="eastAsia"/>
                <w:color w:val="auto"/>
                <w:u w:val="none" w:color="auto"/>
                <w:lang w:val="en-US" w:eastAsia="zh-CN"/>
              </w:rPr>
              <w:t>地表水</w:t>
            </w:r>
          </w:p>
        </w:tc>
        <w:tc>
          <w:tcPr>
            <w:tcW w:w="2835" w:type="dxa"/>
            <w:tcBorders>
              <w:tl2br w:val="nil"/>
              <w:tr2bl w:val="nil"/>
            </w:tcBorders>
            <w:noWrap w:val="0"/>
            <w:vAlign w:val="center"/>
          </w:tcPr>
          <w:p w14:paraId="53861D5D">
            <w:pPr>
              <w:pStyle w:val="24"/>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40524182">
            <w:pPr>
              <w:pStyle w:val="24"/>
              <w:bidi w:val="0"/>
              <w:rPr>
                <w:rFonts w:hint="default" w:eastAsia="宋体"/>
                <w:color w:val="auto"/>
                <w:u w:val="none" w:color="auto"/>
                <w:lang w:val="en-US" w:eastAsia="zh-CN"/>
              </w:rPr>
            </w:pPr>
            <w:r>
              <w:rPr>
                <w:rFonts w:hint="eastAsia"/>
                <w:color w:val="auto"/>
                <w:u w:val="none" w:color="auto"/>
                <w:lang w:val="en-US" w:eastAsia="zh-CN"/>
              </w:rPr>
              <w:t>-1CK</w:t>
            </w:r>
          </w:p>
        </w:tc>
      </w:tr>
      <w:tr w14:paraId="07E9A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43BEEC7E">
            <w:pPr>
              <w:pStyle w:val="24"/>
              <w:bidi w:val="0"/>
              <w:rPr>
                <w:rFonts w:hint="eastAsia" w:eastAsia="宋体"/>
                <w:color w:val="auto"/>
                <w:u w:val="none" w:color="auto"/>
                <w:lang w:val="en-US" w:eastAsia="zh-CN"/>
              </w:rPr>
            </w:pPr>
            <w:r>
              <w:rPr>
                <w:rFonts w:hint="eastAsia"/>
                <w:color w:val="auto"/>
                <w:u w:val="none" w:color="auto"/>
                <w:lang w:val="en-US" w:eastAsia="zh-CN"/>
              </w:rPr>
              <w:t>地下水</w:t>
            </w:r>
          </w:p>
        </w:tc>
        <w:tc>
          <w:tcPr>
            <w:tcW w:w="2835" w:type="dxa"/>
            <w:tcBorders>
              <w:tl2br w:val="nil"/>
              <w:tr2bl w:val="nil"/>
            </w:tcBorders>
            <w:noWrap w:val="0"/>
            <w:vAlign w:val="center"/>
          </w:tcPr>
          <w:p w14:paraId="4B3200B1">
            <w:pPr>
              <w:pStyle w:val="24"/>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021DDEF9">
            <w:pPr>
              <w:pStyle w:val="24"/>
              <w:bidi w:val="0"/>
              <w:rPr>
                <w:rFonts w:hint="default" w:eastAsia="宋体"/>
                <w:color w:val="auto"/>
                <w:u w:val="none" w:color="auto"/>
                <w:lang w:val="en-US" w:eastAsia="zh-CN"/>
              </w:rPr>
            </w:pPr>
            <w:r>
              <w:rPr>
                <w:rFonts w:hint="eastAsia"/>
                <w:color w:val="auto"/>
                <w:u w:val="none" w:color="auto"/>
                <w:lang w:val="en-US" w:eastAsia="zh-CN"/>
              </w:rPr>
              <w:t>/</w:t>
            </w:r>
          </w:p>
        </w:tc>
      </w:tr>
      <w:tr w14:paraId="59A87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6BA45128">
            <w:pPr>
              <w:pStyle w:val="24"/>
              <w:bidi w:val="0"/>
              <w:rPr>
                <w:rFonts w:hint="eastAsia" w:eastAsia="宋体"/>
                <w:color w:val="auto"/>
                <w:u w:val="none" w:color="auto"/>
                <w:lang w:val="en-US" w:eastAsia="zh-CN"/>
              </w:rPr>
            </w:pPr>
            <w:r>
              <w:rPr>
                <w:rFonts w:hint="eastAsia"/>
                <w:color w:val="auto"/>
                <w:u w:val="none" w:color="auto"/>
                <w:lang w:val="en-US" w:eastAsia="zh-CN"/>
              </w:rPr>
              <w:t>声环境</w:t>
            </w:r>
          </w:p>
        </w:tc>
        <w:tc>
          <w:tcPr>
            <w:tcW w:w="2835" w:type="dxa"/>
            <w:tcBorders>
              <w:tl2br w:val="nil"/>
              <w:tr2bl w:val="nil"/>
            </w:tcBorders>
            <w:noWrap w:val="0"/>
            <w:vAlign w:val="center"/>
          </w:tcPr>
          <w:p w14:paraId="3F55757F">
            <w:pPr>
              <w:pStyle w:val="24"/>
              <w:bidi w:val="0"/>
              <w:rPr>
                <w:rFonts w:hint="default" w:eastAsia="宋体"/>
                <w:color w:val="auto"/>
                <w:u w:val="none" w:color="auto"/>
                <w:lang w:val="en-US" w:eastAsia="zh-CN"/>
              </w:rPr>
            </w:pPr>
            <w:r>
              <w:rPr>
                <w:rFonts w:hint="eastAsia"/>
                <w:color w:val="auto"/>
                <w:u w:val="none" w:color="auto"/>
                <w:lang w:val="en-US" w:eastAsia="zh-CN"/>
              </w:rPr>
              <w:t>-2DK</w:t>
            </w:r>
          </w:p>
        </w:tc>
        <w:tc>
          <w:tcPr>
            <w:tcW w:w="2836" w:type="dxa"/>
            <w:tcBorders>
              <w:tl2br w:val="nil"/>
              <w:tr2bl w:val="nil"/>
            </w:tcBorders>
            <w:noWrap w:val="0"/>
            <w:vAlign w:val="center"/>
          </w:tcPr>
          <w:p w14:paraId="0838953A">
            <w:pPr>
              <w:pStyle w:val="24"/>
              <w:bidi w:val="0"/>
              <w:rPr>
                <w:rFonts w:hint="default" w:eastAsia="宋体"/>
                <w:color w:val="auto"/>
                <w:u w:val="none" w:color="auto"/>
                <w:lang w:val="en-US" w:eastAsia="zh-CN"/>
              </w:rPr>
            </w:pPr>
            <w:r>
              <w:rPr>
                <w:rFonts w:hint="eastAsia"/>
                <w:color w:val="auto"/>
                <w:u w:val="none" w:color="auto"/>
                <w:lang w:val="en-US" w:eastAsia="zh-CN"/>
              </w:rPr>
              <w:t>-1CK</w:t>
            </w:r>
          </w:p>
        </w:tc>
      </w:tr>
      <w:tr w14:paraId="4CCA76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7735D9CE">
            <w:pPr>
              <w:pStyle w:val="24"/>
              <w:bidi w:val="0"/>
              <w:rPr>
                <w:rFonts w:hint="default"/>
                <w:color w:val="auto"/>
                <w:u w:val="none" w:color="auto"/>
                <w:lang w:val="en-US" w:eastAsia="zh-CN"/>
              </w:rPr>
            </w:pPr>
            <w:r>
              <w:rPr>
                <w:rFonts w:hint="eastAsia"/>
                <w:color w:val="auto"/>
                <w:u w:val="none" w:color="auto"/>
                <w:lang w:val="en-US" w:eastAsia="zh-CN"/>
              </w:rPr>
              <w:t>土壤环境</w:t>
            </w:r>
          </w:p>
        </w:tc>
        <w:tc>
          <w:tcPr>
            <w:tcW w:w="2835" w:type="dxa"/>
            <w:tcBorders>
              <w:tl2br w:val="nil"/>
              <w:tr2bl w:val="nil"/>
            </w:tcBorders>
            <w:noWrap w:val="0"/>
            <w:vAlign w:val="center"/>
          </w:tcPr>
          <w:p w14:paraId="4161A060">
            <w:pPr>
              <w:pStyle w:val="24"/>
              <w:bidi w:val="0"/>
              <w:rPr>
                <w:rFonts w:hint="default"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2CFD3C99">
            <w:pPr>
              <w:pStyle w:val="24"/>
              <w:bidi w:val="0"/>
              <w:rPr>
                <w:rFonts w:hint="eastAsia" w:eastAsia="宋体"/>
                <w:color w:val="auto"/>
                <w:u w:val="none" w:color="auto"/>
                <w:lang w:val="en-US" w:eastAsia="zh-CN"/>
              </w:rPr>
            </w:pPr>
            <w:r>
              <w:rPr>
                <w:rFonts w:hint="eastAsia"/>
                <w:color w:val="auto"/>
                <w:u w:val="none" w:color="auto"/>
                <w:lang w:val="en-US" w:eastAsia="zh-CN"/>
              </w:rPr>
              <w:t>/</w:t>
            </w:r>
          </w:p>
        </w:tc>
      </w:tr>
      <w:tr w14:paraId="2FFAE4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0BBEB3B4">
            <w:pPr>
              <w:pStyle w:val="24"/>
              <w:bidi w:val="0"/>
              <w:rPr>
                <w:rFonts w:hint="default"/>
                <w:color w:val="auto"/>
                <w:u w:val="none" w:color="auto"/>
                <w:lang w:val="en-US" w:eastAsia="zh-CN"/>
              </w:rPr>
            </w:pPr>
            <w:r>
              <w:rPr>
                <w:rFonts w:hint="eastAsia"/>
                <w:color w:val="auto"/>
                <w:u w:val="none" w:color="auto"/>
                <w:lang w:val="en-US" w:eastAsia="zh-CN"/>
              </w:rPr>
              <w:t>环境风险</w:t>
            </w:r>
          </w:p>
        </w:tc>
        <w:tc>
          <w:tcPr>
            <w:tcW w:w="2835" w:type="dxa"/>
            <w:tcBorders>
              <w:tl2br w:val="nil"/>
              <w:tr2bl w:val="nil"/>
            </w:tcBorders>
            <w:noWrap w:val="0"/>
            <w:vAlign w:val="center"/>
          </w:tcPr>
          <w:p w14:paraId="00914A9E">
            <w:pPr>
              <w:pStyle w:val="24"/>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7CC40C8C">
            <w:pPr>
              <w:pStyle w:val="24"/>
              <w:bidi w:val="0"/>
              <w:rPr>
                <w:rFonts w:hint="default" w:eastAsia="宋体"/>
                <w:color w:val="auto"/>
                <w:u w:val="none" w:color="auto"/>
                <w:lang w:val="en-US" w:eastAsia="zh-CN"/>
              </w:rPr>
            </w:pPr>
            <w:r>
              <w:rPr>
                <w:rFonts w:hint="eastAsia"/>
                <w:color w:val="auto"/>
                <w:u w:val="none" w:color="auto"/>
                <w:lang w:val="en-US" w:eastAsia="zh-CN"/>
              </w:rPr>
              <w:t>-1CK</w:t>
            </w:r>
          </w:p>
        </w:tc>
      </w:tr>
      <w:tr w14:paraId="67BBB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4834E601">
            <w:pPr>
              <w:pStyle w:val="24"/>
              <w:bidi w:val="0"/>
              <w:rPr>
                <w:rFonts w:hint="default"/>
                <w:color w:val="auto"/>
                <w:u w:val="none" w:color="auto"/>
                <w:lang w:val="en-US" w:eastAsia="zh-CN"/>
              </w:rPr>
            </w:pPr>
            <w:r>
              <w:rPr>
                <w:rFonts w:hint="eastAsia"/>
                <w:color w:val="auto"/>
                <w:u w:val="none" w:color="auto"/>
                <w:lang w:val="en-US" w:eastAsia="zh-CN"/>
              </w:rPr>
              <w:t>生态</w:t>
            </w:r>
          </w:p>
        </w:tc>
        <w:tc>
          <w:tcPr>
            <w:tcW w:w="2835" w:type="dxa"/>
            <w:tcBorders>
              <w:tl2br w:val="nil"/>
              <w:tr2bl w:val="nil"/>
            </w:tcBorders>
            <w:noWrap w:val="0"/>
            <w:vAlign w:val="center"/>
          </w:tcPr>
          <w:p w14:paraId="6E3A1334">
            <w:pPr>
              <w:pStyle w:val="24"/>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21A35745">
            <w:pPr>
              <w:pStyle w:val="24"/>
              <w:bidi w:val="0"/>
              <w:rPr>
                <w:rFonts w:hint="eastAsia" w:eastAsia="宋体"/>
                <w:color w:val="auto"/>
                <w:u w:val="none" w:color="auto"/>
                <w:lang w:val="en-US" w:eastAsia="zh-CN"/>
              </w:rPr>
            </w:pPr>
            <w:r>
              <w:rPr>
                <w:rFonts w:hint="eastAsia"/>
                <w:color w:val="auto"/>
                <w:u w:val="none" w:color="auto"/>
                <w:lang w:val="en-US" w:eastAsia="zh-CN"/>
              </w:rPr>
              <w:t>/</w:t>
            </w:r>
          </w:p>
        </w:tc>
      </w:tr>
      <w:tr w14:paraId="53EBEE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40D6CDE4">
            <w:pPr>
              <w:pStyle w:val="24"/>
              <w:bidi w:val="0"/>
              <w:rPr>
                <w:rFonts w:hint="default"/>
                <w:color w:val="auto"/>
                <w:u w:val="none" w:color="auto"/>
                <w:lang w:val="en-US" w:eastAsia="zh-CN"/>
              </w:rPr>
            </w:pPr>
            <w:r>
              <w:rPr>
                <w:rFonts w:hint="eastAsia"/>
                <w:color w:val="auto"/>
                <w:u w:val="none" w:color="auto"/>
                <w:lang w:val="en-US" w:eastAsia="zh-CN"/>
              </w:rPr>
              <w:t>人群健康</w:t>
            </w:r>
          </w:p>
        </w:tc>
        <w:tc>
          <w:tcPr>
            <w:tcW w:w="2835" w:type="dxa"/>
            <w:tcBorders>
              <w:tl2br w:val="nil"/>
              <w:tr2bl w:val="nil"/>
            </w:tcBorders>
            <w:noWrap w:val="0"/>
            <w:vAlign w:val="center"/>
          </w:tcPr>
          <w:p w14:paraId="1B709F6C">
            <w:pPr>
              <w:pStyle w:val="24"/>
              <w:bidi w:val="0"/>
              <w:rPr>
                <w:rFonts w:hint="default" w:eastAsia="宋体"/>
                <w:color w:val="auto"/>
                <w:u w:val="none" w:color="auto"/>
                <w:lang w:val="en-US" w:eastAsia="zh-CN"/>
              </w:rPr>
            </w:pPr>
            <w:r>
              <w:rPr>
                <w:rFonts w:hint="eastAsia"/>
                <w:color w:val="auto"/>
                <w:u w:val="none" w:color="auto"/>
                <w:lang w:val="en-US" w:eastAsia="zh-CN"/>
              </w:rPr>
              <w:t>-1DK</w:t>
            </w:r>
          </w:p>
        </w:tc>
        <w:tc>
          <w:tcPr>
            <w:tcW w:w="2836" w:type="dxa"/>
            <w:tcBorders>
              <w:tl2br w:val="nil"/>
              <w:tr2bl w:val="nil"/>
            </w:tcBorders>
            <w:noWrap w:val="0"/>
            <w:vAlign w:val="center"/>
          </w:tcPr>
          <w:p w14:paraId="4DBC41C7">
            <w:pPr>
              <w:pStyle w:val="24"/>
              <w:bidi w:val="0"/>
              <w:rPr>
                <w:rFonts w:hint="default" w:eastAsia="宋体"/>
                <w:color w:val="auto"/>
                <w:u w:val="none" w:color="auto"/>
                <w:lang w:val="en-US" w:eastAsia="zh-CN"/>
              </w:rPr>
            </w:pPr>
            <w:r>
              <w:rPr>
                <w:rFonts w:hint="eastAsia"/>
                <w:color w:val="auto"/>
                <w:u w:val="none" w:color="auto"/>
                <w:lang w:val="en-US" w:eastAsia="zh-CN"/>
              </w:rPr>
              <w:t>-1CK</w:t>
            </w:r>
          </w:p>
        </w:tc>
      </w:tr>
      <w:tr w14:paraId="1E9B6F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61A8D3F2">
            <w:pPr>
              <w:pStyle w:val="24"/>
              <w:bidi w:val="0"/>
              <w:rPr>
                <w:rFonts w:hint="default"/>
                <w:color w:val="auto"/>
                <w:u w:val="none" w:color="auto"/>
                <w:lang w:val="en-US" w:eastAsia="zh-CN"/>
              </w:rPr>
            </w:pPr>
            <w:r>
              <w:rPr>
                <w:rFonts w:hint="eastAsia"/>
                <w:color w:val="auto"/>
                <w:u w:val="none" w:color="auto"/>
                <w:lang w:val="en-US" w:eastAsia="zh-CN"/>
              </w:rPr>
              <w:t>水土保持</w:t>
            </w:r>
          </w:p>
        </w:tc>
        <w:tc>
          <w:tcPr>
            <w:tcW w:w="2835" w:type="dxa"/>
            <w:tcBorders>
              <w:tl2br w:val="nil"/>
              <w:tr2bl w:val="nil"/>
            </w:tcBorders>
            <w:noWrap w:val="0"/>
            <w:vAlign w:val="center"/>
          </w:tcPr>
          <w:p w14:paraId="6BCB435F">
            <w:pPr>
              <w:pStyle w:val="24"/>
              <w:bidi w:val="0"/>
              <w:rPr>
                <w:rFonts w:hint="eastAsia" w:eastAsia="宋体"/>
                <w:color w:val="auto"/>
                <w:u w:val="none" w:color="auto"/>
                <w:lang w:val="en-US" w:eastAsia="zh-CN"/>
              </w:rPr>
            </w:pPr>
            <w:r>
              <w:rPr>
                <w:rFonts w:hint="eastAsia"/>
                <w:color w:val="auto"/>
                <w:u w:val="none" w:color="auto"/>
                <w:lang w:val="en-US" w:eastAsia="zh-CN"/>
              </w:rPr>
              <w:t>/</w:t>
            </w:r>
          </w:p>
        </w:tc>
        <w:tc>
          <w:tcPr>
            <w:tcW w:w="2836" w:type="dxa"/>
            <w:tcBorders>
              <w:tl2br w:val="nil"/>
              <w:tr2bl w:val="nil"/>
            </w:tcBorders>
            <w:noWrap w:val="0"/>
            <w:vAlign w:val="center"/>
          </w:tcPr>
          <w:p w14:paraId="0AFFEBFB">
            <w:pPr>
              <w:pStyle w:val="24"/>
              <w:bidi w:val="0"/>
              <w:rPr>
                <w:rFonts w:hint="eastAsia" w:eastAsia="宋体"/>
                <w:color w:val="auto"/>
                <w:u w:val="none" w:color="auto"/>
                <w:lang w:val="en-US" w:eastAsia="zh-CN"/>
              </w:rPr>
            </w:pPr>
            <w:r>
              <w:rPr>
                <w:rFonts w:hint="eastAsia"/>
                <w:color w:val="auto"/>
                <w:u w:val="none" w:color="auto"/>
                <w:lang w:val="en-US" w:eastAsia="zh-CN"/>
              </w:rPr>
              <w:t>/</w:t>
            </w:r>
          </w:p>
        </w:tc>
      </w:tr>
      <w:tr w14:paraId="0DF13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33" w:type="dxa"/>
            <w:tcBorders>
              <w:tl2br w:val="nil"/>
              <w:tr2bl w:val="nil"/>
            </w:tcBorders>
            <w:noWrap w:val="0"/>
            <w:vAlign w:val="center"/>
          </w:tcPr>
          <w:p w14:paraId="1E332364">
            <w:pPr>
              <w:pStyle w:val="24"/>
              <w:bidi w:val="0"/>
              <w:rPr>
                <w:rFonts w:hint="default"/>
                <w:color w:val="auto"/>
                <w:u w:val="none" w:color="auto"/>
                <w:lang w:val="en-US" w:eastAsia="zh-CN"/>
              </w:rPr>
            </w:pPr>
            <w:r>
              <w:rPr>
                <w:rFonts w:hint="eastAsia"/>
                <w:color w:val="auto"/>
                <w:u w:val="none" w:color="auto"/>
                <w:lang w:val="en-US" w:eastAsia="zh-CN"/>
              </w:rPr>
              <w:t>社会经济</w:t>
            </w:r>
          </w:p>
        </w:tc>
        <w:tc>
          <w:tcPr>
            <w:tcW w:w="2835" w:type="dxa"/>
            <w:tcBorders>
              <w:tl2br w:val="nil"/>
              <w:tr2bl w:val="nil"/>
            </w:tcBorders>
            <w:noWrap w:val="0"/>
            <w:vAlign w:val="center"/>
          </w:tcPr>
          <w:p w14:paraId="37CF2589">
            <w:pPr>
              <w:pStyle w:val="24"/>
              <w:bidi w:val="0"/>
              <w:rPr>
                <w:rFonts w:hint="default" w:eastAsia="宋体"/>
                <w:color w:val="auto"/>
                <w:u w:val="none" w:color="auto"/>
                <w:lang w:val="en-US" w:eastAsia="zh-CN"/>
              </w:rPr>
            </w:pPr>
            <w:r>
              <w:rPr>
                <w:rFonts w:hint="eastAsia"/>
                <w:color w:val="auto"/>
                <w:u w:val="none" w:color="auto"/>
                <w:lang w:val="en-US" w:eastAsia="zh-CN"/>
              </w:rPr>
              <w:t>+1DK</w:t>
            </w:r>
          </w:p>
        </w:tc>
        <w:tc>
          <w:tcPr>
            <w:tcW w:w="2836" w:type="dxa"/>
            <w:tcBorders>
              <w:tl2br w:val="nil"/>
              <w:tr2bl w:val="nil"/>
            </w:tcBorders>
            <w:noWrap w:val="0"/>
            <w:vAlign w:val="center"/>
          </w:tcPr>
          <w:p w14:paraId="5571F3C2">
            <w:pPr>
              <w:pStyle w:val="24"/>
              <w:bidi w:val="0"/>
              <w:rPr>
                <w:rFonts w:hint="default" w:eastAsia="宋体"/>
                <w:color w:val="auto"/>
                <w:u w:val="none" w:color="auto"/>
                <w:lang w:val="en-US" w:eastAsia="zh-CN"/>
              </w:rPr>
            </w:pPr>
            <w:r>
              <w:rPr>
                <w:rFonts w:hint="eastAsia"/>
                <w:color w:val="auto"/>
                <w:u w:val="none" w:color="auto"/>
                <w:lang w:val="en-US" w:eastAsia="zh-CN"/>
              </w:rPr>
              <w:t>+2CK</w:t>
            </w:r>
          </w:p>
        </w:tc>
      </w:tr>
      <w:tr w14:paraId="320544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04" w:type="dxa"/>
            <w:gridSpan w:val="3"/>
            <w:tcBorders>
              <w:tl2br w:val="nil"/>
              <w:tr2bl w:val="nil"/>
            </w:tcBorders>
            <w:noWrap w:val="0"/>
            <w:vAlign w:val="center"/>
          </w:tcPr>
          <w:p w14:paraId="474BEE49">
            <w:pPr>
              <w:pStyle w:val="24"/>
              <w:bidi w:val="0"/>
              <w:rPr>
                <w:rFonts w:hint="eastAsia"/>
                <w:color w:val="auto"/>
                <w:u w:val="none" w:color="auto"/>
                <w:lang w:val="en-US" w:eastAsia="zh-CN"/>
              </w:rPr>
            </w:pPr>
            <w:r>
              <w:rPr>
                <w:rFonts w:hint="eastAsia"/>
                <w:color w:val="auto"/>
                <w:u w:val="none" w:color="auto"/>
                <w:lang w:val="en-US" w:eastAsia="zh-CN"/>
              </w:rPr>
              <w:t>注：表中数字表示影响程度：3-重大影响、2-中等影响；1-轻微影响；“+”为正面影响、“-” 为负面影响；“C”表示长期影响、“D”表示短期影响；“K”表示可逆影响“B”表示不可逆影响。</w:t>
            </w:r>
          </w:p>
        </w:tc>
      </w:tr>
    </w:tbl>
    <w:p w14:paraId="355D672C">
      <w:pPr>
        <w:spacing w:line="360" w:lineRule="auto"/>
        <w:ind w:firstLine="480" w:firstLineChars="200"/>
        <w:rPr>
          <w:rFonts w:hint="default" w:ascii="Times New Roman" w:hAnsi="Times New Roman" w:cs="Times New Roman"/>
          <w:bCs/>
          <w:color w:val="auto"/>
          <w:kern w:val="0"/>
          <w:u w:val="none" w:color="auto"/>
        </w:rPr>
      </w:pPr>
      <w:r>
        <w:rPr>
          <w:rFonts w:hint="default" w:ascii="Times New Roman" w:hAnsi="Times New Roman" w:cs="Times New Roman"/>
          <w:bCs/>
          <w:color w:val="auto"/>
          <w:kern w:val="0"/>
          <w:sz w:val="24"/>
          <w:u w:val="none" w:color="auto"/>
          <w:lang w:bidi="ar"/>
        </w:rPr>
        <w:t>综合分析认为：</w:t>
      </w:r>
    </w:p>
    <w:p w14:paraId="412134F7">
      <w:pPr>
        <w:numPr>
          <w:ilvl w:val="0"/>
          <w:numId w:val="2"/>
        </w:numPr>
        <w:spacing w:line="360" w:lineRule="auto"/>
        <w:ind w:firstLine="480" w:firstLineChars="200"/>
        <w:rPr>
          <w:rFonts w:hint="default" w:ascii="Times New Roman" w:hAnsi="Times New Roman" w:cs="Times New Roman"/>
          <w:bCs/>
          <w:color w:val="auto"/>
          <w:kern w:val="0"/>
          <w:sz w:val="24"/>
          <w:u w:val="none" w:color="auto"/>
          <w:lang w:bidi="ar"/>
        </w:rPr>
      </w:pPr>
      <w:r>
        <w:rPr>
          <w:rFonts w:hint="default" w:ascii="Times New Roman" w:hAnsi="Times New Roman" w:cs="Times New Roman"/>
          <w:bCs/>
          <w:color w:val="auto"/>
          <w:kern w:val="0"/>
          <w:sz w:val="24"/>
          <w:u w:val="none" w:color="auto"/>
          <w:lang w:bidi="ar"/>
        </w:rPr>
        <w:t>本工程</w:t>
      </w:r>
      <w:r>
        <w:rPr>
          <w:rFonts w:hint="default" w:ascii="Times New Roman" w:hAnsi="Times New Roman" w:cs="Times New Roman"/>
          <w:bCs/>
          <w:color w:val="auto"/>
          <w:kern w:val="0"/>
          <w:sz w:val="24"/>
          <w:u w:val="none" w:color="auto"/>
          <w:lang w:eastAsia="zh-CN" w:bidi="ar"/>
        </w:rPr>
        <w:t>运营</w:t>
      </w:r>
      <w:r>
        <w:rPr>
          <w:rFonts w:hint="default" w:ascii="Times New Roman" w:hAnsi="Times New Roman" w:cs="Times New Roman"/>
          <w:bCs/>
          <w:color w:val="auto"/>
          <w:kern w:val="0"/>
          <w:sz w:val="24"/>
          <w:u w:val="none" w:color="auto"/>
          <w:lang w:bidi="ar"/>
        </w:rPr>
        <w:t>后，对区域的劳动就业和经济发展呈有利影响。</w:t>
      </w:r>
    </w:p>
    <w:p w14:paraId="6CDADFCD">
      <w:pPr>
        <w:numPr>
          <w:ilvl w:val="0"/>
          <w:numId w:val="2"/>
        </w:numPr>
        <w:spacing w:line="360" w:lineRule="auto"/>
        <w:ind w:firstLine="480" w:firstLineChars="200"/>
        <w:rPr>
          <w:rFonts w:hint="default" w:ascii="Times New Roman" w:hAnsi="Times New Roman" w:eastAsia="宋体" w:cs="Times New Roman"/>
          <w:bCs/>
          <w:color w:val="auto"/>
          <w:kern w:val="0"/>
          <w:sz w:val="24"/>
          <w:u w:val="none" w:color="auto"/>
          <w:lang w:eastAsia="zh-CN" w:bidi="ar"/>
        </w:rPr>
      </w:pPr>
      <w:r>
        <w:rPr>
          <w:rFonts w:hint="default" w:ascii="Times New Roman" w:hAnsi="Times New Roman" w:cs="Times New Roman"/>
          <w:bCs/>
          <w:color w:val="auto"/>
          <w:kern w:val="0"/>
          <w:sz w:val="24"/>
          <w:u w:val="none" w:color="auto"/>
          <w:lang w:bidi="ar"/>
        </w:rPr>
        <w:t>本项目</w:t>
      </w:r>
      <w:r>
        <w:rPr>
          <w:rFonts w:hint="default" w:ascii="Times New Roman" w:hAnsi="Times New Roman" w:cs="Times New Roman"/>
          <w:bCs/>
          <w:color w:val="auto"/>
          <w:kern w:val="0"/>
          <w:sz w:val="24"/>
          <w:u w:val="none" w:color="auto"/>
          <w:lang w:eastAsia="zh-CN" w:bidi="ar"/>
        </w:rPr>
        <w:t>利用</w:t>
      </w:r>
      <w:r>
        <w:rPr>
          <w:rFonts w:hint="default" w:ascii="Times New Roman" w:hAnsi="Times New Roman" w:cs="Times New Roman"/>
          <w:bCs/>
          <w:color w:val="auto"/>
          <w:kern w:val="0"/>
          <w:sz w:val="24"/>
          <w:u w:val="none" w:color="auto"/>
          <w:lang w:bidi="ar"/>
        </w:rPr>
        <w:t>现有场地进行建设。施工期主要表现在对自然环境要素产生一定程度的负面影响，主要环境影响因素为环境空气、声环境，均随着施工期的结束而消失</w:t>
      </w:r>
      <w:r>
        <w:rPr>
          <w:rFonts w:hint="default" w:ascii="Times New Roman" w:hAnsi="Times New Roman" w:cs="Times New Roman"/>
          <w:bCs/>
          <w:color w:val="auto"/>
          <w:kern w:val="0"/>
          <w:sz w:val="24"/>
          <w:u w:val="none" w:color="auto"/>
          <w:lang w:eastAsia="zh-CN" w:bidi="ar"/>
        </w:rPr>
        <w:t>。</w:t>
      </w:r>
    </w:p>
    <w:p w14:paraId="63C138EC">
      <w:pPr>
        <w:spacing w:line="360" w:lineRule="auto"/>
        <w:ind w:firstLine="480" w:firstLineChars="200"/>
        <w:rPr>
          <w:rFonts w:hint="default" w:ascii="Times New Roman" w:hAnsi="Times New Roman" w:cs="Times New Roman"/>
          <w:bCs/>
          <w:color w:val="auto"/>
          <w:kern w:val="0"/>
          <w:sz w:val="24"/>
          <w:u w:val="none" w:color="auto"/>
          <w:lang w:bidi="ar"/>
        </w:rPr>
      </w:pPr>
      <w:r>
        <w:rPr>
          <w:rFonts w:hint="default" w:ascii="Times New Roman" w:hAnsi="Times New Roman" w:cs="Times New Roman"/>
          <w:bCs/>
          <w:color w:val="auto"/>
          <w:kern w:val="0"/>
          <w:sz w:val="24"/>
          <w:u w:val="none" w:color="auto"/>
          <w:lang w:bidi="ar"/>
        </w:rPr>
        <w:t>（3）营运期的主要环境影响：废气排放对环境空气质量的影响；废水对水环境质量的影响；生产设备运转等产生的噪声对环境的影响。</w:t>
      </w:r>
    </w:p>
    <w:p w14:paraId="5D7B137D">
      <w:pPr>
        <w:pStyle w:val="20"/>
        <w:ind w:firstLine="482"/>
        <w:rPr>
          <w:rFonts w:hint="default" w:ascii="Times New Roman" w:hAnsi="Times New Roman" w:cs="Times New Roman"/>
          <w:color w:val="auto"/>
          <w:u w:val="none" w:color="auto"/>
        </w:rPr>
      </w:pPr>
      <w:r>
        <w:rPr>
          <w:rFonts w:hint="default" w:ascii="Times New Roman" w:hAnsi="Times New Roman" w:cs="Times New Roman"/>
          <w:b/>
          <w:bCs/>
          <w:color w:val="auto"/>
          <w:u w:val="none" w:color="auto"/>
        </w:rPr>
        <w:t>2、污染因子筛选</w:t>
      </w:r>
    </w:p>
    <w:p w14:paraId="7D85D2C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废气污染源为：项目生产装置在正常运行情况下产生的</w:t>
      </w:r>
      <w:r>
        <w:rPr>
          <w:rFonts w:hint="eastAsia" w:ascii="Times New Roman" w:hAnsi="Times New Roman" w:cs="Times New Roman"/>
          <w:color w:val="auto"/>
          <w:u w:val="none" w:color="auto"/>
          <w:lang w:val="en-US" w:eastAsia="zh-CN"/>
        </w:rPr>
        <w:t>颗粒物</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非甲烷总烃</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氯化氢、二甲苯和臭气浓度</w:t>
      </w:r>
      <w:r>
        <w:rPr>
          <w:rFonts w:hint="default" w:ascii="Times New Roman" w:hAnsi="Times New Roman" w:cs="Times New Roman"/>
          <w:color w:val="auto"/>
          <w:u w:val="none" w:color="auto"/>
        </w:rPr>
        <w:t>。</w:t>
      </w:r>
    </w:p>
    <w:p w14:paraId="6191F974">
      <w:pPr>
        <w:pStyle w:val="20"/>
        <w:ind w:firstLine="48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废水污染源为：循环冷却水、生活污水。</w:t>
      </w:r>
    </w:p>
    <w:p w14:paraId="6147FE1E">
      <w:pPr>
        <w:pStyle w:val="20"/>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固体废物主要来源：（1）职工办公</w:t>
      </w:r>
      <w:bookmarkStart w:id="369" w:name="OLE_LINK58"/>
      <w:r>
        <w:rPr>
          <w:rFonts w:hint="default" w:ascii="Times New Roman" w:hAnsi="Times New Roman" w:cs="Times New Roman"/>
          <w:color w:val="auto"/>
          <w:highlight w:val="none"/>
          <w:u w:val="none" w:color="auto"/>
        </w:rPr>
        <w:t>生活垃圾</w:t>
      </w:r>
      <w:bookmarkEnd w:id="369"/>
      <w:r>
        <w:rPr>
          <w:rFonts w:hint="default" w:ascii="Times New Roman" w:hAnsi="Times New Roman" w:cs="Times New Roman"/>
          <w:color w:val="auto"/>
          <w:highlight w:val="none"/>
          <w:u w:val="none" w:color="auto"/>
        </w:rPr>
        <w:t>；（</w:t>
      </w:r>
      <w:r>
        <w:rPr>
          <w:rFonts w:hint="eastAsia" w:ascii="Times New Roman" w:hAnsi="Times New Roman" w:cs="Times New Roman"/>
          <w:color w:val="auto"/>
          <w:highlight w:val="none"/>
          <w:u w:val="none" w:color="auto"/>
          <w:lang w:val="en-US" w:eastAsia="zh-CN"/>
        </w:rPr>
        <w:t>2</w:t>
      </w:r>
      <w:r>
        <w:rPr>
          <w:rFonts w:hint="default" w:ascii="Times New Roman" w:hAnsi="Times New Roman" w:cs="Times New Roman"/>
          <w:color w:val="auto"/>
          <w:highlight w:val="none"/>
          <w:u w:val="none" w:color="auto"/>
        </w:rPr>
        <w:t>）</w:t>
      </w:r>
      <w:r>
        <w:rPr>
          <w:rFonts w:hint="eastAsia" w:ascii="Times New Roman" w:hAnsi="Times New Roman" w:cs="Times New Roman"/>
          <w:color w:val="auto"/>
          <w:kern w:val="2"/>
          <w:szCs w:val="24"/>
          <w:highlight w:val="none"/>
          <w:u w:val="none" w:color="auto"/>
          <w:lang w:val="en-US" w:eastAsia="zh-CN"/>
        </w:rPr>
        <w:t>废弃包装物、沉淀池沉渣等</w:t>
      </w:r>
      <w:r>
        <w:rPr>
          <w:rFonts w:hint="default" w:ascii="Times New Roman" w:hAnsi="Times New Roman" w:cs="Times New Roman"/>
          <w:color w:val="auto"/>
          <w:highlight w:val="none"/>
          <w:u w:val="none" w:color="auto"/>
        </w:rPr>
        <w:t>；（</w:t>
      </w:r>
      <w:r>
        <w:rPr>
          <w:rFonts w:hint="eastAsia" w:cs="Times New Roman"/>
          <w:color w:val="auto"/>
          <w:highlight w:val="none"/>
          <w:u w:val="none" w:color="auto"/>
          <w:lang w:val="en-US" w:eastAsia="zh-CN"/>
        </w:rPr>
        <w:t>3</w:t>
      </w:r>
      <w:r>
        <w:rPr>
          <w:rFonts w:hint="default" w:ascii="Times New Roman" w:hAnsi="Times New Roman" w:cs="Times New Roman"/>
          <w:color w:val="auto"/>
          <w:highlight w:val="none"/>
          <w:u w:val="none" w:color="auto"/>
        </w:rPr>
        <w:t>）危险废物</w:t>
      </w:r>
      <w:r>
        <w:rPr>
          <w:rFonts w:hint="default"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如废活性炭</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废矿物油等</w:t>
      </w:r>
      <w:r>
        <w:rPr>
          <w:rFonts w:hint="default" w:ascii="Times New Roman" w:hAnsi="Times New Roman" w:cs="Times New Roman"/>
          <w:color w:val="auto"/>
          <w:highlight w:val="none"/>
          <w:u w:val="none" w:color="auto"/>
        </w:rPr>
        <w:t>。</w:t>
      </w:r>
    </w:p>
    <w:p w14:paraId="6315B65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噪声污染源：项目噪声主要来自于较大功率的机械设备，如</w:t>
      </w:r>
      <w:r>
        <w:rPr>
          <w:rFonts w:hint="eastAsia" w:ascii="Times New Roman" w:hAnsi="Times New Roman" w:cs="Times New Roman"/>
          <w:color w:val="auto"/>
          <w:u w:val="none" w:color="auto"/>
          <w:lang w:val="en-US" w:eastAsia="zh-CN"/>
        </w:rPr>
        <w:t>风</w:t>
      </w:r>
      <w:r>
        <w:rPr>
          <w:rFonts w:hint="default" w:ascii="Times New Roman" w:hAnsi="Times New Roman" w:cs="Times New Roman"/>
          <w:color w:val="auto"/>
          <w:u w:val="none" w:color="auto"/>
        </w:rPr>
        <w:t>机</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水泵</w:t>
      </w:r>
      <w:r>
        <w:rPr>
          <w:rFonts w:hint="default" w:ascii="Times New Roman" w:hAnsi="Times New Roman" w:cs="Times New Roman"/>
          <w:color w:val="auto"/>
          <w:u w:val="none" w:color="auto"/>
        </w:rPr>
        <w:t>等。</w:t>
      </w:r>
    </w:p>
    <w:p w14:paraId="63FCFDF9">
      <w:pPr>
        <w:spacing w:line="360" w:lineRule="auto"/>
        <w:ind w:firstLine="482" w:firstLineChars="200"/>
        <w:rPr>
          <w:rFonts w:hint="default" w:ascii="Times New Roman" w:hAnsi="Times New Roman" w:cs="Times New Roman"/>
          <w:b/>
          <w:color w:val="auto"/>
          <w:kern w:val="0"/>
          <w:sz w:val="24"/>
          <w:u w:val="none" w:color="auto"/>
          <w:lang w:bidi="ar"/>
        </w:rPr>
      </w:pPr>
      <w:r>
        <w:rPr>
          <w:rFonts w:hint="default" w:ascii="Times New Roman" w:hAnsi="Times New Roman" w:cs="Times New Roman"/>
          <w:b/>
          <w:color w:val="auto"/>
          <w:kern w:val="0"/>
          <w:sz w:val="24"/>
          <w:u w:val="none" w:color="auto"/>
          <w:lang w:bidi="ar"/>
        </w:rPr>
        <w:t>3</w:t>
      </w:r>
      <w:r>
        <w:rPr>
          <w:rFonts w:hint="default" w:ascii="Times New Roman" w:hAnsi="Times New Roman" w:cs="Times New Roman"/>
          <w:b/>
          <w:bCs/>
          <w:color w:val="auto"/>
          <w:sz w:val="24"/>
          <w:u w:val="none" w:color="auto"/>
        </w:rPr>
        <w:t>、评价因子</w:t>
      </w:r>
    </w:p>
    <w:p w14:paraId="3DBDB88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根据工程分析，结合环境影响因素的识别，确定本次评价工作的评价因子如</w:t>
      </w:r>
      <w:r>
        <w:rPr>
          <w:rFonts w:hint="default" w:ascii="Times New Roman" w:hAnsi="Times New Roman" w:cs="Times New Roman"/>
          <w:color w:val="auto"/>
          <w:u w:val="none" w:color="auto"/>
          <w:lang w:eastAsia="zh-CN"/>
        </w:rPr>
        <w:t>下</w:t>
      </w:r>
      <w:r>
        <w:rPr>
          <w:rFonts w:hint="default" w:ascii="Times New Roman" w:hAnsi="Times New Roman" w:cs="Times New Roman"/>
          <w:color w:val="auto"/>
          <w:u w:val="none" w:color="auto"/>
        </w:rPr>
        <w:t>表所示。通过项目运营期产生的污染源和影响分析，根据项目所在地的环境特征和环保目标与功能等级及敏感程度，并参照环境影响识别结果，筛选出评价因子，详见下表2.2-</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p>
    <w:p w14:paraId="42E3D46A">
      <w:pPr>
        <w:pStyle w:val="22"/>
        <w:bidi w:val="0"/>
        <w:rPr>
          <w:rFonts w:hint="default"/>
          <w:color w:val="auto"/>
          <w:u w:val="none" w:color="auto"/>
        </w:rPr>
      </w:pPr>
      <w:r>
        <w:rPr>
          <w:rFonts w:hint="default"/>
          <w:color w:val="auto"/>
          <w:u w:val="none" w:color="auto"/>
        </w:rPr>
        <w:t>表2.2-</w:t>
      </w:r>
      <w:r>
        <w:rPr>
          <w:rFonts w:hint="eastAsia"/>
          <w:color w:val="auto"/>
          <w:u w:val="none" w:color="auto"/>
          <w:lang w:val="en-US" w:eastAsia="zh-CN"/>
        </w:rPr>
        <w:t>2</w:t>
      </w:r>
      <w:r>
        <w:rPr>
          <w:rFonts w:hint="default"/>
          <w:color w:val="auto"/>
          <w:u w:val="none" w:color="auto"/>
        </w:rPr>
        <w:t xml:space="preserve"> 评价因子筛选</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2"/>
        <w:gridCol w:w="7402"/>
      </w:tblGrid>
      <w:tr w14:paraId="65DA35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tcBorders>
              <w:top w:val="single" w:color="auto" w:sz="12" w:space="0"/>
              <w:left w:val="single" w:color="auto" w:sz="12" w:space="0"/>
              <w:bottom w:val="single" w:color="auto" w:sz="6" w:space="0"/>
              <w:right w:val="single" w:color="auto" w:sz="6" w:space="0"/>
            </w:tcBorders>
            <w:noWrap w:val="0"/>
            <w:vAlign w:val="center"/>
          </w:tcPr>
          <w:p w14:paraId="1C67845E">
            <w:pPr>
              <w:pStyle w:val="24"/>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评价要素</w:t>
            </w:r>
          </w:p>
        </w:tc>
        <w:tc>
          <w:tcPr>
            <w:tcW w:w="7402" w:type="dxa"/>
            <w:tcBorders>
              <w:top w:val="single" w:color="auto" w:sz="12" w:space="0"/>
              <w:left w:val="single" w:color="auto" w:sz="6" w:space="0"/>
              <w:bottom w:val="single" w:color="auto" w:sz="6" w:space="0"/>
              <w:right w:val="single" w:color="auto" w:sz="12" w:space="0"/>
            </w:tcBorders>
            <w:noWrap w:val="0"/>
            <w:vAlign w:val="center"/>
          </w:tcPr>
          <w:p w14:paraId="1D79D58C">
            <w:pPr>
              <w:pStyle w:val="24"/>
              <w:rPr>
                <w:rFonts w:hint="default" w:ascii="Times New Roman" w:hAnsi="Times New Roman" w:cs="Times New Roman"/>
                <w:b/>
                <w:bCs/>
                <w:color w:val="auto"/>
                <w:highlight w:val="none"/>
                <w:u w:val="none" w:color="auto"/>
              </w:rPr>
            </w:pPr>
            <w:r>
              <w:rPr>
                <w:rFonts w:hint="default" w:ascii="Times New Roman" w:hAnsi="Times New Roman" w:cs="Times New Roman"/>
                <w:b/>
                <w:bCs/>
                <w:color w:val="auto"/>
                <w:highlight w:val="none"/>
                <w:u w:val="none" w:color="auto"/>
              </w:rPr>
              <w:t>评价因子</w:t>
            </w:r>
          </w:p>
        </w:tc>
      </w:tr>
      <w:tr w14:paraId="2E90F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restart"/>
            <w:tcBorders>
              <w:top w:val="single" w:color="auto" w:sz="6" w:space="0"/>
              <w:left w:val="single" w:color="auto" w:sz="12" w:space="0"/>
              <w:bottom w:val="single" w:color="auto" w:sz="6" w:space="0"/>
              <w:right w:val="single" w:color="auto" w:sz="6" w:space="0"/>
            </w:tcBorders>
            <w:noWrap w:val="0"/>
            <w:vAlign w:val="center"/>
          </w:tcPr>
          <w:p w14:paraId="566566CD">
            <w:pPr>
              <w:pStyle w:val="24"/>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大气环境</w:t>
            </w: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0095EE0D">
            <w:pPr>
              <w:pStyle w:val="24"/>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pt-BR"/>
              </w:rPr>
              <w:t>环境质量现状评价因子：</w:t>
            </w:r>
            <w:r>
              <w:rPr>
                <w:rFonts w:hint="default" w:ascii="Times New Roman" w:hAnsi="Times New Roman" w:cs="Times New Roman"/>
                <w:color w:val="auto"/>
                <w:kern w:val="2"/>
                <w:szCs w:val="21"/>
                <w:highlight w:val="none"/>
                <w:u w:val="none" w:color="auto"/>
              </w:rPr>
              <w:t>SO</w:t>
            </w:r>
            <w:r>
              <w:rPr>
                <w:rFonts w:hint="default" w:ascii="Times New Roman" w:hAnsi="Times New Roman" w:cs="Times New Roman"/>
                <w:color w:val="auto"/>
                <w:kern w:val="2"/>
                <w:szCs w:val="21"/>
                <w:highlight w:val="none"/>
                <w:u w:val="none" w:color="auto"/>
                <w:vertAlign w:val="subscript"/>
              </w:rPr>
              <w:t>2</w:t>
            </w:r>
            <w:r>
              <w:rPr>
                <w:rFonts w:hint="default" w:ascii="Times New Roman" w:hAnsi="Times New Roman" w:cs="Times New Roman"/>
                <w:color w:val="auto"/>
                <w:kern w:val="2"/>
                <w:szCs w:val="21"/>
                <w:highlight w:val="none"/>
                <w:u w:val="none" w:color="auto"/>
              </w:rPr>
              <w:t>、NO</w:t>
            </w:r>
            <w:r>
              <w:rPr>
                <w:rFonts w:hint="default" w:ascii="Times New Roman" w:hAnsi="Times New Roman" w:cs="Times New Roman"/>
                <w:color w:val="auto"/>
                <w:kern w:val="2"/>
                <w:szCs w:val="21"/>
                <w:highlight w:val="none"/>
                <w:u w:val="none" w:color="auto"/>
                <w:vertAlign w:val="subscript"/>
              </w:rPr>
              <w:t>2</w:t>
            </w:r>
            <w:r>
              <w:rPr>
                <w:rFonts w:hint="default" w:ascii="Times New Roman" w:hAnsi="Times New Roman" w:cs="Times New Roman"/>
                <w:color w:val="auto"/>
                <w:highlight w:val="none"/>
                <w:u w:val="none" w:color="auto"/>
              </w:rPr>
              <w:t>、CO、O</w:t>
            </w:r>
            <w:r>
              <w:rPr>
                <w:rFonts w:hint="default" w:ascii="Times New Roman" w:hAnsi="Times New Roman" w:cs="Times New Roman"/>
                <w:color w:val="auto"/>
                <w:highlight w:val="none"/>
                <w:u w:val="none" w:color="auto"/>
                <w:vertAlign w:val="subscript"/>
              </w:rPr>
              <w:t>3</w:t>
            </w:r>
            <w:r>
              <w:rPr>
                <w:rFonts w:hint="default" w:ascii="Times New Roman" w:hAnsi="Times New Roman" w:cs="Times New Roman"/>
                <w:color w:val="auto"/>
                <w:highlight w:val="none"/>
                <w:u w:val="none" w:color="auto"/>
              </w:rPr>
              <w:t>、PM</w:t>
            </w:r>
            <w:r>
              <w:rPr>
                <w:rFonts w:hint="default" w:ascii="Times New Roman" w:hAnsi="Times New Roman" w:cs="Times New Roman"/>
                <w:color w:val="auto"/>
                <w:highlight w:val="none"/>
                <w:u w:val="none" w:color="auto"/>
                <w:vertAlign w:val="subscript"/>
              </w:rPr>
              <w:t>10</w:t>
            </w:r>
            <w:r>
              <w:rPr>
                <w:rFonts w:hint="default" w:ascii="Times New Roman" w:hAnsi="Times New Roman" w:cs="Times New Roman"/>
                <w:color w:val="auto"/>
                <w:highlight w:val="none"/>
                <w:u w:val="none" w:color="auto"/>
              </w:rPr>
              <w:t>、PM</w:t>
            </w:r>
            <w:r>
              <w:rPr>
                <w:rFonts w:hint="default" w:ascii="Times New Roman" w:hAnsi="Times New Roman" w:cs="Times New Roman"/>
                <w:color w:val="auto"/>
                <w:highlight w:val="none"/>
                <w:u w:val="none" w:color="auto"/>
                <w:vertAlign w:val="subscript"/>
              </w:rPr>
              <w:t>2.5</w:t>
            </w:r>
            <w:r>
              <w:rPr>
                <w:rFonts w:hint="default" w:ascii="Times New Roman" w:hAnsi="Times New Roman" w:cs="Times New Roman"/>
                <w:color w:val="auto"/>
                <w:highlight w:val="none"/>
                <w:u w:val="none" w:color="auto"/>
                <w:vertAlign w:val="baseline"/>
                <w:lang w:eastAsia="zh-CN"/>
              </w:rPr>
              <w:t>、</w:t>
            </w:r>
            <w:r>
              <w:rPr>
                <w:rFonts w:hint="default" w:ascii="Times New Roman" w:hAnsi="Times New Roman" w:cs="Times New Roman"/>
                <w:color w:val="auto"/>
                <w:highlight w:val="none"/>
                <w:u w:val="none" w:color="auto"/>
                <w:vertAlign w:val="baseline"/>
                <w:lang w:val="en-US" w:eastAsia="zh-CN"/>
              </w:rPr>
              <w:t>TSP、</w:t>
            </w:r>
            <w:r>
              <w:rPr>
                <w:rFonts w:hint="eastAsia" w:ascii="Times New Roman" w:hAnsi="Times New Roman" w:cs="Times New Roman"/>
                <w:color w:val="auto"/>
                <w:highlight w:val="none"/>
                <w:u w:val="none" w:color="auto"/>
                <w:vertAlign w:val="baseline"/>
                <w:lang w:val="en-US" w:eastAsia="zh-CN"/>
              </w:rPr>
              <w:t>非甲烷总烃、</w:t>
            </w:r>
            <w:r>
              <w:rPr>
                <w:rFonts w:hint="default" w:ascii="Times New Roman" w:hAnsi="Times New Roman" w:cs="Times New Roman"/>
                <w:color w:val="auto"/>
                <w:highlight w:val="none"/>
                <w:u w:val="none" w:color="auto"/>
                <w:vertAlign w:val="baseline"/>
                <w:lang w:val="en-US" w:eastAsia="zh-CN"/>
              </w:rPr>
              <w:t>TVOC</w:t>
            </w:r>
            <w:r>
              <w:rPr>
                <w:rFonts w:hint="eastAsia" w:ascii="Times New Roman" w:hAnsi="Times New Roman" w:cs="Times New Roman"/>
                <w:color w:val="auto"/>
                <w:highlight w:val="none"/>
                <w:u w:val="none" w:color="auto"/>
                <w:vertAlign w:val="baseline"/>
                <w:lang w:val="en-US" w:eastAsia="zh-CN"/>
              </w:rPr>
              <w:t>、氯化氢、二甲苯、臭气浓度</w:t>
            </w:r>
          </w:p>
        </w:tc>
      </w:tr>
      <w:tr w14:paraId="3531F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continue"/>
            <w:tcBorders>
              <w:top w:val="single" w:color="auto" w:sz="6" w:space="0"/>
              <w:left w:val="single" w:color="auto" w:sz="12" w:space="0"/>
              <w:bottom w:val="single" w:color="auto" w:sz="6" w:space="0"/>
              <w:right w:val="single" w:color="auto" w:sz="6" w:space="0"/>
            </w:tcBorders>
            <w:noWrap w:val="0"/>
            <w:vAlign w:val="center"/>
          </w:tcPr>
          <w:p w14:paraId="3A1158F9">
            <w:pPr>
              <w:pStyle w:val="24"/>
              <w:rPr>
                <w:rFonts w:hint="default" w:ascii="Times New Roman" w:hAnsi="Times New Roman" w:cs="Times New Roman"/>
                <w:color w:val="auto"/>
                <w:highlight w:val="none"/>
                <w:u w:val="none" w:color="auto"/>
              </w:rPr>
            </w:pP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1485B0F7">
            <w:pPr>
              <w:pStyle w:val="24"/>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pt-BR"/>
              </w:rPr>
              <w:t>影响预测因子</w:t>
            </w:r>
            <w:r>
              <w:rPr>
                <w:rFonts w:hint="eastAsia" w:cs="Times New Roman"/>
                <w:color w:val="auto"/>
                <w:highlight w:val="none"/>
                <w:u w:val="none" w:color="auto"/>
                <w:lang w:val="pt-BR" w:eastAsia="zh-CN"/>
              </w:rPr>
              <w:t>：</w:t>
            </w:r>
            <w:r>
              <w:rPr>
                <w:rFonts w:hint="default" w:ascii="Times New Roman" w:hAnsi="Times New Roman" w:cs="Times New Roman"/>
                <w:color w:val="auto"/>
                <w:highlight w:val="none"/>
                <w:u w:val="none" w:color="auto"/>
              </w:rPr>
              <w:t>PM</w:t>
            </w:r>
            <w:r>
              <w:rPr>
                <w:rFonts w:hint="default" w:ascii="Times New Roman" w:hAnsi="Times New Roman" w:cs="Times New Roman"/>
                <w:color w:val="auto"/>
                <w:highlight w:val="none"/>
                <w:u w:val="none" w:color="auto"/>
                <w:vertAlign w:val="subscript"/>
              </w:rPr>
              <w:t>10</w:t>
            </w:r>
            <w:r>
              <w:rPr>
                <w:rFonts w:hint="default" w:ascii="Times New Roman" w:hAnsi="Times New Roman" w:cs="Times New Roman"/>
                <w:color w:val="auto"/>
                <w:highlight w:val="none"/>
                <w:u w:val="none" w:color="auto"/>
                <w:lang w:val="pt-BR" w:eastAsia="zh-CN"/>
              </w:rPr>
              <w:t>、</w:t>
            </w:r>
            <w:r>
              <w:rPr>
                <w:rFonts w:hint="eastAsia" w:cs="Times New Roman"/>
                <w:color w:val="auto"/>
                <w:highlight w:val="none"/>
                <w:u w:val="none" w:color="auto"/>
                <w:lang w:val="en-US" w:eastAsia="zh-CN"/>
              </w:rPr>
              <w:t>TSP、</w:t>
            </w:r>
            <w:r>
              <w:rPr>
                <w:rFonts w:hint="default" w:ascii="Times New Roman" w:hAnsi="Times New Roman" w:cs="Times New Roman"/>
                <w:color w:val="auto"/>
                <w:highlight w:val="none"/>
                <w:u w:val="none" w:color="auto"/>
                <w:vertAlign w:val="baseline"/>
                <w:lang w:val="en-US" w:eastAsia="zh-CN"/>
              </w:rPr>
              <w:t>TVOC</w:t>
            </w:r>
            <w:r>
              <w:rPr>
                <w:rFonts w:hint="eastAsia" w:ascii="Times New Roman" w:hAnsi="Times New Roman" w:cs="Times New Roman"/>
                <w:color w:val="auto"/>
                <w:highlight w:val="none"/>
                <w:u w:val="none" w:color="auto"/>
                <w:vertAlign w:val="baseline"/>
                <w:lang w:val="en-US" w:eastAsia="zh-CN"/>
              </w:rPr>
              <w:t>、氯化氢、二甲苯</w:t>
            </w:r>
          </w:p>
        </w:tc>
      </w:tr>
      <w:tr w14:paraId="3D8FBD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restart"/>
            <w:tcBorders>
              <w:top w:val="single" w:color="auto" w:sz="6" w:space="0"/>
              <w:left w:val="single" w:color="auto" w:sz="12" w:space="0"/>
              <w:bottom w:val="single" w:color="auto" w:sz="6" w:space="0"/>
              <w:right w:val="single" w:color="auto" w:sz="6" w:space="0"/>
            </w:tcBorders>
            <w:noWrap w:val="0"/>
            <w:vAlign w:val="center"/>
          </w:tcPr>
          <w:p w14:paraId="28DBE781">
            <w:pPr>
              <w:pStyle w:val="24"/>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地表水环境</w:t>
            </w: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74200AAC">
            <w:pPr>
              <w:pStyle w:val="24"/>
              <w:rPr>
                <w:rFonts w:hint="eastAsia"/>
                <w:color w:val="auto"/>
                <w:highlight w:val="none"/>
                <w:u w:val="none" w:color="auto"/>
                <w:lang w:val="en-US" w:eastAsia="zh-CN"/>
              </w:rPr>
            </w:pPr>
            <w:r>
              <w:rPr>
                <w:rFonts w:hint="default" w:ascii="Times New Roman" w:hAnsi="Times New Roman" w:cs="Times New Roman"/>
                <w:color w:val="auto"/>
                <w:highlight w:val="none"/>
                <w:u w:val="none" w:color="auto"/>
                <w:lang w:val="pt-BR"/>
              </w:rPr>
              <w:t>环境质量现状评价因子：</w:t>
            </w:r>
            <w:r>
              <w:rPr>
                <w:rFonts w:hint="eastAsia"/>
                <w:color w:val="auto"/>
                <w:highlight w:val="none"/>
                <w:u w:val="none" w:color="auto"/>
                <w:lang w:val="en-US" w:eastAsia="zh-CN"/>
              </w:rPr>
              <w:t>pH、SS、溶解氧、高锰酸盐指数、CODcr、BOD</w:t>
            </w:r>
            <w:r>
              <w:rPr>
                <w:rFonts w:hint="eastAsia"/>
                <w:color w:val="auto"/>
                <w:highlight w:val="none"/>
                <w:u w:val="none" w:color="auto"/>
                <w:vertAlign w:val="subscript"/>
                <w:lang w:val="en-US" w:eastAsia="zh-CN"/>
              </w:rPr>
              <w:t>5</w:t>
            </w:r>
            <w:r>
              <w:rPr>
                <w:rFonts w:hint="eastAsia"/>
                <w:color w:val="auto"/>
                <w:highlight w:val="none"/>
                <w:u w:val="none" w:color="auto"/>
                <w:lang w:val="en-US" w:eastAsia="zh-CN"/>
              </w:rPr>
              <w:t>、</w:t>
            </w:r>
          </w:p>
          <w:p w14:paraId="32FF54B0">
            <w:pPr>
              <w:pStyle w:val="24"/>
              <w:rPr>
                <w:rFonts w:hint="eastAsia"/>
                <w:color w:val="auto"/>
                <w:highlight w:val="none"/>
                <w:u w:val="none" w:color="auto"/>
                <w:lang w:val="en-US" w:eastAsia="zh-CN"/>
              </w:rPr>
            </w:pPr>
            <w:r>
              <w:rPr>
                <w:rFonts w:hint="eastAsia"/>
                <w:color w:val="auto"/>
                <w:highlight w:val="none"/>
                <w:u w:val="none" w:color="auto"/>
                <w:lang w:val="en-US" w:eastAsia="zh-CN"/>
              </w:rPr>
              <w:t>NH</w:t>
            </w:r>
            <w:r>
              <w:rPr>
                <w:rFonts w:hint="eastAsia"/>
                <w:color w:val="auto"/>
                <w:highlight w:val="none"/>
                <w:u w:val="none" w:color="auto"/>
                <w:vertAlign w:val="subscript"/>
                <w:lang w:val="en-US" w:eastAsia="zh-CN"/>
              </w:rPr>
              <w:t>3</w:t>
            </w:r>
            <w:r>
              <w:rPr>
                <w:rFonts w:hint="eastAsia"/>
                <w:color w:val="auto"/>
                <w:highlight w:val="none"/>
                <w:u w:val="none" w:color="auto"/>
                <w:lang w:val="en-US" w:eastAsia="zh-CN"/>
              </w:rPr>
              <w:t>-N、总磷、总氮、总铜、总锌、挥发酚、石油类、氟化物、氰化物、铅、</w:t>
            </w:r>
          </w:p>
          <w:p w14:paraId="5C6305AC">
            <w:pPr>
              <w:pStyle w:val="24"/>
              <w:rPr>
                <w:rFonts w:hint="default" w:ascii="Times New Roman" w:hAnsi="Times New Roman" w:cs="Times New Roman"/>
                <w:color w:val="auto"/>
                <w:highlight w:val="none"/>
                <w:u w:val="none" w:color="auto"/>
              </w:rPr>
            </w:pPr>
            <w:r>
              <w:rPr>
                <w:rFonts w:hint="eastAsia"/>
                <w:color w:val="auto"/>
                <w:highlight w:val="none"/>
                <w:u w:val="none" w:color="auto"/>
                <w:lang w:val="en-US" w:eastAsia="zh-CN"/>
              </w:rPr>
              <w:t>镉、汞、砷、六价铬、镍、钴、锰、锑、铊、粪大肠菌群、硫化物</w:t>
            </w:r>
          </w:p>
        </w:tc>
      </w:tr>
      <w:tr w14:paraId="36074A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continue"/>
            <w:tcBorders>
              <w:top w:val="single" w:color="auto" w:sz="6" w:space="0"/>
              <w:left w:val="single" w:color="auto" w:sz="12" w:space="0"/>
              <w:bottom w:val="single" w:color="auto" w:sz="6" w:space="0"/>
              <w:right w:val="single" w:color="auto" w:sz="6" w:space="0"/>
            </w:tcBorders>
            <w:noWrap w:val="0"/>
            <w:vAlign w:val="center"/>
          </w:tcPr>
          <w:p w14:paraId="4DB93CA7">
            <w:pPr>
              <w:pStyle w:val="24"/>
              <w:rPr>
                <w:rFonts w:hint="default" w:ascii="Times New Roman" w:hAnsi="Times New Roman" w:cs="Times New Roman"/>
                <w:color w:val="auto"/>
                <w:highlight w:val="none"/>
                <w:u w:val="none" w:color="auto"/>
              </w:rPr>
            </w:pP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104F4945">
            <w:pPr>
              <w:pStyle w:val="24"/>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pt-BR"/>
              </w:rPr>
              <w:t>影响预测因子：</w:t>
            </w:r>
            <w:r>
              <w:rPr>
                <w:rFonts w:hint="default" w:ascii="Times New Roman" w:hAnsi="Times New Roman" w:cs="Times New Roman"/>
                <w:color w:val="auto"/>
                <w:highlight w:val="none"/>
                <w:u w:val="none" w:color="auto"/>
                <w:lang w:val="en-US" w:eastAsia="zh-CN"/>
              </w:rPr>
              <w:t>/</w:t>
            </w:r>
          </w:p>
        </w:tc>
      </w:tr>
      <w:tr w14:paraId="4BFA76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restart"/>
            <w:tcBorders>
              <w:top w:val="single" w:color="auto" w:sz="6" w:space="0"/>
              <w:left w:val="single" w:color="auto" w:sz="12" w:space="0"/>
              <w:right w:val="single" w:color="auto" w:sz="6" w:space="0"/>
            </w:tcBorders>
            <w:noWrap w:val="0"/>
            <w:vAlign w:val="center"/>
          </w:tcPr>
          <w:p w14:paraId="0699BA4C">
            <w:pPr>
              <w:pStyle w:val="24"/>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地下水环境</w:t>
            </w: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446497AA">
            <w:pPr>
              <w:pStyle w:val="24"/>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pt-BR"/>
              </w:rPr>
              <w:t>环境质量现状评价因子：</w:t>
            </w:r>
            <w:r>
              <w:rPr>
                <w:rFonts w:hint="default" w:ascii="Times New Roman" w:hAnsi="Times New Roman" w:eastAsia="宋体" w:cs="Times New Roman"/>
                <w:color w:val="auto"/>
                <w:kern w:val="2"/>
                <w:sz w:val="21"/>
                <w:szCs w:val="21"/>
                <w:lang w:val="en-US" w:eastAsia="zh-CN" w:bidi="ar-SA"/>
              </w:rPr>
              <w:t>水位、K</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、Na</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、Ca</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、Mg</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、CO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、HCO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、氯化物（以Cl</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计）、硫酸盐（以SO</w:t>
            </w:r>
            <w:r>
              <w:rPr>
                <w:rFonts w:hint="default" w:ascii="Times New Roman" w:hAnsi="Times New Roman" w:eastAsia="宋体" w:cs="Times New Roman"/>
                <w:color w:val="auto"/>
                <w:kern w:val="2"/>
                <w:sz w:val="21"/>
                <w:szCs w:val="21"/>
                <w:vertAlign w:val="subscript"/>
                <w:lang w:val="en-US" w:eastAsia="zh-CN" w:bidi="ar-SA"/>
              </w:rPr>
              <w:t>4</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计）、pH值、溶解性总固体、总硬度、耗氧量（CODMn法）、硝酸盐、亚硝酸盐、氨氮</w:t>
            </w:r>
            <w:r>
              <w:rPr>
                <w:rFonts w:hint="eastAsia" w:ascii="Times New Roman" w:hAnsi="Times New Roman" w:eastAsia="宋体" w:cs="Times New Roman"/>
                <w:color w:val="auto"/>
                <w:kern w:val="2"/>
                <w:sz w:val="21"/>
                <w:szCs w:val="21"/>
                <w:lang w:val="en-US" w:eastAsia="zh-CN" w:bidi="ar-SA"/>
              </w:rPr>
              <w:t>、</w:t>
            </w:r>
            <w:r>
              <w:rPr>
                <w:rFonts w:hint="eastAsia"/>
                <w:lang w:val="en-US" w:eastAsia="zh-CN"/>
              </w:rPr>
              <w:t>挥发酚</w:t>
            </w:r>
          </w:p>
        </w:tc>
      </w:tr>
      <w:tr w14:paraId="267F4D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continue"/>
            <w:tcBorders>
              <w:left w:val="single" w:color="auto" w:sz="12" w:space="0"/>
              <w:bottom w:val="single" w:color="auto" w:sz="6" w:space="0"/>
              <w:right w:val="single" w:color="auto" w:sz="6" w:space="0"/>
            </w:tcBorders>
            <w:noWrap w:val="0"/>
            <w:vAlign w:val="center"/>
          </w:tcPr>
          <w:p w14:paraId="5814E5E0">
            <w:pPr>
              <w:pStyle w:val="24"/>
              <w:rPr>
                <w:rFonts w:hint="default" w:ascii="Times New Roman" w:hAnsi="Times New Roman" w:cs="Times New Roman"/>
                <w:color w:val="auto"/>
                <w:highlight w:val="none"/>
                <w:u w:val="none" w:color="auto"/>
              </w:rPr>
            </w:pP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6B67DB29">
            <w:pPr>
              <w:pStyle w:val="24"/>
              <w:rPr>
                <w:rFonts w:hint="default" w:ascii="Times New Roman" w:hAnsi="Times New Roman" w:eastAsia="宋体" w:cs="Times New Roman"/>
                <w:color w:val="auto"/>
                <w:highlight w:val="none"/>
                <w:u w:val="none" w:color="auto"/>
                <w:lang w:val="en-US" w:eastAsia="zh-CN"/>
              </w:rPr>
            </w:pPr>
            <w:r>
              <w:rPr>
                <w:rFonts w:hint="default" w:ascii="Times New Roman" w:hAnsi="Times New Roman" w:cs="Times New Roman"/>
                <w:color w:val="auto"/>
                <w:highlight w:val="none"/>
                <w:u w:val="none" w:color="auto"/>
                <w:lang w:val="pt-BR"/>
              </w:rPr>
              <w:t>影响预测因子：</w:t>
            </w:r>
            <w:r>
              <w:rPr>
                <w:rFonts w:hint="eastAsia" w:cs="Times New Roman"/>
                <w:color w:val="auto"/>
                <w:highlight w:val="none"/>
                <w:u w:val="none" w:color="auto"/>
                <w:lang w:val="en-US" w:eastAsia="zh-CN"/>
              </w:rPr>
              <w:t>/</w:t>
            </w:r>
          </w:p>
        </w:tc>
      </w:tr>
      <w:tr w14:paraId="3D811B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restart"/>
            <w:tcBorders>
              <w:top w:val="single" w:color="auto" w:sz="6" w:space="0"/>
              <w:left w:val="single" w:color="auto" w:sz="12" w:space="0"/>
              <w:bottom w:val="single" w:color="auto" w:sz="6" w:space="0"/>
              <w:right w:val="single" w:color="auto" w:sz="6" w:space="0"/>
            </w:tcBorders>
            <w:noWrap w:val="0"/>
            <w:vAlign w:val="center"/>
          </w:tcPr>
          <w:p w14:paraId="43E93A4E">
            <w:pPr>
              <w:pStyle w:val="24"/>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声环境</w:t>
            </w: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0285633C">
            <w:pPr>
              <w:pStyle w:val="24"/>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pt-BR"/>
              </w:rPr>
              <w:t>环境质量</w:t>
            </w:r>
            <w:r>
              <w:rPr>
                <w:rFonts w:hint="default" w:ascii="Times New Roman" w:hAnsi="Times New Roman" w:cs="Times New Roman"/>
                <w:color w:val="auto"/>
                <w:highlight w:val="none"/>
                <w:u w:val="none" w:color="auto"/>
              </w:rPr>
              <w:t>现状评价因子：昼间、夜间等效连续A声级</w:t>
            </w:r>
          </w:p>
        </w:tc>
      </w:tr>
      <w:tr w14:paraId="64EF98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vMerge w:val="continue"/>
            <w:tcBorders>
              <w:top w:val="single" w:color="auto" w:sz="6" w:space="0"/>
              <w:left w:val="single" w:color="auto" w:sz="12" w:space="0"/>
              <w:bottom w:val="single" w:color="auto" w:sz="6" w:space="0"/>
              <w:right w:val="single" w:color="auto" w:sz="6" w:space="0"/>
            </w:tcBorders>
            <w:noWrap w:val="0"/>
            <w:vAlign w:val="center"/>
          </w:tcPr>
          <w:p w14:paraId="777A72A0">
            <w:pPr>
              <w:pStyle w:val="24"/>
              <w:rPr>
                <w:rFonts w:hint="default" w:ascii="Times New Roman" w:hAnsi="Times New Roman" w:cs="Times New Roman"/>
                <w:color w:val="auto"/>
                <w:highlight w:val="none"/>
                <w:u w:val="none" w:color="auto"/>
              </w:rPr>
            </w:pPr>
          </w:p>
        </w:tc>
        <w:tc>
          <w:tcPr>
            <w:tcW w:w="7402" w:type="dxa"/>
            <w:tcBorders>
              <w:top w:val="single" w:color="auto" w:sz="6" w:space="0"/>
              <w:left w:val="single" w:color="auto" w:sz="6" w:space="0"/>
              <w:bottom w:val="single" w:color="auto" w:sz="6" w:space="0"/>
              <w:right w:val="single" w:color="auto" w:sz="12" w:space="0"/>
            </w:tcBorders>
            <w:noWrap w:val="0"/>
            <w:vAlign w:val="center"/>
          </w:tcPr>
          <w:p w14:paraId="3B0E5AFF">
            <w:pPr>
              <w:pStyle w:val="24"/>
              <w:rPr>
                <w:rFonts w:hint="default" w:ascii="Times New Roman" w:hAnsi="Times New Roman" w:cs="Times New Roman"/>
                <w:color w:val="auto"/>
                <w:highlight w:val="none"/>
                <w:u w:val="none" w:color="auto"/>
                <w:lang w:val="pt-BR"/>
              </w:rPr>
            </w:pPr>
            <w:r>
              <w:rPr>
                <w:rFonts w:hint="default" w:ascii="Times New Roman" w:hAnsi="Times New Roman" w:cs="Times New Roman"/>
                <w:color w:val="auto"/>
                <w:highlight w:val="none"/>
                <w:u w:val="none" w:color="auto"/>
                <w:lang w:val="pt-BR"/>
              </w:rPr>
              <w:t>影响预测因子：</w:t>
            </w:r>
            <w:r>
              <w:rPr>
                <w:rFonts w:hint="default" w:ascii="Times New Roman" w:hAnsi="Times New Roman" w:cs="Times New Roman"/>
                <w:color w:val="auto"/>
                <w:highlight w:val="none"/>
                <w:u w:val="none" w:color="auto"/>
              </w:rPr>
              <w:t>昼间等效连续A声级</w:t>
            </w:r>
          </w:p>
        </w:tc>
      </w:tr>
      <w:tr w14:paraId="0EB307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2" w:type="dxa"/>
            <w:tcBorders>
              <w:top w:val="single" w:color="auto" w:sz="6" w:space="0"/>
              <w:left w:val="single" w:color="auto" w:sz="12" w:space="0"/>
              <w:bottom w:val="single" w:color="auto" w:sz="12" w:space="0"/>
              <w:right w:val="single" w:color="auto" w:sz="6" w:space="0"/>
            </w:tcBorders>
            <w:noWrap w:val="0"/>
            <w:vAlign w:val="center"/>
          </w:tcPr>
          <w:p w14:paraId="59F2A355">
            <w:pPr>
              <w:pStyle w:val="24"/>
              <w:rPr>
                <w:rFonts w:hint="default" w:ascii="Times New Roman" w:hAnsi="Times New Roman" w:cs="Times New Roman"/>
                <w:color w:val="auto"/>
                <w:highlight w:val="none"/>
                <w:u w:val="none" w:color="auto"/>
              </w:rPr>
            </w:pPr>
            <w:r>
              <w:rPr>
                <w:rFonts w:hint="default" w:ascii="Times New Roman" w:hAnsi="Times New Roman" w:cs="Times New Roman"/>
                <w:color w:val="auto"/>
                <w:kern w:val="2"/>
                <w:szCs w:val="24"/>
                <w:highlight w:val="none"/>
                <w:u w:val="none" w:color="auto"/>
                <w:lang w:val="en-US" w:eastAsia="zh-CN"/>
              </w:rPr>
              <w:t>固体废物</w:t>
            </w:r>
          </w:p>
        </w:tc>
        <w:tc>
          <w:tcPr>
            <w:tcW w:w="7402" w:type="dxa"/>
            <w:tcBorders>
              <w:top w:val="single" w:color="auto" w:sz="6" w:space="0"/>
              <w:left w:val="single" w:color="auto" w:sz="6" w:space="0"/>
              <w:bottom w:val="single" w:color="auto" w:sz="12" w:space="0"/>
              <w:right w:val="single" w:color="auto" w:sz="12" w:space="0"/>
            </w:tcBorders>
            <w:noWrap w:val="0"/>
            <w:vAlign w:val="center"/>
          </w:tcPr>
          <w:p w14:paraId="4CC7D5B7">
            <w:pPr>
              <w:pStyle w:val="24"/>
              <w:rPr>
                <w:rFonts w:hint="default" w:ascii="Times New Roman" w:hAnsi="Times New Roman" w:cs="Times New Roman"/>
                <w:color w:val="auto"/>
                <w:highlight w:val="none"/>
                <w:u w:val="none" w:color="auto"/>
                <w:lang w:val="pt-BR"/>
              </w:rPr>
            </w:pPr>
            <w:r>
              <w:rPr>
                <w:rFonts w:hint="default" w:ascii="Times New Roman" w:hAnsi="Times New Roman" w:cs="Times New Roman"/>
                <w:color w:val="auto"/>
                <w:szCs w:val="21"/>
                <w:highlight w:val="none"/>
                <w:u w:val="none" w:color="auto"/>
                <w:lang w:val="en-US" w:eastAsia="zh-CN"/>
              </w:rPr>
              <w:t>污染源评价因子：</w:t>
            </w:r>
            <w:r>
              <w:rPr>
                <w:rFonts w:hint="default" w:ascii="Times New Roman" w:hAnsi="Times New Roman" w:cs="Times New Roman"/>
                <w:color w:val="auto"/>
                <w:kern w:val="2"/>
                <w:szCs w:val="24"/>
                <w:highlight w:val="none"/>
                <w:u w:val="none" w:color="auto"/>
                <w:lang w:val="en-US" w:eastAsia="zh-CN"/>
              </w:rPr>
              <w:t>生活垃圾、一般工业固废、危险废物</w:t>
            </w:r>
          </w:p>
        </w:tc>
      </w:tr>
    </w:tbl>
    <w:p w14:paraId="1742B221">
      <w:pPr>
        <w:pStyle w:val="4"/>
        <w:rPr>
          <w:rFonts w:hint="default" w:ascii="Times New Roman" w:hAnsi="Times New Roman" w:cs="Times New Roman"/>
          <w:color w:val="auto"/>
          <w:u w:val="none" w:color="auto"/>
        </w:rPr>
      </w:pPr>
      <w:bookmarkStart w:id="370" w:name="_Toc7620"/>
      <w:bookmarkStart w:id="371" w:name="_Toc97"/>
      <w:bookmarkStart w:id="372" w:name="_Toc27643"/>
      <w:bookmarkStart w:id="373" w:name="_Toc26818"/>
      <w:bookmarkStart w:id="374" w:name="_Toc30104"/>
      <w:bookmarkStart w:id="375" w:name="_Toc3067"/>
      <w:bookmarkStart w:id="376" w:name="_Toc15657"/>
      <w:bookmarkStart w:id="377" w:name="_Toc18424_WPSOffice_Level3"/>
      <w:bookmarkStart w:id="378" w:name="_Toc17858"/>
      <w:bookmarkStart w:id="379" w:name="_Toc13645"/>
      <w:bookmarkStart w:id="380" w:name="_Toc6642"/>
      <w:bookmarkStart w:id="381" w:name="_Toc15283"/>
      <w:bookmarkStart w:id="382" w:name="_Toc31602"/>
      <w:bookmarkStart w:id="383" w:name="_Toc7728"/>
      <w:bookmarkStart w:id="384" w:name="_Toc32676"/>
      <w:bookmarkStart w:id="385" w:name="_Toc7138"/>
      <w:bookmarkStart w:id="386" w:name="_Toc19848_WPSOffice_Level3"/>
      <w:bookmarkStart w:id="387" w:name="_Toc5304"/>
      <w:bookmarkStart w:id="388" w:name="_Toc11421"/>
      <w:bookmarkStart w:id="389" w:name="_Toc20593"/>
      <w:bookmarkStart w:id="390" w:name="_Toc32689"/>
      <w:r>
        <w:rPr>
          <w:rFonts w:hint="default" w:ascii="Times New Roman" w:hAnsi="Times New Roman" w:cs="Times New Roman"/>
          <w:color w:val="auto"/>
          <w:u w:val="none" w:color="auto"/>
        </w:rPr>
        <w:t>2.2.2环境功能区划</w:t>
      </w:r>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568FF1F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根据项目区域功能调查和</w:t>
      </w:r>
      <w:r>
        <w:rPr>
          <w:rFonts w:hint="default" w:ascii="Times New Roman" w:hAnsi="Times New Roman" w:cs="Times New Roman"/>
          <w:color w:val="auto"/>
          <w:u w:val="none" w:color="auto"/>
          <w:lang w:eastAsia="zh-CN"/>
        </w:rPr>
        <w:t>岳阳市生态环境局汨罗分局</w:t>
      </w:r>
      <w:r>
        <w:rPr>
          <w:rFonts w:hint="default" w:ascii="Times New Roman" w:hAnsi="Times New Roman" w:cs="Times New Roman"/>
          <w:color w:val="auto"/>
          <w:u w:val="none" w:color="auto"/>
        </w:rPr>
        <w:t>对本项目执行标准的批复，本项目环境功能区划如下。</w:t>
      </w:r>
    </w:p>
    <w:p w14:paraId="63E8096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（1）环境空气功能区划</w:t>
      </w:r>
    </w:p>
    <w:p w14:paraId="79631EE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项目所在区域环境空气质量执行《环境空气质量标准》（GB3095-2012）</w:t>
      </w:r>
      <w:r>
        <w:rPr>
          <w:rFonts w:hint="eastAsia" w:ascii="Times New Roman" w:hAnsi="Times New Roman" w:cs="Times New Roman"/>
          <w:color w:val="auto"/>
          <w:u w:val="none" w:color="auto"/>
          <w:lang w:val="en-US" w:eastAsia="zh-CN"/>
        </w:rPr>
        <w:t>及其修改单</w:t>
      </w:r>
      <w:r>
        <w:rPr>
          <w:rFonts w:hint="default" w:ascii="Times New Roman" w:hAnsi="Times New Roman" w:cs="Times New Roman"/>
          <w:color w:val="auto"/>
          <w:u w:val="none" w:color="auto"/>
        </w:rPr>
        <w:t>中二类区标准。</w:t>
      </w:r>
    </w:p>
    <w:p w14:paraId="3459A428">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（2）地表水功能区划</w:t>
      </w:r>
    </w:p>
    <w:p w14:paraId="41278618">
      <w:pPr>
        <w:pStyle w:val="20"/>
        <w:bidi w:val="0"/>
        <w:rPr>
          <w:rFonts w:hint="eastAsia" w:eastAsia="宋体"/>
          <w:color w:val="auto"/>
          <w:u w:val="none" w:color="auto"/>
          <w:lang w:val="en-US" w:eastAsia="zh-CN"/>
        </w:rPr>
      </w:pPr>
      <w:r>
        <w:rPr>
          <w:rFonts w:hint="eastAsia"/>
          <w:color w:val="auto"/>
          <w:u w:val="none" w:color="auto"/>
        </w:rPr>
        <w:t>项目所在地为工业园区，不在集中式饮用水水源保护区范围内，周边区域地表水水体有汨罗江。汨罗江</w:t>
      </w:r>
      <w:r>
        <w:rPr>
          <w:rFonts w:hint="eastAsia"/>
          <w:color w:val="auto"/>
          <w:u w:val="none" w:color="auto"/>
          <w:lang w:val="en-US" w:eastAsia="zh-CN"/>
        </w:rPr>
        <w:t>新市断面</w:t>
      </w:r>
      <w:r>
        <w:rPr>
          <w:rFonts w:hint="eastAsia"/>
          <w:color w:val="auto"/>
          <w:u w:val="none" w:color="auto"/>
        </w:rPr>
        <w:t>至南渡断面河段为渔业用水区，水质执行《地表水环境质量标准》（GB3838-2002）中Ⅲ类标准</w:t>
      </w:r>
      <w:r>
        <w:rPr>
          <w:rFonts w:hint="eastAsia"/>
          <w:color w:val="auto"/>
          <w:u w:val="none" w:color="auto"/>
          <w:lang w:eastAsia="zh-CN"/>
        </w:rPr>
        <w:t>。</w:t>
      </w:r>
    </w:p>
    <w:p w14:paraId="3F770DA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（3）地下水环境功能区划</w:t>
      </w:r>
    </w:p>
    <w:p w14:paraId="671A42ED">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项目所在区域地下水主要功能为工、农业用水，地下水环境质量执行《地下水质量标准》（GB/T14848-2017）Ⅲ类标准。</w:t>
      </w:r>
    </w:p>
    <w:p w14:paraId="1FC9AF9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（4）声环境功能区划</w:t>
      </w:r>
    </w:p>
    <w:p w14:paraId="164CF921">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本项目位于</w:t>
      </w:r>
      <w:r>
        <w:rPr>
          <w:rFonts w:hint="eastAsia" w:ascii="Times New Roman" w:hAnsi="Times New Roman" w:cs="Times New Roman"/>
          <w:color w:val="auto"/>
          <w:u w:val="none" w:color="auto"/>
          <w:lang w:val="en-US" w:eastAsia="zh-CN"/>
        </w:rPr>
        <w:t>工业园区</w:t>
      </w:r>
      <w:r>
        <w:rPr>
          <w:rFonts w:hint="default" w:ascii="Times New Roman" w:hAnsi="Times New Roman" w:cs="Times New Roman"/>
          <w:color w:val="auto"/>
          <w:u w:val="none" w:color="auto"/>
        </w:rPr>
        <w:t>，项目所在区域声环境执行《声环境质量标准》（GB3096-2008）的</w:t>
      </w:r>
      <w:r>
        <w:rPr>
          <w:rFonts w:hint="eastAsia" w:cs="Times New Roman"/>
          <w:color w:val="auto"/>
          <w:u w:val="none" w:color="auto"/>
          <w:lang w:val="en-US" w:eastAsia="zh-CN"/>
        </w:rPr>
        <w:t>3</w:t>
      </w:r>
      <w:r>
        <w:rPr>
          <w:rFonts w:hint="default" w:ascii="Times New Roman" w:hAnsi="Times New Roman" w:cs="Times New Roman"/>
          <w:color w:val="auto"/>
          <w:u w:val="none" w:color="auto"/>
        </w:rPr>
        <w:t>类标准。</w:t>
      </w:r>
    </w:p>
    <w:p w14:paraId="2002C922">
      <w:pPr>
        <w:pStyle w:val="22"/>
        <w:bidi w:val="0"/>
        <w:rPr>
          <w:rFonts w:hint="default"/>
          <w:color w:val="auto"/>
          <w:u w:val="none" w:color="auto"/>
        </w:rPr>
      </w:pPr>
      <w:r>
        <w:rPr>
          <w:rFonts w:hint="default"/>
          <w:color w:val="auto"/>
          <w:u w:val="none" w:color="auto"/>
        </w:rPr>
        <w:t>表2.2-</w:t>
      </w:r>
      <w:r>
        <w:rPr>
          <w:rFonts w:hint="eastAsia"/>
          <w:color w:val="auto"/>
          <w:u w:val="none" w:color="auto"/>
          <w:lang w:val="en-US" w:eastAsia="zh-CN"/>
        </w:rPr>
        <w:t>3</w:t>
      </w:r>
      <w:r>
        <w:rPr>
          <w:rFonts w:hint="default"/>
          <w:color w:val="auto"/>
          <w:u w:val="none" w:color="auto"/>
        </w:rPr>
        <w:t xml:space="preserve"> 项目拟选址环境功能属性</w:t>
      </w:r>
    </w:p>
    <w:bookmarkEnd w:id="389"/>
    <w:bookmarkEnd w:id="390"/>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2"/>
        <w:gridCol w:w="2805"/>
        <w:gridCol w:w="2430"/>
        <w:gridCol w:w="2617"/>
      </w:tblGrid>
      <w:tr w14:paraId="469022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54557465">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bookmarkStart w:id="391" w:name="_Toc28753_WPSOffice_Level3"/>
            <w:bookmarkStart w:id="392" w:name="_Toc18642"/>
            <w:bookmarkStart w:id="393" w:name="_Toc16113_WPSOffice_Level3"/>
            <w:bookmarkStart w:id="394" w:name="_Toc29162"/>
            <w:bookmarkStart w:id="395" w:name="_Toc24067"/>
            <w:bookmarkStart w:id="396" w:name="_Toc32379"/>
            <w:bookmarkStart w:id="397" w:name="_Toc12305"/>
            <w:bookmarkStart w:id="398" w:name="_Toc6371"/>
            <w:bookmarkStart w:id="399" w:name="_Toc26440"/>
            <w:bookmarkStart w:id="400" w:name="_Toc31649"/>
            <w:bookmarkStart w:id="401" w:name="_Toc18715_WPSOffice_Level3"/>
            <w:bookmarkStart w:id="402" w:name="_Toc11346_WPSOffice_Level3"/>
            <w:r>
              <w:rPr>
                <w:rFonts w:ascii="Times New Roman" w:hAnsi="Times New Roman" w:eastAsia="宋体" w:cs="Times New Roman"/>
                <w:b/>
                <w:bCs/>
                <w:color w:val="auto"/>
                <w:kern w:val="2"/>
                <w:sz w:val="21"/>
                <w:szCs w:val="24"/>
                <w:highlight w:val="none"/>
                <w:u w:val="none" w:color="auto"/>
                <w:lang w:val="en-US" w:eastAsia="zh-CN" w:bidi="ar-SA"/>
              </w:rPr>
              <w:t>编号</w:t>
            </w:r>
          </w:p>
        </w:tc>
        <w:tc>
          <w:tcPr>
            <w:tcW w:w="2805" w:type="dxa"/>
            <w:noWrap w:val="0"/>
            <w:vAlign w:val="center"/>
          </w:tcPr>
          <w:p w14:paraId="6A56186B">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项目</w:t>
            </w:r>
          </w:p>
        </w:tc>
        <w:tc>
          <w:tcPr>
            <w:tcW w:w="5047" w:type="dxa"/>
            <w:gridSpan w:val="2"/>
            <w:noWrap w:val="0"/>
            <w:vAlign w:val="center"/>
          </w:tcPr>
          <w:p w14:paraId="41C3BF79">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功能属性及执行标准</w:t>
            </w:r>
          </w:p>
        </w:tc>
      </w:tr>
      <w:tr w14:paraId="6DBFA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Merge w:val="restart"/>
            <w:noWrap w:val="0"/>
            <w:vAlign w:val="center"/>
          </w:tcPr>
          <w:p w14:paraId="2F69DAC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w:t>
            </w:r>
          </w:p>
        </w:tc>
        <w:tc>
          <w:tcPr>
            <w:tcW w:w="2805" w:type="dxa"/>
            <w:noWrap w:val="0"/>
            <w:vAlign w:val="center"/>
          </w:tcPr>
          <w:p w14:paraId="61319001">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地表水环境功能区</w:t>
            </w:r>
          </w:p>
        </w:tc>
        <w:tc>
          <w:tcPr>
            <w:tcW w:w="2430" w:type="dxa"/>
            <w:noWrap w:val="0"/>
            <w:vAlign w:val="center"/>
          </w:tcPr>
          <w:p w14:paraId="74669A0C">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color w:val="auto"/>
                <w:u w:val="none" w:color="auto"/>
              </w:rPr>
              <w:t>汨罗江</w:t>
            </w:r>
            <w:r>
              <w:rPr>
                <w:rFonts w:hint="eastAsia"/>
                <w:color w:val="auto"/>
                <w:u w:val="none" w:color="auto"/>
                <w:lang w:val="en-US" w:eastAsia="zh-CN"/>
              </w:rPr>
              <w:t>新市断面</w:t>
            </w:r>
            <w:r>
              <w:rPr>
                <w:rFonts w:hint="eastAsia"/>
                <w:color w:val="auto"/>
                <w:u w:val="none" w:color="auto"/>
              </w:rPr>
              <w:t>至南渡断面河段，渔业用水区</w:t>
            </w:r>
          </w:p>
        </w:tc>
        <w:tc>
          <w:tcPr>
            <w:tcW w:w="2617" w:type="dxa"/>
            <w:noWrap w:val="0"/>
            <w:vAlign w:val="center"/>
          </w:tcPr>
          <w:p w14:paraId="5095EB0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《地表水环境质量标准》（GB3838-2002）Ⅲ类</w:t>
            </w:r>
          </w:p>
        </w:tc>
      </w:tr>
      <w:tr w14:paraId="5D6519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vMerge w:val="continue"/>
            <w:noWrap w:val="0"/>
            <w:vAlign w:val="center"/>
          </w:tcPr>
          <w:p w14:paraId="3BF74DFE">
            <w:pPr>
              <w:widowControl w:val="0"/>
              <w:jc w:val="center"/>
              <w:rPr>
                <w:rFonts w:ascii="Times New Roman" w:hAnsi="Times New Roman" w:eastAsia="宋体" w:cs="Times New Roman"/>
                <w:color w:val="auto"/>
                <w:kern w:val="2"/>
                <w:sz w:val="21"/>
                <w:szCs w:val="24"/>
                <w:highlight w:val="none"/>
                <w:u w:val="none" w:color="auto"/>
                <w:lang w:val="en-US" w:eastAsia="zh-CN" w:bidi="ar-SA"/>
              </w:rPr>
            </w:pPr>
          </w:p>
        </w:tc>
        <w:tc>
          <w:tcPr>
            <w:tcW w:w="2805" w:type="dxa"/>
            <w:noWrap w:val="0"/>
            <w:vAlign w:val="center"/>
          </w:tcPr>
          <w:p w14:paraId="13B9E531">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地下水环境功能区</w:t>
            </w:r>
          </w:p>
        </w:tc>
        <w:tc>
          <w:tcPr>
            <w:tcW w:w="2430" w:type="dxa"/>
            <w:noWrap w:val="0"/>
            <w:vAlign w:val="center"/>
          </w:tcPr>
          <w:p w14:paraId="065EF721">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color w:val="auto"/>
                <w:u w:val="none" w:color="auto"/>
              </w:rPr>
              <w:t>地下水，工、农业用水区</w:t>
            </w:r>
          </w:p>
        </w:tc>
        <w:tc>
          <w:tcPr>
            <w:tcW w:w="2617" w:type="dxa"/>
            <w:noWrap w:val="0"/>
            <w:vAlign w:val="center"/>
          </w:tcPr>
          <w:p w14:paraId="665B0D6D">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《地下水质量标准》（GB/T14848-2017）Ⅲ类</w:t>
            </w:r>
          </w:p>
        </w:tc>
      </w:tr>
      <w:tr w14:paraId="4A8EE9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7354F56E">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2</w:t>
            </w:r>
          </w:p>
        </w:tc>
        <w:tc>
          <w:tcPr>
            <w:tcW w:w="2805" w:type="dxa"/>
            <w:noWrap w:val="0"/>
            <w:vAlign w:val="center"/>
          </w:tcPr>
          <w:p w14:paraId="3BED8149">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环境空气质量功能区</w:t>
            </w:r>
          </w:p>
        </w:tc>
        <w:tc>
          <w:tcPr>
            <w:tcW w:w="5047" w:type="dxa"/>
            <w:gridSpan w:val="2"/>
            <w:noWrap w:val="0"/>
            <w:vAlign w:val="center"/>
          </w:tcPr>
          <w:p w14:paraId="6E018C51">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二类区，执行《环境空气质量标准》（GB3095-2012）</w:t>
            </w:r>
          </w:p>
          <w:p w14:paraId="192B66AE">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中的二级标准</w:t>
            </w:r>
          </w:p>
        </w:tc>
      </w:tr>
      <w:tr w14:paraId="6E9622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576C0477">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3</w:t>
            </w:r>
          </w:p>
        </w:tc>
        <w:tc>
          <w:tcPr>
            <w:tcW w:w="2805" w:type="dxa"/>
            <w:noWrap w:val="0"/>
            <w:vAlign w:val="center"/>
          </w:tcPr>
          <w:p w14:paraId="687B2DA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声环境功能区</w:t>
            </w:r>
          </w:p>
        </w:tc>
        <w:tc>
          <w:tcPr>
            <w:tcW w:w="5047" w:type="dxa"/>
            <w:gridSpan w:val="2"/>
            <w:noWrap w:val="0"/>
            <w:vAlign w:val="center"/>
          </w:tcPr>
          <w:p w14:paraId="5A59BEF9">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区域声环境执行《声环境质量标准》（GB3096-2008）</w:t>
            </w:r>
          </w:p>
          <w:p w14:paraId="29BD4C63">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中的</w:t>
            </w:r>
            <w:r>
              <w:rPr>
                <w:rFonts w:hint="eastAsia" w:ascii="Times New Roman" w:hAnsi="Times New Roman" w:eastAsia="宋体" w:cs="Times New Roman"/>
                <w:color w:val="auto"/>
                <w:kern w:val="2"/>
                <w:sz w:val="21"/>
                <w:szCs w:val="24"/>
                <w:highlight w:val="none"/>
                <w:u w:val="none" w:color="auto"/>
                <w:lang w:val="en-US" w:eastAsia="zh-CN" w:bidi="ar-SA"/>
              </w:rPr>
              <w:t>3</w:t>
            </w:r>
            <w:r>
              <w:rPr>
                <w:rFonts w:ascii="Times New Roman" w:hAnsi="Times New Roman" w:eastAsia="宋体" w:cs="Times New Roman"/>
                <w:color w:val="auto"/>
                <w:kern w:val="2"/>
                <w:sz w:val="21"/>
                <w:szCs w:val="24"/>
                <w:highlight w:val="none"/>
                <w:u w:val="none" w:color="auto"/>
                <w:lang w:val="en-US" w:eastAsia="zh-CN" w:bidi="ar-SA"/>
              </w:rPr>
              <w:t>类标准</w:t>
            </w:r>
          </w:p>
        </w:tc>
      </w:tr>
      <w:tr w14:paraId="26E73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28DF7B8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4</w:t>
            </w:r>
          </w:p>
        </w:tc>
        <w:tc>
          <w:tcPr>
            <w:tcW w:w="2805" w:type="dxa"/>
            <w:noWrap w:val="0"/>
            <w:vAlign w:val="center"/>
          </w:tcPr>
          <w:p w14:paraId="31FB6124">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是否基本农田保护区</w:t>
            </w:r>
          </w:p>
        </w:tc>
        <w:tc>
          <w:tcPr>
            <w:tcW w:w="5047" w:type="dxa"/>
            <w:gridSpan w:val="2"/>
            <w:noWrap w:val="0"/>
            <w:vAlign w:val="center"/>
          </w:tcPr>
          <w:p w14:paraId="5BC9D1D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05617A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30FDFED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5</w:t>
            </w:r>
          </w:p>
        </w:tc>
        <w:tc>
          <w:tcPr>
            <w:tcW w:w="2805" w:type="dxa"/>
            <w:noWrap w:val="0"/>
            <w:vAlign w:val="center"/>
          </w:tcPr>
          <w:p w14:paraId="3B3A19D1">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是否森林、公园</w:t>
            </w:r>
          </w:p>
        </w:tc>
        <w:tc>
          <w:tcPr>
            <w:tcW w:w="5047" w:type="dxa"/>
            <w:gridSpan w:val="2"/>
            <w:noWrap w:val="0"/>
            <w:vAlign w:val="center"/>
          </w:tcPr>
          <w:p w14:paraId="627C2425">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741A9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3C51A40F">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6</w:t>
            </w:r>
          </w:p>
        </w:tc>
        <w:tc>
          <w:tcPr>
            <w:tcW w:w="2805" w:type="dxa"/>
            <w:noWrap w:val="0"/>
            <w:vAlign w:val="center"/>
          </w:tcPr>
          <w:p w14:paraId="5097CD2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是否生态功能保护区</w:t>
            </w:r>
          </w:p>
        </w:tc>
        <w:tc>
          <w:tcPr>
            <w:tcW w:w="5047" w:type="dxa"/>
            <w:gridSpan w:val="2"/>
            <w:noWrap w:val="0"/>
            <w:vAlign w:val="center"/>
          </w:tcPr>
          <w:p w14:paraId="04E5911E">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457372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0C8494A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7</w:t>
            </w:r>
          </w:p>
        </w:tc>
        <w:tc>
          <w:tcPr>
            <w:tcW w:w="2805" w:type="dxa"/>
            <w:noWrap w:val="0"/>
            <w:vAlign w:val="center"/>
          </w:tcPr>
          <w:p w14:paraId="54373249">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是否水土流失重点防治区</w:t>
            </w:r>
          </w:p>
        </w:tc>
        <w:tc>
          <w:tcPr>
            <w:tcW w:w="5047" w:type="dxa"/>
            <w:gridSpan w:val="2"/>
            <w:noWrap w:val="0"/>
            <w:vAlign w:val="center"/>
          </w:tcPr>
          <w:p w14:paraId="0A230CF8">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7A8D9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2AC188D9">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8</w:t>
            </w:r>
          </w:p>
        </w:tc>
        <w:tc>
          <w:tcPr>
            <w:tcW w:w="2805" w:type="dxa"/>
            <w:noWrap w:val="0"/>
            <w:vAlign w:val="center"/>
          </w:tcPr>
          <w:p w14:paraId="54EC9032">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是否人口密集区</w:t>
            </w:r>
          </w:p>
        </w:tc>
        <w:tc>
          <w:tcPr>
            <w:tcW w:w="5047" w:type="dxa"/>
            <w:gridSpan w:val="2"/>
            <w:noWrap w:val="0"/>
            <w:vAlign w:val="center"/>
          </w:tcPr>
          <w:p w14:paraId="172C1EC9">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72AA32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471F46AF">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9</w:t>
            </w:r>
          </w:p>
        </w:tc>
        <w:tc>
          <w:tcPr>
            <w:tcW w:w="2805" w:type="dxa"/>
            <w:noWrap w:val="0"/>
            <w:vAlign w:val="center"/>
          </w:tcPr>
          <w:p w14:paraId="48E174CF">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是否重点文物保护单位</w:t>
            </w:r>
          </w:p>
        </w:tc>
        <w:tc>
          <w:tcPr>
            <w:tcW w:w="5047" w:type="dxa"/>
            <w:gridSpan w:val="2"/>
            <w:noWrap w:val="0"/>
            <w:vAlign w:val="center"/>
          </w:tcPr>
          <w:p w14:paraId="78960084">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696AC9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6F5E1910">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10</w:t>
            </w:r>
          </w:p>
        </w:tc>
        <w:tc>
          <w:tcPr>
            <w:tcW w:w="2805" w:type="dxa"/>
            <w:noWrap w:val="0"/>
            <w:vAlign w:val="center"/>
          </w:tcPr>
          <w:p w14:paraId="09069E9E">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是否三河、三湖、两控区</w:t>
            </w:r>
          </w:p>
        </w:tc>
        <w:tc>
          <w:tcPr>
            <w:tcW w:w="5047" w:type="dxa"/>
            <w:gridSpan w:val="2"/>
            <w:noWrap w:val="0"/>
            <w:vAlign w:val="center"/>
          </w:tcPr>
          <w:p w14:paraId="4A56EA4D">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是（两控区）</w:t>
            </w:r>
          </w:p>
        </w:tc>
      </w:tr>
      <w:tr w14:paraId="0BEE20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347A235A">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11</w:t>
            </w:r>
          </w:p>
        </w:tc>
        <w:tc>
          <w:tcPr>
            <w:tcW w:w="2805" w:type="dxa"/>
            <w:noWrap w:val="0"/>
            <w:vAlign w:val="center"/>
          </w:tcPr>
          <w:p w14:paraId="1D9ED519">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是否属于饮用水源保护区</w:t>
            </w:r>
          </w:p>
        </w:tc>
        <w:tc>
          <w:tcPr>
            <w:tcW w:w="5047" w:type="dxa"/>
            <w:gridSpan w:val="2"/>
            <w:noWrap w:val="0"/>
            <w:vAlign w:val="center"/>
          </w:tcPr>
          <w:p w14:paraId="5783E691">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r w14:paraId="7A1B3A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0573F935">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12</w:t>
            </w:r>
          </w:p>
        </w:tc>
        <w:tc>
          <w:tcPr>
            <w:tcW w:w="2805" w:type="dxa"/>
            <w:noWrap w:val="0"/>
            <w:vAlign w:val="center"/>
          </w:tcPr>
          <w:p w14:paraId="4E54F52E">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是否污水处理厂集水范围</w:t>
            </w:r>
          </w:p>
        </w:tc>
        <w:tc>
          <w:tcPr>
            <w:tcW w:w="5047" w:type="dxa"/>
            <w:gridSpan w:val="2"/>
            <w:noWrap w:val="0"/>
            <w:vAlign w:val="center"/>
          </w:tcPr>
          <w:p w14:paraId="7CA768DF">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是</w:t>
            </w:r>
            <w:r>
              <w:rPr>
                <w:color w:val="auto"/>
                <w:u w:val="none" w:color="auto"/>
              </w:rPr>
              <w:t>（</w:t>
            </w:r>
            <w:r>
              <w:rPr>
                <w:rFonts w:hint="eastAsia"/>
                <w:color w:val="auto"/>
                <w:u w:val="none" w:color="auto"/>
              </w:rPr>
              <w:t>湖南汨罗高新技术产业开发区（循环园区）污水处理厂</w:t>
            </w:r>
            <w:r>
              <w:rPr>
                <w:color w:val="auto"/>
                <w:u w:val="none" w:color="auto"/>
              </w:rPr>
              <w:t>）</w:t>
            </w:r>
          </w:p>
        </w:tc>
      </w:tr>
      <w:tr w14:paraId="5A87B3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2" w:type="dxa"/>
            <w:noWrap w:val="0"/>
            <w:vAlign w:val="center"/>
          </w:tcPr>
          <w:p w14:paraId="41F42377">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13</w:t>
            </w:r>
          </w:p>
        </w:tc>
        <w:tc>
          <w:tcPr>
            <w:tcW w:w="2805" w:type="dxa"/>
            <w:noWrap w:val="0"/>
            <w:vAlign w:val="center"/>
          </w:tcPr>
          <w:p w14:paraId="7935AE26">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是否属于生态敏感与脆弱区</w:t>
            </w:r>
          </w:p>
        </w:tc>
        <w:tc>
          <w:tcPr>
            <w:tcW w:w="5047" w:type="dxa"/>
            <w:gridSpan w:val="2"/>
            <w:noWrap w:val="0"/>
            <w:vAlign w:val="center"/>
          </w:tcPr>
          <w:p w14:paraId="6B7845B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否</w:t>
            </w:r>
          </w:p>
        </w:tc>
      </w:tr>
    </w:tbl>
    <w:p w14:paraId="71AC64B0">
      <w:pPr>
        <w:pStyle w:val="4"/>
        <w:bidi w:val="0"/>
        <w:rPr>
          <w:rFonts w:hint="default" w:ascii="Times New Roman" w:hAnsi="Times New Roman" w:cs="Times New Roman"/>
          <w:color w:val="auto"/>
          <w:u w:val="none" w:color="auto"/>
        </w:rPr>
      </w:pPr>
      <w:bookmarkStart w:id="403" w:name="_Toc21392"/>
      <w:bookmarkStart w:id="404" w:name="_Toc27400"/>
      <w:bookmarkStart w:id="405" w:name="_Toc9122"/>
      <w:r>
        <w:rPr>
          <w:rFonts w:hint="default" w:ascii="Times New Roman" w:hAnsi="Times New Roman" w:cs="Times New Roman"/>
          <w:color w:val="auto"/>
          <w:u w:val="none" w:color="auto"/>
        </w:rPr>
        <w:t>2.2.3评价标准</w:t>
      </w:r>
      <w:bookmarkEnd w:id="391"/>
      <w:bookmarkEnd w:id="392"/>
      <w:bookmarkEnd w:id="393"/>
      <w:bookmarkEnd w:id="394"/>
      <w:bookmarkEnd w:id="395"/>
      <w:bookmarkEnd w:id="396"/>
      <w:bookmarkEnd w:id="397"/>
      <w:bookmarkEnd w:id="398"/>
      <w:bookmarkEnd w:id="399"/>
      <w:bookmarkEnd w:id="400"/>
      <w:bookmarkEnd w:id="403"/>
      <w:bookmarkEnd w:id="404"/>
      <w:bookmarkEnd w:id="405"/>
    </w:p>
    <w:p w14:paraId="093DA3F6">
      <w:pPr>
        <w:pStyle w:val="20"/>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1、环境质量标准</w:t>
      </w:r>
      <w:bookmarkEnd w:id="401"/>
      <w:bookmarkEnd w:id="402"/>
    </w:p>
    <w:p w14:paraId="5CE73807">
      <w:pPr>
        <w:pStyle w:val="20"/>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（1）空气环境：SO</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、NO</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、PM</w:t>
      </w:r>
      <w:r>
        <w:rPr>
          <w:rFonts w:hint="default" w:ascii="Times New Roman" w:hAnsi="Times New Roman" w:cs="Times New Roman"/>
          <w:color w:val="auto"/>
          <w:u w:val="none" w:color="auto"/>
          <w:vertAlign w:val="subscript"/>
        </w:rPr>
        <w:t>10</w:t>
      </w:r>
      <w:r>
        <w:rPr>
          <w:rFonts w:hint="default" w:ascii="Times New Roman" w:hAnsi="Times New Roman" w:cs="Times New Roman"/>
          <w:color w:val="auto"/>
          <w:u w:val="none" w:color="auto"/>
        </w:rPr>
        <w:t>、CO、O</w:t>
      </w:r>
      <w:r>
        <w:rPr>
          <w:rFonts w:hint="default" w:ascii="Times New Roman" w:hAnsi="Times New Roman" w:cs="Times New Roman"/>
          <w:color w:val="auto"/>
          <w:u w:val="none" w:color="auto"/>
          <w:vertAlign w:val="subscript"/>
        </w:rPr>
        <w:t>3</w:t>
      </w:r>
      <w:r>
        <w:rPr>
          <w:rFonts w:hint="default" w:ascii="Times New Roman" w:hAnsi="Times New Roman" w:cs="Times New Roman"/>
          <w:color w:val="auto"/>
          <w:u w:val="none" w:color="auto"/>
        </w:rPr>
        <w:t>、PM</w:t>
      </w:r>
      <w:r>
        <w:rPr>
          <w:rFonts w:hint="default" w:ascii="Times New Roman" w:hAnsi="Times New Roman" w:cs="Times New Roman"/>
          <w:color w:val="auto"/>
          <w:u w:val="none" w:color="auto"/>
          <w:vertAlign w:val="subscript"/>
        </w:rPr>
        <w:t>2.5</w:t>
      </w:r>
      <w:r>
        <w:rPr>
          <w:rFonts w:hint="default" w:ascii="Times New Roman" w:hAnsi="Times New Roman" w:cs="Times New Roman"/>
          <w:color w:val="auto"/>
          <w:u w:val="none" w:color="auto"/>
          <w:vertAlign w:val="baseline"/>
          <w:lang w:eastAsia="zh-CN"/>
        </w:rPr>
        <w:t>、</w:t>
      </w:r>
      <w:r>
        <w:rPr>
          <w:rFonts w:hint="default" w:ascii="Times New Roman" w:hAnsi="Times New Roman" w:cs="Times New Roman"/>
          <w:color w:val="auto"/>
          <w:u w:val="none" w:color="auto"/>
          <w:vertAlign w:val="baseline"/>
          <w:lang w:val="en-US" w:eastAsia="zh-CN"/>
        </w:rPr>
        <w:t>TSP执行</w:t>
      </w:r>
      <w:r>
        <w:rPr>
          <w:rFonts w:hint="default" w:ascii="Times New Roman" w:hAnsi="Times New Roman" w:cs="Times New Roman"/>
          <w:color w:val="auto"/>
          <w:u w:val="none" w:color="auto"/>
        </w:rPr>
        <w:t>《环境空气质量标准》（GB3095-2012）中的二级标准</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lang w:eastAsia="zh-CN"/>
        </w:rPr>
        <w:t>TVOC</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氯化氢、二甲苯</w:t>
      </w:r>
      <w:r>
        <w:rPr>
          <w:rFonts w:hint="default" w:ascii="Times New Roman" w:hAnsi="Times New Roman" w:cs="Times New Roman"/>
          <w:color w:val="auto"/>
          <w:u w:val="none" w:color="auto"/>
          <w:lang w:eastAsia="zh-CN"/>
        </w:rPr>
        <w:t>执行《环境影响评价技术导则 大气环境》（HJ2.2-2018）附录D中表D.1相应的标准</w:t>
      </w:r>
      <w:r>
        <w:rPr>
          <w:rFonts w:hint="eastAsia" w:ascii="Times New Roman" w:hAnsi="Times New Roman" w:cs="Times New Roman"/>
          <w:color w:val="auto"/>
          <w:u w:val="none" w:color="auto"/>
          <w:lang w:eastAsia="zh-CN"/>
        </w:rPr>
        <w:t>；</w:t>
      </w:r>
      <w:r>
        <w:rPr>
          <w:rFonts w:hint="default" w:ascii="Times New Roman" w:hAnsi="Times New Roman" w:eastAsia="宋体" w:cs="Times New Roman"/>
          <w:color w:val="auto"/>
          <w:u w:val="none" w:color="auto"/>
          <w:lang w:eastAsia="zh-CN"/>
        </w:rPr>
        <w:t>非甲烷总烃参照执行原国家环境保护局科技标准司的《大气污染物综合排放标准详解》中的环境质量标准一次浓度（其中一次值为2.0mg/m</w:t>
      </w:r>
      <w:r>
        <w:rPr>
          <w:rFonts w:hint="default" w:ascii="Times New Roman" w:hAnsi="Times New Roman" w:eastAsia="宋体" w:cs="Times New Roman"/>
          <w:color w:val="auto"/>
          <w:u w:val="none" w:color="auto"/>
          <w:vertAlign w:val="superscript"/>
          <w:lang w:eastAsia="zh-CN"/>
        </w:rPr>
        <w:t>3</w:t>
      </w:r>
      <w:r>
        <w:rPr>
          <w:rFonts w:hint="default" w:ascii="Times New Roman" w:hAnsi="Times New Roman" w:eastAsia="宋体" w:cs="Times New Roman"/>
          <w:color w:val="auto"/>
          <w:u w:val="none" w:color="auto"/>
          <w:lang w:eastAsia="zh-CN"/>
        </w:rPr>
        <w:t>）</w:t>
      </w:r>
      <w:r>
        <w:rPr>
          <w:rFonts w:hint="default" w:ascii="Times New Roman" w:hAnsi="Times New Roman" w:cs="Times New Roman"/>
          <w:color w:val="auto"/>
          <w:u w:val="none" w:color="auto"/>
          <w:lang w:eastAsia="zh-CN"/>
        </w:rPr>
        <w:t>。</w:t>
      </w:r>
    </w:p>
    <w:p w14:paraId="16D10C36">
      <w:pPr>
        <w:pStyle w:val="22"/>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表2.</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 xml:space="preserve"> 环境空气</w:t>
      </w:r>
      <w:r>
        <w:rPr>
          <w:rFonts w:hint="eastAsia" w:cs="Times New Roman"/>
          <w:color w:val="auto"/>
          <w:u w:val="none" w:color="auto"/>
          <w:lang w:val="en-US" w:eastAsia="zh-CN"/>
        </w:rPr>
        <w:t>污染物</w:t>
      </w:r>
      <w:r>
        <w:rPr>
          <w:rFonts w:hint="default" w:ascii="Times New Roman" w:hAnsi="Times New Roman" w:cs="Times New Roman"/>
          <w:color w:val="auto"/>
          <w:u w:val="none" w:color="auto"/>
        </w:rPr>
        <w:t>质量标准（单位：</w:t>
      </w:r>
      <w:r>
        <w:rPr>
          <w:rFonts w:hint="default" w:ascii="Times New Roman" w:hAnsi="Times New Roman" w:cs="Times New Roman"/>
          <w:color w:val="auto"/>
          <w:u w:val="none" w:color="auto"/>
          <w:lang w:val="en-US" w:eastAsia="zh-CN"/>
        </w:rPr>
        <w:t>μ</w:t>
      </w:r>
      <w:r>
        <w:rPr>
          <w:rFonts w:hint="default" w:ascii="Times New Roman" w:hAnsi="Times New Roman" w:cs="Times New Roman"/>
          <w:color w:val="auto"/>
          <w:u w:val="none" w:color="auto"/>
        </w:rPr>
        <w:t>g/m³）</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40"/>
        <w:gridCol w:w="1772"/>
        <w:gridCol w:w="1803"/>
        <w:gridCol w:w="1796"/>
        <w:gridCol w:w="1793"/>
      </w:tblGrid>
      <w:tr w14:paraId="1C5D6E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vMerge w:val="restart"/>
            <w:tcBorders>
              <w:tl2br w:val="nil"/>
              <w:tr2bl w:val="nil"/>
            </w:tcBorders>
            <w:noWrap w:val="0"/>
            <w:vAlign w:val="center"/>
          </w:tcPr>
          <w:p w14:paraId="19A9FA1F">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污染物名称</w:t>
            </w:r>
          </w:p>
        </w:tc>
        <w:tc>
          <w:tcPr>
            <w:tcW w:w="7164" w:type="dxa"/>
            <w:gridSpan w:val="4"/>
            <w:tcBorders>
              <w:tl2br w:val="nil"/>
              <w:tr2bl w:val="nil"/>
            </w:tcBorders>
            <w:noWrap w:val="0"/>
            <w:vAlign w:val="center"/>
          </w:tcPr>
          <w:p w14:paraId="6308FC5B">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标准限值</w:t>
            </w:r>
          </w:p>
        </w:tc>
      </w:tr>
      <w:tr w14:paraId="383871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vMerge w:val="continue"/>
            <w:tcBorders>
              <w:tl2br w:val="nil"/>
              <w:tr2bl w:val="nil"/>
            </w:tcBorders>
            <w:noWrap w:val="0"/>
            <w:vAlign w:val="center"/>
          </w:tcPr>
          <w:p w14:paraId="4B87658E">
            <w:pPr>
              <w:pStyle w:val="24"/>
              <w:rPr>
                <w:rFonts w:hint="default" w:ascii="Times New Roman" w:hAnsi="Times New Roman" w:cs="Times New Roman"/>
                <w:b/>
                <w:bCs/>
                <w:color w:val="auto"/>
                <w:u w:val="none" w:color="auto"/>
              </w:rPr>
            </w:pPr>
          </w:p>
        </w:tc>
        <w:tc>
          <w:tcPr>
            <w:tcW w:w="1772" w:type="dxa"/>
            <w:tcBorders>
              <w:tl2br w:val="nil"/>
              <w:tr2bl w:val="nil"/>
            </w:tcBorders>
            <w:noWrap w:val="0"/>
            <w:vAlign w:val="center"/>
          </w:tcPr>
          <w:p w14:paraId="6746FBE8">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1小时平均</w:t>
            </w:r>
          </w:p>
        </w:tc>
        <w:tc>
          <w:tcPr>
            <w:tcW w:w="1803" w:type="dxa"/>
            <w:tcBorders>
              <w:tl2br w:val="nil"/>
              <w:tr2bl w:val="nil"/>
            </w:tcBorders>
            <w:noWrap w:val="0"/>
            <w:vAlign w:val="center"/>
          </w:tcPr>
          <w:p w14:paraId="614239E5">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日平均</w:t>
            </w:r>
          </w:p>
        </w:tc>
        <w:tc>
          <w:tcPr>
            <w:tcW w:w="1796" w:type="dxa"/>
            <w:tcBorders>
              <w:tl2br w:val="nil"/>
              <w:tr2bl w:val="nil"/>
            </w:tcBorders>
            <w:noWrap w:val="0"/>
            <w:vAlign w:val="center"/>
          </w:tcPr>
          <w:p w14:paraId="3904F97E">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sz w:val="21"/>
                <w:szCs w:val="21"/>
                <w:u w:val="none" w:color="auto"/>
              </w:rPr>
              <w:t>8小时均值</w:t>
            </w:r>
          </w:p>
        </w:tc>
        <w:tc>
          <w:tcPr>
            <w:tcW w:w="1793" w:type="dxa"/>
            <w:tcBorders>
              <w:tl2br w:val="nil"/>
              <w:tr2bl w:val="nil"/>
            </w:tcBorders>
            <w:noWrap w:val="0"/>
            <w:vAlign w:val="center"/>
          </w:tcPr>
          <w:p w14:paraId="0EF094B2">
            <w:pPr>
              <w:pStyle w:val="24"/>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cs="Times New Roman"/>
                <w:b/>
                <w:bCs/>
                <w:color w:val="auto"/>
                <w:sz w:val="21"/>
                <w:szCs w:val="21"/>
                <w:u w:val="none" w:color="auto"/>
                <w:lang w:eastAsia="zh-CN"/>
              </w:rPr>
              <w:t>年均值</w:t>
            </w:r>
          </w:p>
        </w:tc>
      </w:tr>
      <w:tr w14:paraId="2D923D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590059E7">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SO</w:t>
            </w:r>
            <w:r>
              <w:rPr>
                <w:rFonts w:hint="default" w:ascii="Times New Roman" w:hAnsi="Times New Roman" w:cs="Times New Roman"/>
                <w:color w:val="auto"/>
                <w:u w:val="none" w:color="auto"/>
                <w:vertAlign w:val="subscript"/>
              </w:rPr>
              <w:t>2</w:t>
            </w:r>
          </w:p>
        </w:tc>
        <w:tc>
          <w:tcPr>
            <w:tcW w:w="1772" w:type="dxa"/>
            <w:tcBorders>
              <w:tl2br w:val="nil"/>
              <w:tr2bl w:val="nil"/>
            </w:tcBorders>
            <w:noWrap w:val="0"/>
            <w:vAlign w:val="center"/>
          </w:tcPr>
          <w:p w14:paraId="4B744EC7">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500</w:t>
            </w:r>
          </w:p>
        </w:tc>
        <w:tc>
          <w:tcPr>
            <w:tcW w:w="1803" w:type="dxa"/>
            <w:tcBorders>
              <w:tl2br w:val="nil"/>
              <w:tr2bl w:val="nil"/>
            </w:tcBorders>
            <w:noWrap w:val="0"/>
            <w:vAlign w:val="center"/>
          </w:tcPr>
          <w:p w14:paraId="16E965BF">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150</w:t>
            </w:r>
          </w:p>
        </w:tc>
        <w:tc>
          <w:tcPr>
            <w:tcW w:w="1796" w:type="dxa"/>
            <w:tcBorders>
              <w:tl2br w:val="nil"/>
              <w:tr2bl w:val="nil"/>
            </w:tcBorders>
            <w:noWrap w:val="0"/>
            <w:vAlign w:val="center"/>
          </w:tcPr>
          <w:p w14:paraId="5D3DC6D0">
            <w:pPr>
              <w:pStyle w:val="24"/>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rPr>
              <w:t>/</w:t>
            </w:r>
          </w:p>
        </w:tc>
        <w:tc>
          <w:tcPr>
            <w:tcW w:w="1793" w:type="dxa"/>
            <w:tcBorders>
              <w:tl2br w:val="nil"/>
              <w:tr2bl w:val="nil"/>
            </w:tcBorders>
            <w:noWrap w:val="0"/>
            <w:vAlign w:val="center"/>
          </w:tcPr>
          <w:p w14:paraId="7C2E0645">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60</w:t>
            </w:r>
          </w:p>
        </w:tc>
      </w:tr>
      <w:tr w14:paraId="24E50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53088864">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NO</w:t>
            </w:r>
            <w:r>
              <w:rPr>
                <w:rFonts w:hint="default" w:ascii="Times New Roman" w:hAnsi="Times New Roman" w:cs="Times New Roman"/>
                <w:color w:val="auto"/>
                <w:u w:val="none" w:color="auto"/>
                <w:vertAlign w:val="subscript"/>
              </w:rPr>
              <w:t>2</w:t>
            </w:r>
          </w:p>
        </w:tc>
        <w:tc>
          <w:tcPr>
            <w:tcW w:w="1772" w:type="dxa"/>
            <w:tcBorders>
              <w:tl2br w:val="nil"/>
              <w:tr2bl w:val="nil"/>
            </w:tcBorders>
            <w:noWrap w:val="0"/>
            <w:vAlign w:val="center"/>
          </w:tcPr>
          <w:p w14:paraId="138C79D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200</w:t>
            </w:r>
          </w:p>
        </w:tc>
        <w:tc>
          <w:tcPr>
            <w:tcW w:w="1803" w:type="dxa"/>
            <w:tcBorders>
              <w:tl2br w:val="nil"/>
              <w:tr2bl w:val="nil"/>
            </w:tcBorders>
            <w:noWrap w:val="0"/>
            <w:vAlign w:val="center"/>
          </w:tcPr>
          <w:p w14:paraId="5D229F3C">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80</w:t>
            </w:r>
          </w:p>
        </w:tc>
        <w:tc>
          <w:tcPr>
            <w:tcW w:w="1796" w:type="dxa"/>
            <w:tcBorders>
              <w:tl2br w:val="nil"/>
              <w:tr2bl w:val="nil"/>
            </w:tcBorders>
            <w:noWrap w:val="0"/>
            <w:vAlign w:val="center"/>
          </w:tcPr>
          <w:p w14:paraId="26271B9A">
            <w:pPr>
              <w:pStyle w:val="24"/>
              <w:rPr>
                <w:rFonts w:hint="default" w:ascii="Times New Roman" w:hAnsi="Times New Roman" w:cs="Times New Roman"/>
                <w:color w:val="auto"/>
                <w:u w:val="none" w:color="auto"/>
              </w:rPr>
            </w:pPr>
            <w:r>
              <w:rPr>
                <w:rFonts w:hint="default" w:ascii="Times New Roman" w:hAnsi="Times New Roman" w:cs="Times New Roman"/>
                <w:color w:val="auto"/>
                <w:sz w:val="21"/>
                <w:szCs w:val="21"/>
                <w:u w:val="none" w:color="auto"/>
              </w:rPr>
              <w:t>/</w:t>
            </w:r>
          </w:p>
        </w:tc>
        <w:tc>
          <w:tcPr>
            <w:tcW w:w="1793" w:type="dxa"/>
            <w:tcBorders>
              <w:tl2br w:val="nil"/>
              <w:tr2bl w:val="nil"/>
            </w:tcBorders>
            <w:noWrap w:val="0"/>
            <w:vAlign w:val="center"/>
          </w:tcPr>
          <w:p w14:paraId="655853B9">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40</w:t>
            </w:r>
          </w:p>
        </w:tc>
      </w:tr>
      <w:tr w14:paraId="1267B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132DAD91">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PM</w:t>
            </w:r>
            <w:r>
              <w:rPr>
                <w:rFonts w:hint="default" w:ascii="Times New Roman" w:hAnsi="Times New Roman" w:cs="Times New Roman"/>
                <w:color w:val="auto"/>
                <w:u w:val="none" w:color="auto"/>
                <w:vertAlign w:val="subscript"/>
              </w:rPr>
              <w:t>10</w:t>
            </w:r>
          </w:p>
        </w:tc>
        <w:tc>
          <w:tcPr>
            <w:tcW w:w="1772" w:type="dxa"/>
            <w:tcBorders>
              <w:tl2br w:val="nil"/>
              <w:tr2bl w:val="nil"/>
            </w:tcBorders>
            <w:noWrap w:val="0"/>
            <w:vAlign w:val="center"/>
          </w:tcPr>
          <w:p w14:paraId="09CA6EE1">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c>
          <w:tcPr>
            <w:tcW w:w="1803" w:type="dxa"/>
            <w:tcBorders>
              <w:tl2br w:val="nil"/>
              <w:tr2bl w:val="nil"/>
            </w:tcBorders>
            <w:noWrap w:val="0"/>
            <w:vAlign w:val="center"/>
          </w:tcPr>
          <w:p w14:paraId="2AD57EA0">
            <w:pPr>
              <w:pStyle w:val="24"/>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val="en-US" w:eastAsia="zh-CN"/>
              </w:rPr>
              <w:t>150</w:t>
            </w:r>
          </w:p>
        </w:tc>
        <w:tc>
          <w:tcPr>
            <w:tcW w:w="1796" w:type="dxa"/>
            <w:tcBorders>
              <w:tl2br w:val="nil"/>
              <w:tr2bl w:val="nil"/>
            </w:tcBorders>
            <w:noWrap w:val="0"/>
            <w:vAlign w:val="center"/>
          </w:tcPr>
          <w:p w14:paraId="509B617D">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sz w:val="21"/>
                <w:szCs w:val="21"/>
                <w:u w:val="none" w:color="auto"/>
              </w:rPr>
              <w:t>/</w:t>
            </w:r>
          </w:p>
        </w:tc>
        <w:tc>
          <w:tcPr>
            <w:tcW w:w="1793" w:type="dxa"/>
            <w:tcBorders>
              <w:tl2br w:val="nil"/>
              <w:tr2bl w:val="nil"/>
            </w:tcBorders>
            <w:noWrap w:val="0"/>
            <w:vAlign w:val="center"/>
          </w:tcPr>
          <w:p w14:paraId="28B32A46">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70</w:t>
            </w:r>
          </w:p>
        </w:tc>
      </w:tr>
      <w:tr w14:paraId="16144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5DA74C52">
            <w:pPr>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PM</w:t>
            </w:r>
            <w:r>
              <w:rPr>
                <w:rFonts w:hint="default" w:ascii="Times New Roman" w:hAnsi="Times New Roman" w:cs="Times New Roman"/>
                <w:color w:val="auto"/>
                <w:sz w:val="21"/>
                <w:szCs w:val="21"/>
                <w:u w:val="none" w:color="auto"/>
                <w:vertAlign w:val="subscript"/>
                <w:lang w:val="en-US" w:eastAsia="zh-CN"/>
              </w:rPr>
              <w:t>2.5</w:t>
            </w:r>
          </w:p>
        </w:tc>
        <w:tc>
          <w:tcPr>
            <w:tcW w:w="1772" w:type="dxa"/>
            <w:tcBorders>
              <w:tl2br w:val="nil"/>
              <w:tr2bl w:val="nil"/>
            </w:tcBorders>
            <w:noWrap w:val="0"/>
            <w:vAlign w:val="center"/>
          </w:tcPr>
          <w:p w14:paraId="28EA5643">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803" w:type="dxa"/>
            <w:tcBorders>
              <w:tl2br w:val="nil"/>
              <w:tr2bl w:val="nil"/>
            </w:tcBorders>
            <w:noWrap w:val="0"/>
            <w:vAlign w:val="center"/>
          </w:tcPr>
          <w:p w14:paraId="25E03195">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75</w:t>
            </w:r>
          </w:p>
        </w:tc>
        <w:tc>
          <w:tcPr>
            <w:tcW w:w="1796" w:type="dxa"/>
            <w:tcBorders>
              <w:tl2br w:val="nil"/>
              <w:tr2bl w:val="nil"/>
            </w:tcBorders>
            <w:noWrap w:val="0"/>
            <w:vAlign w:val="center"/>
          </w:tcPr>
          <w:p w14:paraId="1AA94050">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5A6FFABD">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35</w:t>
            </w:r>
          </w:p>
        </w:tc>
      </w:tr>
      <w:tr w14:paraId="173B92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2F8D2638">
            <w:pPr>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lang w:val="en-US" w:eastAsia="zh-CN"/>
              </w:rPr>
              <w:t>C</w:t>
            </w:r>
            <w:r>
              <w:rPr>
                <w:rFonts w:hint="default" w:ascii="Times New Roman" w:hAnsi="Times New Roman" w:cs="Times New Roman"/>
                <w:color w:val="auto"/>
                <w:sz w:val="21"/>
                <w:szCs w:val="21"/>
                <w:u w:val="none" w:color="auto"/>
              </w:rPr>
              <w:t>O</w:t>
            </w:r>
          </w:p>
        </w:tc>
        <w:tc>
          <w:tcPr>
            <w:tcW w:w="1772" w:type="dxa"/>
            <w:tcBorders>
              <w:tl2br w:val="nil"/>
              <w:tr2bl w:val="nil"/>
            </w:tcBorders>
            <w:noWrap w:val="0"/>
            <w:vAlign w:val="center"/>
          </w:tcPr>
          <w:p w14:paraId="572FEE10">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10000</w:t>
            </w:r>
          </w:p>
        </w:tc>
        <w:tc>
          <w:tcPr>
            <w:tcW w:w="1803" w:type="dxa"/>
            <w:tcBorders>
              <w:tl2br w:val="nil"/>
              <w:tr2bl w:val="nil"/>
            </w:tcBorders>
            <w:noWrap w:val="0"/>
            <w:vAlign w:val="center"/>
          </w:tcPr>
          <w:p w14:paraId="0DB96DE3">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4000</w:t>
            </w:r>
          </w:p>
        </w:tc>
        <w:tc>
          <w:tcPr>
            <w:tcW w:w="1796" w:type="dxa"/>
            <w:tcBorders>
              <w:tl2br w:val="nil"/>
              <w:tr2bl w:val="nil"/>
            </w:tcBorders>
            <w:noWrap w:val="0"/>
            <w:vAlign w:val="center"/>
          </w:tcPr>
          <w:p w14:paraId="2D120797">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3A73EB33">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r>
      <w:tr w14:paraId="3A657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0C7ED333">
            <w:pPr>
              <w:jc w:val="center"/>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O</w:t>
            </w:r>
            <w:r>
              <w:rPr>
                <w:rFonts w:hint="default" w:ascii="Times New Roman" w:hAnsi="Times New Roman" w:cs="Times New Roman"/>
                <w:color w:val="auto"/>
                <w:sz w:val="21"/>
                <w:szCs w:val="21"/>
                <w:u w:val="none" w:color="auto"/>
                <w:vertAlign w:val="subscript"/>
                <w:lang w:val="en-US" w:eastAsia="zh-CN"/>
              </w:rPr>
              <w:t>3</w:t>
            </w:r>
          </w:p>
        </w:tc>
        <w:tc>
          <w:tcPr>
            <w:tcW w:w="1772" w:type="dxa"/>
            <w:tcBorders>
              <w:tl2br w:val="nil"/>
              <w:tr2bl w:val="nil"/>
            </w:tcBorders>
            <w:noWrap w:val="0"/>
            <w:vAlign w:val="center"/>
          </w:tcPr>
          <w:p w14:paraId="30141BC6">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200</w:t>
            </w:r>
          </w:p>
        </w:tc>
        <w:tc>
          <w:tcPr>
            <w:tcW w:w="1803" w:type="dxa"/>
            <w:tcBorders>
              <w:tl2br w:val="nil"/>
              <w:tr2bl w:val="nil"/>
            </w:tcBorders>
            <w:noWrap w:val="0"/>
            <w:vAlign w:val="center"/>
          </w:tcPr>
          <w:p w14:paraId="08B8CAFA">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796" w:type="dxa"/>
            <w:tcBorders>
              <w:tl2br w:val="nil"/>
              <w:tr2bl w:val="nil"/>
            </w:tcBorders>
            <w:noWrap w:val="0"/>
            <w:vAlign w:val="center"/>
          </w:tcPr>
          <w:p w14:paraId="735B9C82">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160</w:t>
            </w:r>
          </w:p>
        </w:tc>
        <w:tc>
          <w:tcPr>
            <w:tcW w:w="1793" w:type="dxa"/>
            <w:tcBorders>
              <w:tl2br w:val="nil"/>
              <w:tr2bl w:val="nil"/>
            </w:tcBorders>
            <w:noWrap w:val="0"/>
            <w:vAlign w:val="center"/>
          </w:tcPr>
          <w:p w14:paraId="38505F6E">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r>
      <w:tr w14:paraId="14C71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6C19775A">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TSP</w:t>
            </w:r>
          </w:p>
        </w:tc>
        <w:tc>
          <w:tcPr>
            <w:tcW w:w="1772" w:type="dxa"/>
            <w:tcBorders>
              <w:tl2br w:val="nil"/>
              <w:tr2bl w:val="nil"/>
            </w:tcBorders>
            <w:noWrap w:val="0"/>
            <w:vAlign w:val="center"/>
          </w:tcPr>
          <w:p w14:paraId="75838B8B">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803" w:type="dxa"/>
            <w:tcBorders>
              <w:tl2br w:val="nil"/>
              <w:tr2bl w:val="nil"/>
            </w:tcBorders>
            <w:noWrap w:val="0"/>
            <w:vAlign w:val="center"/>
          </w:tcPr>
          <w:p w14:paraId="46B55BFE">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300</w:t>
            </w:r>
          </w:p>
        </w:tc>
        <w:tc>
          <w:tcPr>
            <w:tcW w:w="1796" w:type="dxa"/>
            <w:tcBorders>
              <w:tl2br w:val="nil"/>
              <w:tr2bl w:val="nil"/>
            </w:tcBorders>
            <w:noWrap w:val="0"/>
            <w:vAlign w:val="center"/>
          </w:tcPr>
          <w:p w14:paraId="26B6AFCA">
            <w:pPr>
              <w:pStyle w:val="24"/>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7AE3068D">
            <w:pPr>
              <w:pStyle w:val="24"/>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200</w:t>
            </w:r>
          </w:p>
        </w:tc>
      </w:tr>
      <w:tr w14:paraId="3AA48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0FA169F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非甲烷总烃</w:t>
            </w:r>
          </w:p>
        </w:tc>
        <w:tc>
          <w:tcPr>
            <w:tcW w:w="1772" w:type="dxa"/>
            <w:tcBorders>
              <w:tl2br w:val="nil"/>
              <w:tr2bl w:val="nil"/>
            </w:tcBorders>
            <w:noWrap w:val="0"/>
            <w:vAlign w:val="center"/>
          </w:tcPr>
          <w:p w14:paraId="787672CB">
            <w:pPr>
              <w:pStyle w:val="24"/>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olor w:val="auto"/>
                <w:u w:val="none" w:color="auto"/>
              </w:rPr>
              <w:t>2000（一次浓度限值）</w:t>
            </w:r>
          </w:p>
        </w:tc>
        <w:tc>
          <w:tcPr>
            <w:tcW w:w="1803" w:type="dxa"/>
            <w:tcBorders>
              <w:tl2br w:val="nil"/>
              <w:tr2bl w:val="nil"/>
            </w:tcBorders>
            <w:noWrap w:val="0"/>
            <w:vAlign w:val="center"/>
          </w:tcPr>
          <w:p w14:paraId="00591DD8">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w:t>
            </w:r>
          </w:p>
        </w:tc>
        <w:tc>
          <w:tcPr>
            <w:tcW w:w="1796" w:type="dxa"/>
            <w:tcBorders>
              <w:tl2br w:val="nil"/>
              <w:tr2bl w:val="nil"/>
            </w:tcBorders>
            <w:noWrap w:val="0"/>
            <w:vAlign w:val="center"/>
          </w:tcPr>
          <w:p w14:paraId="6A6012F3">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4F305182">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w:t>
            </w:r>
          </w:p>
        </w:tc>
      </w:tr>
      <w:tr w14:paraId="51A03B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67C84011">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TVOC</w:t>
            </w:r>
          </w:p>
        </w:tc>
        <w:tc>
          <w:tcPr>
            <w:tcW w:w="1772" w:type="dxa"/>
            <w:tcBorders>
              <w:tl2br w:val="nil"/>
              <w:tr2bl w:val="nil"/>
            </w:tcBorders>
            <w:noWrap w:val="0"/>
            <w:vAlign w:val="center"/>
          </w:tcPr>
          <w:p w14:paraId="0F92B052">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803" w:type="dxa"/>
            <w:tcBorders>
              <w:tl2br w:val="nil"/>
              <w:tr2bl w:val="nil"/>
            </w:tcBorders>
            <w:noWrap w:val="0"/>
            <w:vAlign w:val="center"/>
          </w:tcPr>
          <w:p w14:paraId="0E2193C7">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796" w:type="dxa"/>
            <w:tcBorders>
              <w:tl2br w:val="nil"/>
              <w:tr2bl w:val="nil"/>
            </w:tcBorders>
            <w:noWrap w:val="0"/>
            <w:vAlign w:val="center"/>
          </w:tcPr>
          <w:p w14:paraId="70758DE7">
            <w:pPr>
              <w:pStyle w:val="24"/>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600</w:t>
            </w:r>
          </w:p>
        </w:tc>
        <w:tc>
          <w:tcPr>
            <w:tcW w:w="1793" w:type="dxa"/>
            <w:tcBorders>
              <w:tl2br w:val="nil"/>
              <w:tr2bl w:val="nil"/>
            </w:tcBorders>
            <w:noWrap w:val="0"/>
            <w:vAlign w:val="center"/>
          </w:tcPr>
          <w:p w14:paraId="74080161">
            <w:pPr>
              <w:pStyle w:val="24"/>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w:t>
            </w:r>
          </w:p>
        </w:tc>
      </w:tr>
      <w:tr w14:paraId="00E246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625A05A0">
            <w:pPr>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氯化氢</w:t>
            </w:r>
          </w:p>
        </w:tc>
        <w:tc>
          <w:tcPr>
            <w:tcW w:w="1772" w:type="dxa"/>
            <w:tcBorders>
              <w:tl2br w:val="nil"/>
              <w:tr2bl w:val="nil"/>
            </w:tcBorders>
            <w:noWrap w:val="0"/>
            <w:vAlign w:val="center"/>
          </w:tcPr>
          <w:p w14:paraId="5C82BD0E">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50</w:t>
            </w:r>
          </w:p>
        </w:tc>
        <w:tc>
          <w:tcPr>
            <w:tcW w:w="1803" w:type="dxa"/>
            <w:tcBorders>
              <w:tl2br w:val="nil"/>
              <w:tr2bl w:val="nil"/>
            </w:tcBorders>
            <w:noWrap w:val="0"/>
            <w:vAlign w:val="center"/>
          </w:tcPr>
          <w:p w14:paraId="7C37CF68">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15</w:t>
            </w:r>
          </w:p>
        </w:tc>
        <w:tc>
          <w:tcPr>
            <w:tcW w:w="1796" w:type="dxa"/>
            <w:tcBorders>
              <w:tl2br w:val="nil"/>
              <w:tr2bl w:val="nil"/>
            </w:tcBorders>
            <w:noWrap w:val="0"/>
            <w:vAlign w:val="center"/>
          </w:tcPr>
          <w:p w14:paraId="366CF4E9">
            <w:pPr>
              <w:pStyle w:val="24"/>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046BEA80">
            <w:pPr>
              <w:pStyle w:val="24"/>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r>
      <w:tr w14:paraId="2CB96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0" w:type="dxa"/>
            <w:tcBorders>
              <w:tl2br w:val="nil"/>
              <w:tr2bl w:val="nil"/>
            </w:tcBorders>
            <w:noWrap w:val="0"/>
            <w:vAlign w:val="center"/>
          </w:tcPr>
          <w:p w14:paraId="1FE07DF8">
            <w:pPr>
              <w:jc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二甲苯</w:t>
            </w:r>
          </w:p>
        </w:tc>
        <w:tc>
          <w:tcPr>
            <w:tcW w:w="1772" w:type="dxa"/>
            <w:tcBorders>
              <w:tl2br w:val="nil"/>
              <w:tr2bl w:val="nil"/>
            </w:tcBorders>
            <w:noWrap w:val="0"/>
            <w:vAlign w:val="center"/>
          </w:tcPr>
          <w:p w14:paraId="0CE29B76">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200</w:t>
            </w:r>
          </w:p>
        </w:tc>
        <w:tc>
          <w:tcPr>
            <w:tcW w:w="1803" w:type="dxa"/>
            <w:tcBorders>
              <w:tl2br w:val="nil"/>
              <w:tr2bl w:val="nil"/>
            </w:tcBorders>
            <w:noWrap w:val="0"/>
            <w:vAlign w:val="center"/>
          </w:tcPr>
          <w:p w14:paraId="441351EE">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w:t>
            </w:r>
          </w:p>
        </w:tc>
        <w:tc>
          <w:tcPr>
            <w:tcW w:w="1796" w:type="dxa"/>
            <w:tcBorders>
              <w:tl2br w:val="nil"/>
              <w:tr2bl w:val="nil"/>
            </w:tcBorders>
            <w:noWrap w:val="0"/>
            <w:vAlign w:val="center"/>
          </w:tcPr>
          <w:p w14:paraId="2633DBC6">
            <w:pPr>
              <w:pStyle w:val="24"/>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c>
          <w:tcPr>
            <w:tcW w:w="1793" w:type="dxa"/>
            <w:tcBorders>
              <w:tl2br w:val="nil"/>
              <w:tr2bl w:val="nil"/>
            </w:tcBorders>
            <w:noWrap w:val="0"/>
            <w:vAlign w:val="center"/>
          </w:tcPr>
          <w:p w14:paraId="46AB7F0F">
            <w:pPr>
              <w:pStyle w:val="24"/>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w:t>
            </w:r>
          </w:p>
        </w:tc>
      </w:tr>
    </w:tbl>
    <w:p w14:paraId="57B0C99F">
      <w:pPr>
        <w:pStyle w:val="20"/>
        <w:numPr>
          <w:ilvl w:val="0"/>
          <w:numId w:val="3"/>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w:t>
      </w:r>
      <w:r>
        <w:rPr>
          <w:rFonts w:hint="default" w:ascii="Times New Roman" w:hAnsi="Times New Roman" w:cs="Times New Roman"/>
          <w:color w:val="auto"/>
          <w:u w:val="none" w:color="auto"/>
          <w:lang w:eastAsia="zh-CN"/>
        </w:rPr>
        <w:t>表</w:t>
      </w:r>
      <w:r>
        <w:rPr>
          <w:rFonts w:hint="default" w:ascii="Times New Roman" w:hAnsi="Times New Roman" w:cs="Times New Roman"/>
          <w:color w:val="auto"/>
          <w:u w:val="none" w:color="auto"/>
        </w:rPr>
        <w:t>水环境：</w:t>
      </w:r>
      <w:r>
        <w:rPr>
          <w:color w:val="auto"/>
          <w:u w:val="none" w:color="auto"/>
        </w:rPr>
        <w:t>本项目纳污水体为</w:t>
      </w:r>
      <w:r>
        <w:rPr>
          <w:rFonts w:hint="eastAsia"/>
          <w:color w:val="auto"/>
          <w:u w:val="none" w:color="auto"/>
          <w:lang w:eastAsia="zh-CN"/>
        </w:rPr>
        <w:t>汨罗江，</w:t>
      </w:r>
      <w:r>
        <w:rPr>
          <w:rFonts w:hint="eastAsia"/>
          <w:color w:val="auto"/>
          <w:u w:val="none" w:color="auto"/>
        </w:rPr>
        <w:t>根据《湖南省主要地表水系水环境功能区划》（DB43/023-2005）、《湖南省生态环境厅关于划定岳阳市汨罗市新市自来水厂汨罗江饮用水水源保护区的复函》（湘环函[2021]216号），</w:t>
      </w:r>
      <w:r>
        <w:rPr>
          <w:rFonts w:hint="eastAsia"/>
          <w:color w:val="auto"/>
          <w:u w:val="none" w:color="auto"/>
          <w:lang w:val="en-US" w:eastAsia="zh-CN"/>
        </w:rPr>
        <w:t>汨罗江新市断面</w:t>
      </w:r>
      <w:r>
        <w:rPr>
          <w:rFonts w:hint="eastAsia"/>
          <w:color w:val="auto"/>
          <w:u w:val="none" w:color="auto"/>
        </w:rPr>
        <w:t>至磊石</w:t>
      </w:r>
      <w:r>
        <w:rPr>
          <w:rFonts w:hint="eastAsia"/>
          <w:color w:val="auto"/>
          <w:u w:val="none" w:color="auto"/>
          <w:lang w:val="en-US" w:eastAsia="zh-CN"/>
        </w:rPr>
        <w:t>水域</w:t>
      </w:r>
      <w:r>
        <w:rPr>
          <w:rFonts w:hint="eastAsia"/>
          <w:color w:val="auto"/>
          <w:u w:val="none" w:color="auto"/>
        </w:rPr>
        <w:t>地表水环境质量执行《地表水环境质量标准》(GB3838-2002)中Ⅲ类。</w:t>
      </w:r>
    </w:p>
    <w:p w14:paraId="67F6895F">
      <w:pPr>
        <w:pStyle w:val="22"/>
        <w:bidi w:val="0"/>
        <w:rPr>
          <w:rFonts w:hint="eastAsia" w:eastAsia="宋体"/>
          <w:color w:val="auto"/>
          <w:u w:val="none" w:color="auto"/>
          <w:lang w:eastAsia="zh-CN"/>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5</w:t>
      </w:r>
      <w:r>
        <w:rPr>
          <w:rFonts w:hint="default"/>
          <w:color w:val="auto"/>
          <w:u w:val="none" w:color="auto"/>
        </w:rPr>
        <w:t xml:space="preserve"> 地表水环境质量标准</w:t>
      </w:r>
      <w:bookmarkStart w:id="406" w:name="_Toc293492841"/>
    </w:p>
    <w:bookmarkEnd w:id="406"/>
    <w:tbl>
      <w:tblPr>
        <w:tblStyle w:val="16"/>
        <w:tblW w:w="50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89"/>
        <w:gridCol w:w="1981"/>
        <w:gridCol w:w="1541"/>
        <w:gridCol w:w="3575"/>
      </w:tblGrid>
      <w:tr w14:paraId="45D051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18BD7E6A">
            <w:pPr>
              <w:pStyle w:val="24"/>
              <w:rPr>
                <w:rFonts w:hint="default" w:ascii="Times New Roman" w:hAnsi="Times New Roman" w:cs="Times New Roman"/>
                <w:b/>
                <w:bCs/>
                <w:color w:val="auto"/>
                <w:kern w:val="2"/>
                <w:szCs w:val="24"/>
                <w:highlight w:val="none"/>
                <w:u w:val="none" w:color="auto"/>
                <w:lang w:val="en-US" w:eastAsia="zh-CN"/>
              </w:rPr>
            </w:pPr>
            <w:r>
              <w:rPr>
                <w:rFonts w:hint="default" w:ascii="Times New Roman" w:hAnsi="Times New Roman" w:cs="Times New Roman"/>
                <w:b/>
                <w:bCs/>
                <w:color w:val="auto"/>
                <w:kern w:val="2"/>
                <w:szCs w:val="24"/>
                <w:highlight w:val="none"/>
                <w:u w:val="none" w:color="auto"/>
                <w:lang w:val="en-US" w:eastAsia="zh-CN"/>
              </w:rPr>
              <w:t>序号</w:t>
            </w:r>
          </w:p>
        </w:tc>
        <w:tc>
          <w:tcPr>
            <w:tcW w:w="1974" w:type="dxa"/>
            <w:noWrap w:val="0"/>
            <w:vAlign w:val="center"/>
          </w:tcPr>
          <w:p w14:paraId="40071B78">
            <w:pPr>
              <w:pStyle w:val="24"/>
              <w:rPr>
                <w:rFonts w:hint="default" w:ascii="Times New Roman" w:hAnsi="Times New Roman" w:cs="Times New Roman"/>
                <w:b/>
                <w:bCs/>
                <w:color w:val="auto"/>
                <w:kern w:val="2"/>
                <w:szCs w:val="24"/>
                <w:highlight w:val="none"/>
                <w:u w:val="none" w:color="auto"/>
                <w:lang w:val="en-US" w:eastAsia="zh-CN"/>
              </w:rPr>
            </w:pPr>
            <w:r>
              <w:rPr>
                <w:rFonts w:hint="default" w:ascii="Times New Roman" w:hAnsi="Times New Roman" w:cs="Times New Roman"/>
                <w:b/>
                <w:bCs/>
                <w:color w:val="auto"/>
                <w:kern w:val="2"/>
                <w:szCs w:val="24"/>
                <w:highlight w:val="none"/>
                <w:u w:val="none" w:color="auto"/>
                <w:lang w:val="en-US" w:eastAsia="zh-CN"/>
              </w:rPr>
              <w:t>项目</w:t>
            </w:r>
          </w:p>
        </w:tc>
        <w:tc>
          <w:tcPr>
            <w:tcW w:w="1536" w:type="dxa"/>
            <w:noWrap w:val="0"/>
            <w:vAlign w:val="center"/>
          </w:tcPr>
          <w:p w14:paraId="63ABFD22">
            <w:pPr>
              <w:pStyle w:val="24"/>
              <w:rPr>
                <w:rFonts w:hint="default" w:ascii="Times New Roman" w:hAnsi="Times New Roman" w:cs="Times New Roman"/>
                <w:b/>
                <w:bCs/>
                <w:color w:val="auto"/>
                <w:kern w:val="2"/>
                <w:szCs w:val="24"/>
                <w:highlight w:val="none"/>
                <w:u w:val="none" w:color="auto"/>
                <w:lang w:val="en-US" w:eastAsia="zh-CN"/>
              </w:rPr>
            </w:pPr>
            <w:r>
              <w:rPr>
                <w:rFonts w:hint="eastAsia" w:ascii="Times New Roman" w:hAnsi="Times New Roman" w:cs="Times New Roman"/>
                <w:b/>
                <w:bCs/>
                <w:color w:val="auto"/>
                <w:kern w:val="2"/>
                <w:szCs w:val="24"/>
                <w:highlight w:val="none"/>
                <w:u w:val="none" w:color="auto"/>
                <w:lang w:val="en-US" w:eastAsia="zh-CN"/>
              </w:rPr>
              <w:t>单位</w:t>
            </w:r>
          </w:p>
        </w:tc>
        <w:tc>
          <w:tcPr>
            <w:tcW w:w="3562" w:type="dxa"/>
            <w:noWrap w:val="0"/>
            <w:vAlign w:val="center"/>
          </w:tcPr>
          <w:p w14:paraId="1A139954">
            <w:pPr>
              <w:pStyle w:val="24"/>
              <w:rPr>
                <w:rFonts w:hint="default" w:ascii="Times New Roman" w:hAnsi="Times New Roman" w:cs="Times New Roman"/>
                <w:b/>
                <w:bCs/>
                <w:color w:val="auto"/>
                <w:kern w:val="2"/>
                <w:szCs w:val="24"/>
                <w:highlight w:val="none"/>
                <w:u w:val="none" w:color="auto"/>
                <w:lang w:val="en-US" w:eastAsia="zh-CN"/>
              </w:rPr>
            </w:pPr>
            <w:r>
              <w:rPr>
                <w:rFonts w:hint="eastAsia"/>
                <w:b/>
                <w:bCs/>
                <w:color w:val="auto"/>
                <w:u w:val="none" w:color="auto"/>
              </w:rPr>
              <w:t>（GB3838-2002）中Ⅲ类标准</w:t>
            </w:r>
          </w:p>
        </w:tc>
      </w:tr>
      <w:tr w14:paraId="580C7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5F7CFA09">
            <w:pPr>
              <w:pStyle w:val="24"/>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1</w:t>
            </w:r>
          </w:p>
        </w:tc>
        <w:tc>
          <w:tcPr>
            <w:tcW w:w="1974" w:type="dxa"/>
            <w:noWrap w:val="0"/>
            <w:vAlign w:val="center"/>
          </w:tcPr>
          <w:p w14:paraId="285070D4">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color w:val="auto"/>
                <w:u w:val="none" w:color="auto"/>
              </w:rPr>
              <w:t>pH</w:t>
            </w:r>
          </w:p>
        </w:tc>
        <w:tc>
          <w:tcPr>
            <w:tcW w:w="1536" w:type="dxa"/>
            <w:noWrap w:val="0"/>
            <w:vAlign w:val="center"/>
          </w:tcPr>
          <w:p w14:paraId="2D09B6FA">
            <w:pPr>
              <w:pStyle w:val="31"/>
              <w:bidi w:val="0"/>
              <w:rPr>
                <w:rFonts w:hint="eastAsia" w:eastAsia="宋体"/>
                <w:color w:val="auto"/>
                <w:u w:val="none" w:color="auto"/>
                <w:lang w:val="en-US" w:eastAsia="zh-CN"/>
              </w:rPr>
            </w:pPr>
            <w:r>
              <w:rPr>
                <w:rFonts w:hint="eastAsia"/>
                <w:color w:val="auto"/>
                <w:u w:val="none" w:color="auto"/>
                <w:lang w:val="en-US" w:eastAsia="zh-CN"/>
              </w:rPr>
              <w:t>无量纲</w:t>
            </w:r>
          </w:p>
        </w:tc>
        <w:tc>
          <w:tcPr>
            <w:tcW w:w="3562" w:type="dxa"/>
            <w:noWrap w:val="0"/>
            <w:vAlign w:val="center"/>
          </w:tcPr>
          <w:p w14:paraId="410FC690">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color w:val="auto"/>
                <w:u w:val="none" w:color="auto"/>
              </w:rPr>
              <w:t>6~9</w:t>
            </w:r>
          </w:p>
        </w:tc>
      </w:tr>
      <w:tr w14:paraId="35F3CD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29EC9553">
            <w:pPr>
              <w:pStyle w:val="24"/>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2</w:t>
            </w:r>
          </w:p>
        </w:tc>
        <w:tc>
          <w:tcPr>
            <w:tcW w:w="1974" w:type="dxa"/>
            <w:noWrap w:val="0"/>
            <w:vAlign w:val="center"/>
          </w:tcPr>
          <w:p w14:paraId="4CE3D84D">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溶解氧</w:t>
            </w:r>
          </w:p>
        </w:tc>
        <w:tc>
          <w:tcPr>
            <w:tcW w:w="1536" w:type="dxa"/>
            <w:noWrap w:val="0"/>
            <w:vAlign w:val="center"/>
          </w:tcPr>
          <w:p w14:paraId="0A273FF7">
            <w:pPr>
              <w:pStyle w:val="31"/>
              <w:bidi w:val="0"/>
              <w:rPr>
                <w:rFonts w:hint="eastAsia" w:eastAsia="宋体"/>
                <w:color w:val="auto"/>
                <w:u w:val="none" w:color="auto"/>
                <w:lang w:val="en-US" w:eastAsia="zh-CN"/>
              </w:rPr>
            </w:pPr>
            <w:r>
              <w:rPr>
                <w:rFonts w:hint="eastAsia"/>
                <w:color w:val="auto"/>
                <w:u w:val="none" w:color="auto"/>
                <w:lang w:val="en-US" w:eastAsia="zh-CN"/>
              </w:rPr>
              <w:t>mg/L</w:t>
            </w:r>
          </w:p>
        </w:tc>
        <w:tc>
          <w:tcPr>
            <w:tcW w:w="3562" w:type="dxa"/>
            <w:noWrap w:val="0"/>
            <w:vAlign w:val="center"/>
          </w:tcPr>
          <w:p w14:paraId="78FE94A5">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≥5</w:t>
            </w:r>
          </w:p>
        </w:tc>
      </w:tr>
      <w:tr w14:paraId="53EA0F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1E334897">
            <w:pPr>
              <w:pStyle w:val="24"/>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3</w:t>
            </w:r>
          </w:p>
        </w:tc>
        <w:tc>
          <w:tcPr>
            <w:tcW w:w="1974" w:type="dxa"/>
            <w:noWrap w:val="0"/>
            <w:vAlign w:val="center"/>
          </w:tcPr>
          <w:p w14:paraId="5A584F46">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总氮</w:t>
            </w:r>
          </w:p>
        </w:tc>
        <w:tc>
          <w:tcPr>
            <w:tcW w:w="1536" w:type="dxa"/>
            <w:noWrap w:val="0"/>
            <w:vAlign w:val="center"/>
          </w:tcPr>
          <w:p w14:paraId="4326A95D">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21CF5FA6">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6C8C25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7AAA1376">
            <w:pPr>
              <w:pStyle w:val="24"/>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4</w:t>
            </w:r>
          </w:p>
        </w:tc>
        <w:tc>
          <w:tcPr>
            <w:tcW w:w="1974" w:type="dxa"/>
            <w:noWrap w:val="0"/>
            <w:vAlign w:val="center"/>
          </w:tcPr>
          <w:p w14:paraId="3EC765A3">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CODcr</w:t>
            </w:r>
          </w:p>
        </w:tc>
        <w:tc>
          <w:tcPr>
            <w:tcW w:w="1536" w:type="dxa"/>
            <w:noWrap w:val="0"/>
            <w:vAlign w:val="center"/>
          </w:tcPr>
          <w:p w14:paraId="6741F817">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19CBC8D4">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≤20</w:t>
            </w:r>
          </w:p>
        </w:tc>
      </w:tr>
      <w:tr w14:paraId="67AF72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024B93A7">
            <w:pPr>
              <w:pStyle w:val="24"/>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5</w:t>
            </w:r>
          </w:p>
        </w:tc>
        <w:tc>
          <w:tcPr>
            <w:tcW w:w="1974" w:type="dxa"/>
            <w:noWrap w:val="0"/>
            <w:vAlign w:val="center"/>
          </w:tcPr>
          <w:p w14:paraId="03454A77">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BOD</w:t>
            </w:r>
            <w:r>
              <w:rPr>
                <w:rFonts w:hint="eastAsia" w:cs="Times New Roman"/>
                <w:color w:val="auto"/>
                <w:kern w:val="2"/>
                <w:sz w:val="21"/>
                <w:szCs w:val="24"/>
                <w:highlight w:val="none"/>
                <w:u w:val="none" w:color="auto"/>
                <w:vertAlign w:val="subscript"/>
                <w:lang w:val="en-US" w:eastAsia="zh-CN" w:bidi="ar-SA"/>
              </w:rPr>
              <w:t>5</w:t>
            </w:r>
          </w:p>
        </w:tc>
        <w:tc>
          <w:tcPr>
            <w:tcW w:w="1536" w:type="dxa"/>
            <w:noWrap w:val="0"/>
            <w:vAlign w:val="center"/>
          </w:tcPr>
          <w:p w14:paraId="3F48C2B7">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1E38F33E">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≤4</w:t>
            </w:r>
          </w:p>
        </w:tc>
      </w:tr>
      <w:tr w14:paraId="31A37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6D49BEAE">
            <w:pPr>
              <w:pStyle w:val="24"/>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6</w:t>
            </w:r>
          </w:p>
        </w:tc>
        <w:tc>
          <w:tcPr>
            <w:tcW w:w="1974" w:type="dxa"/>
            <w:noWrap w:val="0"/>
            <w:vAlign w:val="center"/>
          </w:tcPr>
          <w:p w14:paraId="7B6FBC4C">
            <w:pPr>
              <w:pStyle w:val="31"/>
              <w:bidi w:val="0"/>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氨氮</w:t>
            </w:r>
          </w:p>
        </w:tc>
        <w:tc>
          <w:tcPr>
            <w:tcW w:w="1536" w:type="dxa"/>
            <w:noWrap w:val="0"/>
            <w:vAlign w:val="center"/>
          </w:tcPr>
          <w:p w14:paraId="58538C3A">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0B12BA29">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5C624A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60F38E0C">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7</w:t>
            </w:r>
          </w:p>
        </w:tc>
        <w:tc>
          <w:tcPr>
            <w:tcW w:w="1974" w:type="dxa"/>
            <w:noWrap w:val="0"/>
            <w:vAlign w:val="center"/>
          </w:tcPr>
          <w:p w14:paraId="1A28609E">
            <w:pPr>
              <w:pStyle w:val="31"/>
              <w:bidi w:val="0"/>
              <w:rPr>
                <w:rFonts w:hint="eastAsia" w:eastAsia="宋体"/>
                <w:color w:val="auto"/>
                <w:u w:val="none" w:color="auto"/>
                <w:lang w:val="en-US" w:eastAsia="zh-CN"/>
              </w:rPr>
            </w:pPr>
            <w:r>
              <w:rPr>
                <w:rFonts w:hint="eastAsia"/>
                <w:color w:val="auto"/>
                <w:u w:val="none" w:color="auto"/>
                <w:lang w:val="en-US" w:eastAsia="zh-CN"/>
              </w:rPr>
              <w:t>石油类</w:t>
            </w:r>
          </w:p>
        </w:tc>
        <w:tc>
          <w:tcPr>
            <w:tcW w:w="1536" w:type="dxa"/>
            <w:noWrap w:val="0"/>
            <w:vAlign w:val="center"/>
          </w:tcPr>
          <w:p w14:paraId="725DD7C1">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2DE2C82E">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≤0.05</w:t>
            </w:r>
          </w:p>
        </w:tc>
      </w:tr>
      <w:tr w14:paraId="669C3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33B6ED30">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8</w:t>
            </w:r>
          </w:p>
        </w:tc>
        <w:tc>
          <w:tcPr>
            <w:tcW w:w="1974" w:type="dxa"/>
            <w:noWrap w:val="0"/>
            <w:vAlign w:val="center"/>
          </w:tcPr>
          <w:p w14:paraId="7602C3FD">
            <w:pPr>
              <w:pStyle w:val="31"/>
              <w:bidi w:val="0"/>
              <w:rPr>
                <w:rFonts w:hint="eastAsia" w:eastAsia="宋体"/>
                <w:color w:val="auto"/>
                <w:u w:val="none" w:color="auto"/>
                <w:lang w:val="en-US" w:eastAsia="zh-CN"/>
              </w:rPr>
            </w:pPr>
            <w:r>
              <w:rPr>
                <w:rFonts w:hint="eastAsia"/>
                <w:color w:val="auto"/>
                <w:u w:val="none" w:color="auto"/>
                <w:lang w:val="en-US" w:eastAsia="zh-CN"/>
              </w:rPr>
              <w:t>总磷</w:t>
            </w:r>
          </w:p>
        </w:tc>
        <w:tc>
          <w:tcPr>
            <w:tcW w:w="1536" w:type="dxa"/>
            <w:noWrap w:val="0"/>
            <w:vAlign w:val="center"/>
          </w:tcPr>
          <w:p w14:paraId="270487AC">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3037EF97">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≤0.2</w:t>
            </w:r>
          </w:p>
        </w:tc>
      </w:tr>
      <w:tr w14:paraId="6052D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60FFD625">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9</w:t>
            </w:r>
          </w:p>
        </w:tc>
        <w:tc>
          <w:tcPr>
            <w:tcW w:w="1974" w:type="dxa"/>
            <w:noWrap w:val="0"/>
            <w:vAlign w:val="center"/>
          </w:tcPr>
          <w:p w14:paraId="44F5BA6D">
            <w:pPr>
              <w:pStyle w:val="31"/>
              <w:bidi w:val="0"/>
              <w:rPr>
                <w:rFonts w:hint="eastAsia" w:eastAsia="宋体"/>
                <w:color w:val="auto"/>
                <w:u w:val="none" w:color="auto"/>
                <w:lang w:val="en-US" w:eastAsia="zh-CN"/>
              </w:rPr>
            </w:pPr>
            <w:r>
              <w:rPr>
                <w:rFonts w:hint="eastAsia"/>
                <w:color w:val="auto"/>
                <w:u w:val="none" w:color="auto"/>
                <w:lang w:val="en-US" w:eastAsia="zh-CN"/>
              </w:rPr>
              <w:t>铜</w:t>
            </w:r>
          </w:p>
        </w:tc>
        <w:tc>
          <w:tcPr>
            <w:tcW w:w="1536" w:type="dxa"/>
            <w:noWrap w:val="0"/>
            <w:vAlign w:val="center"/>
          </w:tcPr>
          <w:p w14:paraId="32630F99">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0826CB69">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2A913D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6F535D8B">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10</w:t>
            </w:r>
          </w:p>
        </w:tc>
        <w:tc>
          <w:tcPr>
            <w:tcW w:w="1974" w:type="dxa"/>
            <w:noWrap w:val="0"/>
            <w:vAlign w:val="center"/>
          </w:tcPr>
          <w:p w14:paraId="7C2AFD0E">
            <w:pPr>
              <w:pStyle w:val="31"/>
              <w:bidi w:val="0"/>
              <w:rPr>
                <w:rFonts w:hint="eastAsia" w:eastAsia="宋体"/>
                <w:color w:val="auto"/>
                <w:u w:val="none" w:color="auto"/>
                <w:lang w:val="en-US" w:eastAsia="zh-CN"/>
              </w:rPr>
            </w:pPr>
            <w:r>
              <w:rPr>
                <w:rFonts w:hint="eastAsia"/>
                <w:color w:val="auto"/>
                <w:u w:val="none" w:color="auto"/>
                <w:lang w:val="en-US" w:eastAsia="zh-CN"/>
              </w:rPr>
              <w:t>铅</w:t>
            </w:r>
          </w:p>
        </w:tc>
        <w:tc>
          <w:tcPr>
            <w:tcW w:w="1536" w:type="dxa"/>
            <w:noWrap w:val="0"/>
            <w:vAlign w:val="center"/>
          </w:tcPr>
          <w:p w14:paraId="4E747845">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0631A643">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≤0.05</w:t>
            </w:r>
          </w:p>
        </w:tc>
      </w:tr>
      <w:tr w14:paraId="0B2636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647ABC5A">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11</w:t>
            </w:r>
          </w:p>
        </w:tc>
        <w:tc>
          <w:tcPr>
            <w:tcW w:w="1974" w:type="dxa"/>
            <w:noWrap w:val="0"/>
            <w:vAlign w:val="center"/>
          </w:tcPr>
          <w:p w14:paraId="1FEE034F">
            <w:pPr>
              <w:pStyle w:val="31"/>
              <w:bidi w:val="0"/>
              <w:rPr>
                <w:rFonts w:hint="eastAsia" w:eastAsia="宋体"/>
                <w:color w:val="auto"/>
                <w:u w:val="none" w:color="auto"/>
                <w:lang w:val="en-US" w:eastAsia="zh-CN"/>
              </w:rPr>
            </w:pPr>
            <w:r>
              <w:rPr>
                <w:rFonts w:hint="eastAsia"/>
                <w:color w:val="auto"/>
                <w:u w:val="none" w:color="auto"/>
                <w:lang w:val="en-US" w:eastAsia="zh-CN"/>
              </w:rPr>
              <w:t>镉</w:t>
            </w:r>
          </w:p>
        </w:tc>
        <w:tc>
          <w:tcPr>
            <w:tcW w:w="1536" w:type="dxa"/>
            <w:noWrap w:val="0"/>
            <w:vAlign w:val="center"/>
          </w:tcPr>
          <w:p w14:paraId="6FF2C187">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2F0E5C47">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≤0.005</w:t>
            </w:r>
          </w:p>
        </w:tc>
      </w:tr>
      <w:tr w14:paraId="12CCC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42F8D471">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12</w:t>
            </w:r>
          </w:p>
        </w:tc>
        <w:tc>
          <w:tcPr>
            <w:tcW w:w="1974" w:type="dxa"/>
            <w:noWrap w:val="0"/>
            <w:vAlign w:val="center"/>
          </w:tcPr>
          <w:p w14:paraId="2E49AC01">
            <w:pPr>
              <w:pStyle w:val="31"/>
              <w:bidi w:val="0"/>
              <w:rPr>
                <w:rFonts w:hint="eastAsia" w:eastAsia="宋体"/>
                <w:color w:val="auto"/>
                <w:u w:val="none" w:color="auto"/>
                <w:lang w:val="en-US" w:eastAsia="zh-CN"/>
              </w:rPr>
            </w:pPr>
            <w:r>
              <w:rPr>
                <w:rFonts w:hint="eastAsia"/>
                <w:color w:val="auto"/>
                <w:u w:val="none" w:color="auto"/>
                <w:lang w:val="en-US" w:eastAsia="zh-CN"/>
              </w:rPr>
              <w:t>砷</w:t>
            </w:r>
          </w:p>
        </w:tc>
        <w:tc>
          <w:tcPr>
            <w:tcW w:w="1536" w:type="dxa"/>
            <w:noWrap w:val="0"/>
            <w:vAlign w:val="center"/>
          </w:tcPr>
          <w:p w14:paraId="5A295E10">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0C7072EB">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≤0.05</w:t>
            </w:r>
          </w:p>
        </w:tc>
      </w:tr>
      <w:tr w14:paraId="639E2B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7357567E">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13</w:t>
            </w:r>
          </w:p>
        </w:tc>
        <w:tc>
          <w:tcPr>
            <w:tcW w:w="1974" w:type="dxa"/>
            <w:noWrap w:val="0"/>
            <w:vAlign w:val="center"/>
          </w:tcPr>
          <w:p w14:paraId="117A50C3">
            <w:pPr>
              <w:pStyle w:val="31"/>
              <w:bidi w:val="0"/>
              <w:rPr>
                <w:rFonts w:hint="eastAsia" w:eastAsia="宋体"/>
                <w:color w:val="auto"/>
                <w:u w:val="none" w:color="auto"/>
                <w:lang w:val="en-US" w:eastAsia="zh-CN"/>
              </w:rPr>
            </w:pPr>
            <w:r>
              <w:rPr>
                <w:rFonts w:hint="eastAsia"/>
                <w:color w:val="auto"/>
                <w:u w:val="none" w:color="auto"/>
                <w:lang w:val="en-US" w:eastAsia="zh-CN"/>
              </w:rPr>
              <w:t>汞</w:t>
            </w:r>
          </w:p>
        </w:tc>
        <w:tc>
          <w:tcPr>
            <w:tcW w:w="1536" w:type="dxa"/>
            <w:noWrap w:val="0"/>
            <w:vAlign w:val="center"/>
          </w:tcPr>
          <w:p w14:paraId="30D2C41B">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38CE05E4">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≤0.0001</w:t>
            </w:r>
          </w:p>
        </w:tc>
      </w:tr>
      <w:tr w14:paraId="4E280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43DBCDE4">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14</w:t>
            </w:r>
          </w:p>
        </w:tc>
        <w:tc>
          <w:tcPr>
            <w:tcW w:w="1974" w:type="dxa"/>
            <w:noWrap w:val="0"/>
            <w:vAlign w:val="center"/>
          </w:tcPr>
          <w:p w14:paraId="52AB8B70">
            <w:pPr>
              <w:pStyle w:val="31"/>
              <w:bidi w:val="0"/>
              <w:rPr>
                <w:rFonts w:hint="default" w:eastAsia="宋体"/>
                <w:color w:val="auto"/>
                <w:u w:val="none" w:color="auto"/>
                <w:lang w:val="en-US" w:eastAsia="zh-CN"/>
              </w:rPr>
            </w:pPr>
            <w:r>
              <w:rPr>
                <w:rFonts w:hint="eastAsia"/>
                <w:color w:val="auto"/>
                <w:u w:val="none" w:color="auto"/>
                <w:lang w:val="en-US" w:eastAsia="zh-CN"/>
              </w:rPr>
              <w:t>镍</w:t>
            </w:r>
          </w:p>
        </w:tc>
        <w:tc>
          <w:tcPr>
            <w:tcW w:w="1536" w:type="dxa"/>
            <w:noWrap w:val="0"/>
            <w:vAlign w:val="center"/>
          </w:tcPr>
          <w:p w14:paraId="65CCEEC8">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136549B0">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≤0.02</w:t>
            </w:r>
          </w:p>
        </w:tc>
      </w:tr>
      <w:tr w14:paraId="12A18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7924E9E4">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15</w:t>
            </w:r>
          </w:p>
        </w:tc>
        <w:tc>
          <w:tcPr>
            <w:tcW w:w="1974" w:type="dxa"/>
            <w:noWrap w:val="0"/>
            <w:vAlign w:val="center"/>
          </w:tcPr>
          <w:p w14:paraId="32733294">
            <w:pPr>
              <w:pStyle w:val="31"/>
              <w:bidi w:val="0"/>
              <w:rPr>
                <w:rFonts w:hint="eastAsia" w:eastAsia="宋体"/>
                <w:color w:val="auto"/>
                <w:u w:val="none" w:color="auto"/>
                <w:lang w:val="en-US" w:eastAsia="zh-CN"/>
              </w:rPr>
            </w:pPr>
            <w:r>
              <w:rPr>
                <w:rFonts w:hint="eastAsia"/>
                <w:color w:val="auto"/>
                <w:u w:val="none" w:color="auto"/>
                <w:lang w:val="en-US" w:eastAsia="zh-CN"/>
              </w:rPr>
              <w:t>六价铬</w:t>
            </w:r>
          </w:p>
        </w:tc>
        <w:tc>
          <w:tcPr>
            <w:tcW w:w="1536" w:type="dxa"/>
            <w:noWrap w:val="0"/>
            <w:vAlign w:val="center"/>
          </w:tcPr>
          <w:p w14:paraId="26C55B33">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0C4A3AAE">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≤0.05</w:t>
            </w:r>
          </w:p>
        </w:tc>
      </w:tr>
      <w:tr w14:paraId="4A7E44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5A16A0A9">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16</w:t>
            </w:r>
          </w:p>
        </w:tc>
        <w:tc>
          <w:tcPr>
            <w:tcW w:w="1974" w:type="dxa"/>
            <w:noWrap w:val="0"/>
            <w:vAlign w:val="center"/>
          </w:tcPr>
          <w:p w14:paraId="02CCF466">
            <w:pPr>
              <w:pStyle w:val="31"/>
              <w:bidi w:val="0"/>
              <w:rPr>
                <w:rFonts w:hint="eastAsia" w:eastAsia="宋体"/>
                <w:color w:val="auto"/>
                <w:u w:val="none" w:color="auto"/>
                <w:lang w:val="en-US" w:eastAsia="zh-CN"/>
              </w:rPr>
            </w:pPr>
            <w:r>
              <w:rPr>
                <w:rFonts w:hint="eastAsia"/>
                <w:color w:val="auto"/>
                <w:u w:val="none" w:color="auto"/>
                <w:lang w:val="en-US" w:eastAsia="zh-CN"/>
              </w:rPr>
              <w:t>锌</w:t>
            </w:r>
          </w:p>
        </w:tc>
        <w:tc>
          <w:tcPr>
            <w:tcW w:w="1536" w:type="dxa"/>
            <w:noWrap w:val="0"/>
            <w:vAlign w:val="center"/>
          </w:tcPr>
          <w:p w14:paraId="7F184FAE">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2A168B2C">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1ED530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26652FAD">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17</w:t>
            </w:r>
          </w:p>
        </w:tc>
        <w:tc>
          <w:tcPr>
            <w:tcW w:w="1974" w:type="dxa"/>
            <w:noWrap w:val="0"/>
            <w:vAlign w:val="center"/>
          </w:tcPr>
          <w:p w14:paraId="11E7575B">
            <w:pPr>
              <w:pStyle w:val="31"/>
              <w:bidi w:val="0"/>
              <w:rPr>
                <w:rFonts w:hint="eastAsia" w:eastAsia="宋体"/>
                <w:color w:val="auto"/>
                <w:u w:val="none" w:color="auto"/>
                <w:lang w:val="en-US" w:eastAsia="zh-CN"/>
              </w:rPr>
            </w:pPr>
            <w:r>
              <w:rPr>
                <w:rFonts w:hint="eastAsia"/>
                <w:color w:val="auto"/>
                <w:u w:val="none" w:color="auto"/>
                <w:lang w:val="en-US" w:eastAsia="zh-CN"/>
              </w:rPr>
              <w:t>钴</w:t>
            </w:r>
          </w:p>
        </w:tc>
        <w:tc>
          <w:tcPr>
            <w:tcW w:w="1536" w:type="dxa"/>
            <w:noWrap w:val="0"/>
            <w:vAlign w:val="center"/>
          </w:tcPr>
          <w:p w14:paraId="0D7216A7">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58776AF6">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≤1.0</w:t>
            </w:r>
          </w:p>
        </w:tc>
      </w:tr>
      <w:tr w14:paraId="06964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7CD31FAD">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18</w:t>
            </w:r>
          </w:p>
        </w:tc>
        <w:tc>
          <w:tcPr>
            <w:tcW w:w="1974" w:type="dxa"/>
            <w:noWrap w:val="0"/>
            <w:vAlign w:val="center"/>
          </w:tcPr>
          <w:p w14:paraId="5438B2E3">
            <w:pPr>
              <w:pStyle w:val="31"/>
              <w:bidi w:val="0"/>
              <w:rPr>
                <w:rFonts w:hint="eastAsia" w:eastAsia="宋体"/>
                <w:color w:val="auto"/>
                <w:u w:val="none" w:color="auto"/>
                <w:lang w:val="en-US" w:eastAsia="zh-CN"/>
              </w:rPr>
            </w:pPr>
            <w:r>
              <w:rPr>
                <w:rFonts w:hint="eastAsia"/>
                <w:color w:val="auto"/>
                <w:u w:val="none" w:color="auto"/>
                <w:lang w:val="en-US" w:eastAsia="zh-CN"/>
              </w:rPr>
              <w:t>锰</w:t>
            </w:r>
          </w:p>
        </w:tc>
        <w:tc>
          <w:tcPr>
            <w:tcW w:w="1536" w:type="dxa"/>
            <w:noWrap w:val="0"/>
            <w:vAlign w:val="center"/>
          </w:tcPr>
          <w:p w14:paraId="3EE0B9B5">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40DBB0EE">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≤0.1</w:t>
            </w:r>
          </w:p>
        </w:tc>
      </w:tr>
      <w:tr w14:paraId="6C785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57795F10">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19</w:t>
            </w:r>
          </w:p>
        </w:tc>
        <w:tc>
          <w:tcPr>
            <w:tcW w:w="1974" w:type="dxa"/>
            <w:noWrap w:val="0"/>
            <w:vAlign w:val="center"/>
          </w:tcPr>
          <w:p w14:paraId="1D2F6263">
            <w:pPr>
              <w:pStyle w:val="31"/>
              <w:bidi w:val="0"/>
              <w:rPr>
                <w:rFonts w:hint="eastAsia" w:eastAsia="宋体"/>
                <w:color w:val="auto"/>
                <w:u w:val="none" w:color="auto"/>
                <w:lang w:val="en-US" w:eastAsia="zh-CN"/>
              </w:rPr>
            </w:pPr>
            <w:r>
              <w:rPr>
                <w:rFonts w:hint="eastAsia"/>
                <w:color w:val="auto"/>
                <w:u w:val="none" w:color="auto"/>
                <w:lang w:val="en-US" w:eastAsia="zh-CN"/>
              </w:rPr>
              <w:t>锑</w:t>
            </w:r>
          </w:p>
        </w:tc>
        <w:tc>
          <w:tcPr>
            <w:tcW w:w="1536" w:type="dxa"/>
            <w:noWrap w:val="0"/>
            <w:vAlign w:val="center"/>
          </w:tcPr>
          <w:p w14:paraId="50BA7F48">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1B1DEA11">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≤0.005</w:t>
            </w:r>
          </w:p>
        </w:tc>
      </w:tr>
      <w:tr w14:paraId="1C8404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5F38713C">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20</w:t>
            </w:r>
          </w:p>
        </w:tc>
        <w:tc>
          <w:tcPr>
            <w:tcW w:w="1974" w:type="dxa"/>
            <w:noWrap w:val="0"/>
            <w:vAlign w:val="center"/>
          </w:tcPr>
          <w:p w14:paraId="45B373EF">
            <w:pPr>
              <w:pStyle w:val="31"/>
              <w:bidi w:val="0"/>
              <w:rPr>
                <w:rFonts w:hint="eastAsia" w:eastAsia="宋体"/>
                <w:color w:val="auto"/>
                <w:u w:val="none" w:color="auto"/>
                <w:lang w:val="en-US" w:eastAsia="zh-CN"/>
              </w:rPr>
            </w:pPr>
            <w:r>
              <w:rPr>
                <w:rFonts w:hint="eastAsia"/>
                <w:color w:val="auto"/>
                <w:u w:val="none" w:color="auto"/>
                <w:lang w:val="en-US" w:eastAsia="zh-CN"/>
              </w:rPr>
              <w:t>铊</w:t>
            </w:r>
          </w:p>
        </w:tc>
        <w:tc>
          <w:tcPr>
            <w:tcW w:w="1536" w:type="dxa"/>
            <w:noWrap w:val="0"/>
            <w:vAlign w:val="center"/>
          </w:tcPr>
          <w:p w14:paraId="4A061F6C">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774D92D3">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highlight w:val="none"/>
                <w:u w:val="none" w:color="auto"/>
                <w:lang w:val="en-US" w:eastAsia="zh-CN" w:bidi="ar-SA"/>
              </w:rPr>
              <w:t>≤0.0001</w:t>
            </w:r>
          </w:p>
        </w:tc>
      </w:tr>
      <w:tr w14:paraId="77AE5E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79C9E492">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21</w:t>
            </w:r>
          </w:p>
        </w:tc>
        <w:tc>
          <w:tcPr>
            <w:tcW w:w="1974" w:type="dxa"/>
            <w:noWrap w:val="0"/>
            <w:vAlign w:val="center"/>
          </w:tcPr>
          <w:p w14:paraId="7B609201">
            <w:pPr>
              <w:pStyle w:val="31"/>
              <w:bidi w:val="0"/>
              <w:rPr>
                <w:rFonts w:hint="default" w:eastAsia="宋体"/>
                <w:color w:val="auto"/>
                <w:u w:val="none" w:color="auto"/>
                <w:lang w:val="en-US" w:eastAsia="zh-CN"/>
              </w:rPr>
            </w:pPr>
            <w:r>
              <w:rPr>
                <w:rFonts w:hint="eastAsia"/>
                <w:color w:val="auto"/>
                <w:u w:val="none" w:color="auto"/>
                <w:lang w:val="en-US" w:eastAsia="zh-CN"/>
              </w:rPr>
              <w:t>粪大肠菌群</w:t>
            </w:r>
          </w:p>
        </w:tc>
        <w:tc>
          <w:tcPr>
            <w:tcW w:w="1536" w:type="dxa"/>
            <w:noWrap w:val="0"/>
            <w:vAlign w:val="center"/>
          </w:tcPr>
          <w:p w14:paraId="414A49FA">
            <w:pPr>
              <w:pStyle w:val="31"/>
              <w:bidi w:val="0"/>
              <w:rPr>
                <w:color w:val="auto"/>
                <w:u w:val="none" w:color="auto"/>
              </w:rPr>
            </w:pPr>
            <w:r>
              <w:rPr>
                <w:rFonts w:hint="eastAsia"/>
                <w:color w:val="auto"/>
                <w:u w:val="none" w:color="auto"/>
                <w:lang w:val="en-US" w:eastAsia="zh-CN"/>
              </w:rPr>
              <w:t>个/L</w:t>
            </w:r>
          </w:p>
        </w:tc>
        <w:tc>
          <w:tcPr>
            <w:tcW w:w="3562" w:type="dxa"/>
            <w:noWrap w:val="0"/>
            <w:vAlign w:val="center"/>
          </w:tcPr>
          <w:p w14:paraId="510B8D1C">
            <w:pPr>
              <w:pStyle w:val="31"/>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≤10000</w:t>
            </w:r>
          </w:p>
        </w:tc>
      </w:tr>
      <w:tr w14:paraId="78B41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2548CF03">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22</w:t>
            </w:r>
          </w:p>
        </w:tc>
        <w:tc>
          <w:tcPr>
            <w:tcW w:w="1974" w:type="dxa"/>
            <w:noWrap w:val="0"/>
            <w:vAlign w:val="center"/>
          </w:tcPr>
          <w:p w14:paraId="7F0CB200">
            <w:pPr>
              <w:pStyle w:val="31"/>
              <w:bidi w:val="0"/>
              <w:rPr>
                <w:rFonts w:hint="eastAsia" w:eastAsia="宋体"/>
                <w:color w:val="auto"/>
                <w:u w:val="none" w:color="auto"/>
                <w:lang w:val="en-US" w:eastAsia="zh-CN"/>
              </w:rPr>
            </w:pPr>
            <w:r>
              <w:rPr>
                <w:rFonts w:hint="eastAsia"/>
                <w:color w:val="auto"/>
                <w:u w:val="none" w:color="auto"/>
                <w:lang w:val="en-US" w:eastAsia="zh-CN"/>
              </w:rPr>
              <w:t>硫化物</w:t>
            </w:r>
          </w:p>
        </w:tc>
        <w:tc>
          <w:tcPr>
            <w:tcW w:w="1536" w:type="dxa"/>
            <w:noWrap w:val="0"/>
            <w:vAlign w:val="center"/>
          </w:tcPr>
          <w:p w14:paraId="5E6B0C62">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5DE11CD5">
            <w:pPr>
              <w:pStyle w:val="31"/>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≤0.2</w:t>
            </w:r>
          </w:p>
        </w:tc>
      </w:tr>
      <w:tr w14:paraId="5B905A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7EAC4CA6">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23</w:t>
            </w:r>
          </w:p>
        </w:tc>
        <w:tc>
          <w:tcPr>
            <w:tcW w:w="1974" w:type="dxa"/>
            <w:noWrap w:val="0"/>
            <w:vAlign w:val="center"/>
          </w:tcPr>
          <w:p w14:paraId="3CFD5011">
            <w:pPr>
              <w:pStyle w:val="31"/>
              <w:bidi w:val="0"/>
              <w:rPr>
                <w:rFonts w:hint="default" w:eastAsia="宋体"/>
                <w:color w:val="auto"/>
                <w:u w:val="none" w:color="auto"/>
                <w:lang w:val="en-US" w:eastAsia="zh-CN"/>
              </w:rPr>
            </w:pPr>
            <w:r>
              <w:rPr>
                <w:rFonts w:hint="eastAsia"/>
                <w:color w:val="auto"/>
                <w:u w:val="none" w:color="auto"/>
                <w:lang w:val="en-US" w:eastAsia="zh-CN"/>
              </w:rPr>
              <w:t>高锰酸盐指数</w:t>
            </w:r>
          </w:p>
        </w:tc>
        <w:tc>
          <w:tcPr>
            <w:tcW w:w="1536" w:type="dxa"/>
            <w:noWrap w:val="0"/>
            <w:vAlign w:val="center"/>
          </w:tcPr>
          <w:p w14:paraId="31923B04">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3E7F0A8F">
            <w:pPr>
              <w:pStyle w:val="31"/>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≤6</w:t>
            </w:r>
          </w:p>
        </w:tc>
      </w:tr>
      <w:tr w14:paraId="7DDA9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44388A0A">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24</w:t>
            </w:r>
          </w:p>
        </w:tc>
        <w:tc>
          <w:tcPr>
            <w:tcW w:w="1974" w:type="dxa"/>
            <w:noWrap w:val="0"/>
            <w:vAlign w:val="center"/>
          </w:tcPr>
          <w:p w14:paraId="0BFB8D6C">
            <w:pPr>
              <w:pStyle w:val="31"/>
              <w:bidi w:val="0"/>
              <w:rPr>
                <w:rFonts w:hint="eastAsia" w:eastAsia="宋体"/>
                <w:color w:val="auto"/>
                <w:u w:val="none" w:color="auto"/>
                <w:lang w:val="en-US" w:eastAsia="zh-CN"/>
              </w:rPr>
            </w:pPr>
            <w:r>
              <w:rPr>
                <w:rFonts w:hint="eastAsia"/>
                <w:color w:val="auto"/>
                <w:u w:val="none" w:color="auto"/>
                <w:lang w:val="en-US" w:eastAsia="zh-CN"/>
              </w:rPr>
              <w:t>氯化物</w:t>
            </w:r>
          </w:p>
        </w:tc>
        <w:tc>
          <w:tcPr>
            <w:tcW w:w="1536" w:type="dxa"/>
            <w:noWrap w:val="0"/>
            <w:vAlign w:val="center"/>
          </w:tcPr>
          <w:p w14:paraId="7BF513BF">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45BCD8DA">
            <w:pPr>
              <w:pStyle w:val="31"/>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≤1.0</w:t>
            </w:r>
          </w:p>
        </w:tc>
      </w:tr>
      <w:tr w14:paraId="54AD2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5E6FF4C1">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25</w:t>
            </w:r>
          </w:p>
        </w:tc>
        <w:tc>
          <w:tcPr>
            <w:tcW w:w="1974" w:type="dxa"/>
            <w:noWrap w:val="0"/>
            <w:vAlign w:val="center"/>
          </w:tcPr>
          <w:p w14:paraId="2195FBE5">
            <w:pPr>
              <w:pStyle w:val="31"/>
              <w:bidi w:val="0"/>
              <w:rPr>
                <w:rFonts w:hint="eastAsia" w:eastAsia="宋体"/>
                <w:color w:val="auto"/>
                <w:u w:val="none" w:color="auto"/>
                <w:lang w:val="en-US" w:eastAsia="zh-CN"/>
              </w:rPr>
            </w:pPr>
            <w:r>
              <w:rPr>
                <w:rFonts w:hint="eastAsia"/>
                <w:color w:val="auto"/>
                <w:u w:val="none" w:color="auto"/>
                <w:lang w:val="en-US" w:eastAsia="zh-CN"/>
              </w:rPr>
              <w:t>氰化物</w:t>
            </w:r>
          </w:p>
        </w:tc>
        <w:tc>
          <w:tcPr>
            <w:tcW w:w="1536" w:type="dxa"/>
            <w:noWrap w:val="0"/>
            <w:vAlign w:val="center"/>
          </w:tcPr>
          <w:p w14:paraId="30FE7D1B">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7A9CE319">
            <w:pPr>
              <w:pStyle w:val="31"/>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≤0.2</w:t>
            </w:r>
          </w:p>
        </w:tc>
      </w:tr>
      <w:tr w14:paraId="558B1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84" w:type="dxa"/>
            <w:noWrap w:val="0"/>
            <w:vAlign w:val="center"/>
          </w:tcPr>
          <w:p w14:paraId="5D1AA3F2">
            <w:pPr>
              <w:pStyle w:val="24"/>
              <w:rPr>
                <w:rFonts w:hint="default" w:ascii="Times New Roman" w:hAnsi="Times New Roman" w:cs="Times New Roman"/>
                <w:color w:val="auto"/>
                <w:kern w:val="2"/>
                <w:szCs w:val="24"/>
                <w:highlight w:val="none"/>
                <w:u w:val="none" w:color="auto"/>
                <w:lang w:val="en-US" w:eastAsia="zh-CN"/>
              </w:rPr>
            </w:pPr>
            <w:r>
              <w:rPr>
                <w:rFonts w:hint="eastAsia" w:ascii="Times New Roman" w:hAnsi="Times New Roman" w:cs="Times New Roman"/>
                <w:color w:val="auto"/>
                <w:kern w:val="2"/>
                <w:szCs w:val="24"/>
                <w:highlight w:val="none"/>
                <w:u w:val="none" w:color="auto"/>
                <w:lang w:val="en-US" w:eastAsia="zh-CN"/>
              </w:rPr>
              <w:t>26</w:t>
            </w:r>
          </w:p>
        </w:tc>
        <w:tc>
          <w:tcPr>
            <w:tcW w:w="1974" w:type="dxa"/>
            <w:noWrap w:val="0"/>
            <w:vAlign w:val="center"/>
          </w:tcPr>
          <w:p w14:paraId="4B6B59A2">
            <w:pPr>
              <w:pStyle w:val="31"/>
              <w:bidi w:val="0"/>
              <w:rPr>
                <w:rFonts w:hint="eastAsia" w:eastAsia="宋体"/>
                <w:color w:val="auto"/>
                <w:u w:val="none" w:color="auto"/>
                <w:lang w:val="en-US" w:eastAsia="zh-CN"/>
              </w:rPr>
            </w:pPr>
            <w:r>
              <w:rPr>
                <w:rFonts w:hint="eastAsia"/>
                <w:color w:val="auto"/>
                <w:u w:val="none" w:color="auto"/>
                <w:lang w:val="en-US" w:eastAsia="zh-CN"/>
              </w:rPr>
              <w:t>挥发酚</w:t>
            </w:r>
          </w:p>
        </w:tc>
        <w:tc>
          <w:tcPr>
            <w:tcW w:w="1536" w:type="dxa"/>
            <w:noWrap w:val="0"/>
            <w:vAlign w:val="center"/>
          </w:tcPr>
          <w:p w14:paraId="320C84A6">
            <w:pPr>
              <w:pStyle w:val="31"/>
              <w:bidi w:val="0"/>
              <w:rPr>
                <w:color w:val="auto"/>
                <w:u w:val="none" w:color="auto"/>
              </w:rPr>
            </w:pPr>
            <w:r>
              <w:rPr>
                <w:rFonts w:hint="eastAsia"/>
                <w:color w:val="auto"/>
                <w:u w:val="none" w:color="auto"/>
                <w:lang w:val="en-US" w:eastAsia="zh-CN"/>
              </w:rPr>
              <w:t>mg/L</w:t>
            </w:r>
          </w:p>
        </w:tc>
        <w:tc>
          <w:tcPr>
            <w:tcW w:w="3562" w:type="dxa"/>
            <w:noWrap w:val="0"/>
            <w:vAlign w:val="center"/>
          </w:tcPr>
          <w:p w14:paraId="52F7EEE4">
            <w:pPr>
              <w:pStyle w:val="31"/>
              <w:bidi w:val="0"/>
              <w:rPr>
                <w:rFonts w:hint="default"/>
                <w:color w:val="auto"/>
                <w:u w:val="none" w:color="auto"/>
                <w:lang w:val="en-US"/>
              </w:rPr>
            </w:pPr>
            <w:r>
              <w:rPr>
                <w:rFonts w:hint="eastAsia" w:cs="Times New Roman"/>
                <w:color w:val="auto"/>
                <w:kern w:val="2"/>
                <w:sz w:val="21"/>
                <w:szCs w:val="24"/>
                <w:highlight w:val="none"/>
                <w:u w:val="none" w:color="auto"/>
                <w:lang w:val="en-US" w:eastAsia="zh-CN" w:bidi="ar-SA"/>
              </w:rPr>
              <w:t>≤0.005</w:t>
            </w:r>
          </w:p>
        </w:tc>
      </w:tr>
    </w:tbl>
    <w:p w14:paraId="5B1CB0EE">
      <w:pPr>
        <w:pStyle w:val="20"/>
        <w:numPr>
          <w:ilvl w:val="0"/>
          <w:numId w:val="4"/>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声环境：</w:t>
      </w:r>
      <w:r>
        <w:rPr>
          <w:color w:val="auto"/>
          <w:u w:val="none" w:color="auto"/>
        </w:rPr>
        <w:t>本项目</w:t>
      </w:r>
      <w:r>
        <w:rPr>
          <w:rFonts w:hint="eastAsia"/>
          <w:color w:val="auto"/>
          <w:u w:val="none" w:color="auto"/>
          <w:lang w:eastAsia="zh-CN"/>
        </w:rPr>
        <w:t>位于</w:t>
      </w:r>
      <w:r>
        <w:rPr>
          <w:color w:val="auto"/>
          <w:u w:val="none" w:color="auto"/>
        </w:rPr>
        <w:t>工业集中区</w:t>
      </w:r>
      <w:r>
        <w:rPr>
          <w:rFonts w:hint="eastAsia"/>
          <w:color w:val="auto"/>
          <w:u w:val="none" w:color="auto"/>
        </w:rPr>
        <w:t>，</w:t>
      </w:r>
      <w:r>
        <w:rPr>
          <w:rFonts w:hint="eastAsia"/>
          <w:color w:val="auto"/>
          <w:u w:val="none" w:color="auto"/>
          <w:lang w:eastAsia="zh-CN"/>
        </w:rPr>
        <w:t>项目所在区域</w:t>
      </w:r>
      <w:r>
        <w:rPr>
          <w:color w:val="auto"/>
          <w:u w:val="none" w:color="auto"/>
        </w:rPr>
        <w:t>执行《声环境质量标准》（GB3096-2008）表1中的</w:t>
      </w:r>
      <w:r>
        <w:rPr>
          <w:rFonts w:hint="eastAsia"/>
          <w:color w:val="auto"/>
          <w:u w:val="none" w:color="auto"/>
        </w:rPr>
        <w:t>3</w:t>
      </w:r>
      <w:r>
        <w:rPr>
          <w:color w:val="auto"/>
          <w:u w:val="none" w:color="auto"/>
        </w:rPr>
        <w:t>类标准</w:t>
      </w:r>
      <w:r>
        <w:rPr>
          <w:rFonts w:hint="default" w:ascii="Times New Roman" w:hAnsi="Times New Roman" w:cs="Times New Roman"/>
          <w:color w:val="auto"/>
          <w:u w:val="none" w:color="auto"/>
        </w:rPr>
        <w:t>。</w:t>
      </w:r>
      <w:r>
        <w:rPr>
          <w:rFonts w:hint="eastAsia"/>
          <w:color w:val="auto"/>
          <w:u w:val="none" w:color="auto"/>
          <w:lang w:val="en-US" w:eastAsia="zh-CN"/>
        </w:rPr>
        <w:t>西侧环境保护目标执行2类标准</w:t>
      </w:r>
      <w:r>
        <w:rPr>
          <w:rFonts w:hint="default" w:ascii="Times New Roman" w:hAnsi="Times New Roman" w:cs="Times New Roman"/>
          <w:color w:val="auto"/>
          <w:u w:val="none" w:color="auto"/>
        </w:rPr>
        <w:t>。</w:t>
      </w:r>
    </w:p>
    <w:p w14:paraId="02EA1839">
      <w:pPr>
        <w:pStyle w:val="22"/>
        <w:bidi w:val="0"/>
        <w:rPr>
          <w:rFonts w:hint="default"/>
          <w:color w:val="auto"/>
          <w:u w:val="none" w:color="auto"/>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6</w:t>
      </w:r>
      <w:r>
        <w:rPr>
          <w:rFonts w:hint="default"/>
          <w:color w:val="auto"/>
          <w:u w:val="none" w:color="auto"/>
        </w:rPr>
        <w:t xml:space="preserve"> 声环境质量评价标准</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629"/>
        <w:gridCol w:w="941"/>
        <w:gridCol w:w="1039"/>
        <w:gridCol w:w="4895"/>
      </w:tblGrid>
      <w:tr w14:paraId="3EEC00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29" w:type="dxa"/>
            <w:vMerge w:val="restart"/>
            <w:noWrap w:val="0"/>
            <w:vAlign w:val="center"/>
          </w:tcPr>
          <w:p w14:paraId="16A7356A">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区域</w:t>
            </w:r>
          </w:p>
        </w:tc>
        <w:tc>
          <w:tcPr>
            <w:tcW w:w="1980" w:type="dxa"/>
            <w:gridSpan w:val="2"/>
            <w:noWrap w:val="0"/>
            <w:vAlign w:val="center"/>
          </w:tcPr>
          <w:p w14:paraId="1C76658F">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标准值（dB</w:t>
            </w:r>
            <w:r>
              <w:rPr>
                <w:rFonts w:hint="default" w:ascii="Times New Roman" w:hAnsi="Times New Roman" w:cs="Times New Roman"/>
                <w:b/>
                <w:bCs/>
                <w:color w:val="auto"/>
                <w:u w:val="none" w:color="auto"/>
                <w:lang w:eastAsia="zh-CN"/>
              </w:rPr>
              <w:t>（</w:t>
            </w:r>
            <w:r>
              <w:rPr>
                <w:rFonts w:hint="default" w:ascii="Times New Roman" w:hAnsi="Times New Roman" w:cs="Times New Roman"/>
                <w:b/>
                <w:bCs/>
                <w:color w:val="auto"/>
                <w:u w:val="none" w:color="auto"/>
              </w:rPr>
              <w:t>A</w:t>
            </w:r>
            <w:r>
              <w:rPr>
                <w:rFonts w:hint="default" w:ascii="Times New Roman" w:hAnsi="Times New Roman" w:cs="Times New Roman"/>
                <w:b/>
                <w:bCs/>
                <w:color w:val="auto"/>
                <w:u w:val="none" w:color="auto"/>
                <w:lang w:eastAsia="zh-CN"/>
              </w:rPr>
              <w:t>）</w:t>
            </w:r>
            <w:r>
              <w:rPr>
                <w:rFonts w:hint="default" w:ascii="Times New Roman" w:hAnsi="Times New Roman" w:cs="Times New Roman"/>
                <w:b/>
                <w:bCs/>
                <w:color w:val="auto"/>
                <w:u w:val="none" w:color="auto"/>
              </w:rPr>
              <w:t>）</w:t>
            </w:r>
          </w:p>
        </w:tc>
        <w:tc>
          <w:tcPr>
            <w:tcW w:w="4895" w:type="dxa"/>
            <w:vMerge w:val="restart"/>
            <w:noWrap w:val="0"/>
            <w:vAlign w:val="center"/>
          </w:tcPr>
          <w:p w14:paraId="26881813">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评价标准</w:t>
            </w:r>
          </w:p>
        </w:tc>
      </w:tr>
      <w:tr w14:paraId="120AB49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29" w:type="dxa"/>
            <w:vMerge w:val="continue"/>
            <w:noWrap w:val="0"/>
            <w:vAlign w:val="center"/>
          </w:tcPr>
          <w:p w14:paraId="3202322A">
            <w:pPr>
              <w:pStyle w:val="24"/>
              <w:rPr>
                <w:rFonts w:hint="default" w:ascii="Times New Roman" w:hAnsi="Times New Roman" w:cs="Times New Roman"/>
                <w:b/>
                <w:bCs/>
                <w:color w:val="auto"/>
                <w:u w:val="none" w:color="auto"/>
              </w:rPr>
            </w:pPr>
          </w:p>
        </w:tc>
        <w:tc>
          <w:tcPr>
            <w:tcW w:w="941" w:type="dxa"/>
            <w:noWrap w:val="0"/>
            <w:vAlign w:val="center"/>
          </w:tcPr>
          <w:p w14:paraId="43A653A0">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昼间</w:t>
            </w:r>
          </w:p>
        </w:tc>
        <w:tc>
          <w:tcPr>
            <w:tcW w:w="1039" w:type="dxa"/>
            <w:noWrap w:val="0"/>
            <w:vAlign w:val="center"/>
          </w:tcPr>
          <w:p w14:paraId="5283DD78">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夜间</w:t>
            </w:r>
          </w:p>
        </w:tc>
        <w:tc>
          <w:tcPr>
            <w:tcW w:w="4895" w:type="dxa"/>
            <w:vMerge w:val="continue"/>
            <w:noWrap w:val="0"/>
            <w:vAlign w:val="center"/>
          </w:tcPr>
          <w:p w14:paraId="61C9DA03">
            <w:pPr>
              <w:pStyle w:val="24"/>
              <w:rPr>
                <w:rFonts w:hint="default" w:ascii="Times New Roman" w:hAnsi="Times New Roman" w:cs="Times New Roman"/>
                <w:b/>
                <w:bCs/>
                <w:color w:val="auto"/>
                <w:u w:val="none" w:color="auto"/>
              </w:rPr>
            </w:pPr>
          </w:p>
        </w:tc>
      </w:tr>
      <w:tr w14:paraId="676A93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29" w:type="dxa"/>
            <w:noWrap w:val="0"/>
            <w:vAlign w:val="center"/>
          </w:tcPr>
          <w:p w14:paraId="4E145353">
            <w:pPr>
              <w:pStyle w:val="24"/>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项目所在区域</w:t>
            </w:r>
          </w:p>
        </w:tc>
        <w:tc>
          <w:tcPr>
            <w:tcW w:w="941" w:type="dxa"/>
            <w:noWrap w:val="0"/>
            <w:vAlign w:val="center"/>
          </w:tcPr>
          <w:p w14:paraId="7B2C14E8">
            <w:pPr>
              <w:pStyle w:val="24"/>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65</w:t>
            </w:r>
          </w:p>
        </w:tc>
        <w:tc>
          <w:tcPr>
            <w:tcW w:w="1039" w:type="dxa"/>
            <w:noWrap w:val="0"/>
            <w:vAlign w:val="center"/>
          </w:tcPr>
          <w:p w14:paraId="0EA19385">
            <w:pPr>
              <w:pStyle w:val="24"/>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55</w:t>
            </w:r>
          </w:p>
        </w:tc>
        <w:tc>
          <w:tcPr>
            <w:tcW w:w="4895" w:type="dxa"/>
            <w:noWrap w:val="0"/>
            <w:vAlign w:val="center"/>
          </w:tcPr>
          <w:p w14:paraId="1CB02E6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《声环境质量标准》（GB3096-2008）表1中</w:t>
            </w:r>
            <w:r>
              <w:rPr>
                <w:rFonts w:hint="eastAsia" w:cs="Times New Roman"/>
                <w:color w:val="auto"/>
                <w:u w:val="none" w:color="auto"/>
                <w:lang w:val="en-US" w:eastAsia="zh-CN"/>
              </w:rPr>
              <w:t>3</w:t>
            </w:r>
            <w:r>
              <w:rPr>
                <w:rFonts w:hint="default" w:ascii="Times New Roman" w:hAnsi="Times New Roman" w:cs="Times New Roman"/>
                <w:color w:val="auto"/>
                <w:u w:val="none" w:color="auto"/>
              </w:rPr>
              <w:t>类</w:t>
            </w:r>
          </w:p>
        </w:tc>
      </w:tr>
      <w:tr w14:paraId="756E3E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629" w:type="dxa"/>
            <w:noWrap w:val="0"/>
            <w:vAlign w:val="center"/>
          </w:tcPr>
          <w:p w14:paraId="37518751">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西侧居民</w:t>
            </w:r>
          </w:p>
        </w:tc>
        <w:tc>
          <w:tcPr>
            <w:tcW w:w="941" w:type="dxa"/>
            <w:noWrap w:val="0"/>
            <w:vAlign w:val="center"/>
          </w:tcPr>
          <w:p w14:paraId="18D71C00">
            <w:pPr>
              <w:pStyle w:val="24"/>
              <w:rPr>
                <w:rFonts w:hint="default" w:cs="Times New Roman"/>
                <w:color w:val="auto"/>
                <w:u w:val="none" w:color="auto"/>
                <w:lang w:val="en-US" w:eastAsia="zh-CN"/>
              </w:rPr>
            </w:pPr>
            <w:r>
              <w:rPr>
                <w:rFonts w:hint="eastAsia" w:cs="Times New Roman"/>
                <w:color w:val="auto"/>
                <w:u w:val="none" w:color="auto"/>
                <w:lang w:val="en-US" w:eastAsia="zh-CN"/>
              </w:rPr>
              <w:t>60</w:t>
            </w:r>
          </w:p>
        </w:tc>
        <w:tc>
          <w:tcPr>
            <w:tcW w:w="1039" w:type="dxa"/>
            <w:noWrap w:val="0"/>
            <w:vAlign w:val="center"/>
          </w:tcPr>
          <w:p w14:paraId="6AC6F7B7">
            <w:pPr>
              <w:pStyle w:val="24"/>
              <w:rPr>
                <w:rFonts w:hint="default" w:cs="Times New Roman"/>
                <w:color w:val="auto"/>
                <w:u w:val="none" w:color="auto"/>
                <w:lang w:val="en-US" w:eastAsia="zh-CN"/>
              </w:rPr>
            </w:pPr>
            <w:r>
              <w:rPr>
                <w:rFonts w:hint="eastAsia" w:cs="Times New Roman"/>
                <w:color w:val="auto"/>
                <w:u w:val="none" w:color="auto"/>
                <w:lang w:val="en-US" w:eastAsia="zh-CN"/>
              </w:rPr>
              <w:t>50</w:t>
            </w:r>
          </w:p>
        </w:tc>
        <w:tc>
          <w:tcPr>
            <w:tcW w:w="4895" w:type="dxa"/>
            <w:noWrap w:val="0"/>
            <w:vAlign w:val="center"/>
          </w:tcPr>
          <w:p w14:paraId="767D8F88">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《声环境质量标准》（GB3096-2008）表1中2类</w:t>
            </w:r>
          </w:p>
        </w:tc>
      </w:tr>
    </w:tbl>
    <w:p w14:paraId="0A3338E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（4）地下水环境：项目所在地地下水执行《地下水质量标准》（GB/T14848-2017）III类标准。</w:t>
      </w:r>
    </w:p>
    <w:p w14:paraId="2576C355">
      <w:pPr>
        <w:pStyle w:val="22"/>
        <w:bidi w:val="0"/>
        <w:rPr>
          <w:rFonts w:hint="default"/>
          <w:color w:val="auto"/>
          <w:u w:val="none" w:color="auto"/>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7</w:t>
      </w:r>
      <w:r>
        <w:rPr>
          <w:rFonts w:hint="default"/>
          <w:color w:val="auto"/>
          <w:u w:val="none" w:color="auto"/>
        </w:rPr>
        <w:t xml:space="preserve"> 地下水环境质量标准</w:t>
      </w:r>
      <w:r>
        <w:rPr>
          <w:rFonts w:hint="default"/>
          <w:color w:val="auto"/>
          <w:u w:val="none" w:color="auto"/>
          <w:lang w:eastAsia="zh-CN"/>
        </w:rPr>
        <w:t>（</w:t>
      </w:r>
      <w:r>
        <w:rPr>
          <w:rFonts w:hint="default"/>
          <w:color w:val="auto"/>
          <w:u w:val="none" w:color="auto"/>
        </w:rPr>
        <w:t>摘录</w:t>
      </w:r>
      <w:r>
        <w:rPr>
          <w:rFonts w:hint="default"/>
          <w:color w:val="auto"/>
          <w:u w:val="none" w:color="auto"/>
          <w:lang w:eastAsia="zh-CN"/>
        </w:rPr>
        <w:t>）</w:t>
      </w:r>
      <w:r>
        <w:rPr>
          <w:rFonts w:hint="default"/>
          <w:color w:val="auto"/>
          <w:u w:val="none" w:color="auto"/>
        </w:rPr>
        <w:t>，单位：mg/L</w:t>
      </w:r>
    </w:p>
    <w:tbl>
      <w:tblPr>
        <w:tblStyle w:val="16"/>
        <w:tblW w:w="508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38"/>
        <w:gridCol w:w="1917"/>
        <w:gridCol w:w="1480"/>
        <w:gridCol w:w="868"/>
        <w:gridCol w:w="1795"/>
        <w:gridCol w:w="1483"/>
      </w:tblGrid>
      <w:tr w14:paraId="101962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0C6EB11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eastAsia="宋体"/>
                <w:color w:val="auto"/>
                <w:highlight w:val="none"/>
                <w:u w:val="none" w:color="auto"/>
                <w:lang w:val="en-US" w:eastAsia="zh-CN"/>
              </w:rPr>
            </w:pPr>
            <w:r>
              <w:rPr>
                <w:rFonts w:hint="eastAsia"/>
                <w:color w:val="auto"/>
                <w:highlight w:val="none"/>
                <w:u w:val="none" w:color="auto"/>
                <w:lang w:val="en-US" w:eastAsia="zh-CN"/>
              </w:rPr>
              <w:t>序号</w:t>
            </w:r>
          </w:p>
        </w:tc>
        <w:tc>
          <w:tcPr>
            <w:tcW w:w="1910" w:type="dxa"/>
            <w:noWrap w:val="0"/>
            <w:vAlign w:val="center"/>
          </w:tcPr>
          <w:p w14:paraId="30CC617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z w:val="21"/>
                <w:highlight w:val="none"/>
                <w:u w:val="none" w:color="auto"/>
                <w:lang w:val="en-US" w:eastAsia="zh-CN" w:bidi="ar-SA"/>
              </w:rPr>
            </w:pPr>
            <w:r>
              <w:rPr>
                <w:color w:val="auto"/>
                <w:highlight w:val="none"/>
                <w:u w:val="none" w:color="auto"/>
              </w:rPr>
              <w:t>名称</w:t>
            </w:r>
          </w:p>
        </w:tc>
        <w:tc>
          <w:tcPr>
            <w:tcW w:w="1475" w:type="dxa"/>
            <w:noWrap w:val="0"/>
            <w:vAlign w:val="center"/>
          </w:tcPr>
          <w:p w14:paraId="4C5D3E5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标准值</w:t>
            </w:r>
          </w:p>
        </w:tc>
        <w:tc>
          <w:tcPr>
            <w:tcW w:w="865" w:type="dxa"/>
            <w:noWrap w:val="0"/>
            <w:vAlign w:val="center"/>
          </w:tcPr>
          <w:p w14:paraId="2310428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宋体"/>
                <w:color w:val="auto"/>
                <w:highlight w:val="none"/>
                <w:u w:val="none" w:color="auto"/>
                <w:lang w:val="en-US" w:eastAsia="zh-CN"/>
              </w:rPr>
            </w:pPr>
            <w:r>
              <w:rPr>
                <w:rFonts w:hint="eastAsia"/>
                <w:color w:val="auto"/>
                <w:highlight w:val="none"/>
                <w:u w:val="none" w:color="auto"/>
                <w:lang w:val="en-US" w:eastAsia="zh-CN"/>
              </w:rPr>
              <w:t>序号</w:t>
            </w:r>
          </w:p>
        </w:tc>
        <w:tc>
          <w:tcPr>
            <w:tcW w:w="1789" w:type="dxa"/>
            <w:noWrap w:val="0"/>
            <w:vAlign w:val="center"/>
          </w:tcPr>
          <w:p w14:paraId="2F0341BA">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Times New Roman" w:hAnsi="Times New Roman" w:eastAsia="宋体" w:cs="Times New Roman"/>
                <w:color w:val="auto"/>
                <w:sz w:val="21"/>
                <w:highlight w:val="none"/>
                <w:u w:val="none" w:color="auto"/>
                <w:lang w:val="en-US" w:eastAsia="zh-CN" w:bidi="ar-SA"/>
              </w:rPr>
            </w:pPr>
            <w:r>
              <w:rPr>
                <w:color w:val="auto"/>
                <w:highlight w:val="none"/>
                <w:u w:val="none" w:color="auto"/>
              </w:rPr>
              <w:t>名称</w:t>
            </w:r>
          </w:p>
        </w:tc>
        <w:tc>
          <w:tcPr>
            <w:tcW w:w="1478" w:type="dxa"/>
            <w:noWrap w:val="0"/>
            <w:vAlign w:val="center"/>
          </w:tcPr>
          <w:p w14:paraId="6AB25C47">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标准值</w:t>
            </w:r>
          </w:p>
        </w:tc>
      </w:tr>
      <w:tr w14:paraId="54D532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36CA2204">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highlight w:val="none"/>
                <w:u w:val="none" w:color="auto"/>
                <w:lang w:val="en-US" w:eastAsia="zh-CN"/>
              </w:rPr>
            </w:pPr>
            <w:r>
              <w:rPr>
                <w:rFonts w:hint="eastAsia"/>
                <w:color w:val="auto"/>
                <w:highlight w:val="none"/>
                <w:u w:val="none" w:color="auto"/>
                <w:lang w:val="en-US" w:eastAsia="zh-CN"/>
              </w:rPr>
              <w:t>1</w:t>
            </w:r>
          </w:p>
        </w:tc>
        <w:tc>
          <w:tcPr>
            <w:tcW w:w="1910" w:type="dxa"/>
            <w:noWrap w:val="0"/>
            <w:vAlign w:val="center"/>
          </w:tcPr>
          <w:p w14:paraId="3BC522B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K</w:t>
            </w:r>
            <w:r>
              <w:rPr>
                <w:rFonts w:hint="eastAsia"/>
                <w:color w:val="auto"/>
                <w:u w:val="none" w:color="auto"/>
                <w:vertAlign w:val="superscript"/>
                <w:lang w:val="en-US" w:eastAsia="zh-CN"/>
              </w:rPr>
              <w:t>+</w:t>
            </w:r>
          </w:p>
        </w:tc>
        <w:tc>
          <w:tcPr>
            <w:tcW w:w="1475" w:type="dxa"/>
            <w:noWrap w:val="0"/>
            <w:vAlign w:val="center"/>
          </w:tcPr>
          <w:p w14:paraId="777EEF33">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highlight w:val="none"/>
                <w:u w:val="none" w:color="auto"/>
              </w:rPr>
            </w:pPr>
            <w:r>
              <w:rPr>
                <w:rFonts w:hint="eastAsia"/>
                <w:color w:val="auto"/>
                <w:u w:val="none" w:color="auto"/>
                <w:lang w:val="en-US" w:eastAsia="zh-CN"/>
              </w:rPr>
              <w:t>/</w:t>
            </w:r>
          </w:p>
        </w:tc>
        <w:tc>
          <w:tcPr>
            <w:tcW w:w="865" w:type="dxa"/>
            <w:noWrap w:val="0"/>
            <w:vAlign w:val="center"/>
          </w:tcPr>
          <w:p w14:paraId="4B1F830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9</w:t>
            </w:r>
          </w:p>
        </w:tc>
        <w:tc>
          <w:tcPr>
            <w:tcW w:w="1789" w:type="dxa"/>
            <w:noWrap w:val="0"/>
            <w:vAlign w:val="center"/>
          </w:tcPr>
          <w:p w14:paraId="44043B2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pH</w:t>
            </w:r>
          </w:p>
        </w:tc>
        <w:tc>
          <w:tcPr>
            <w:tcW w:w="1478" w:type="dxa"/>
            <w:noWrap w:val="0"/>
            <w:vAlign w:val="center"/>
          </w:tcPr>
          <w:p w14:paraId="50DAF19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6.5~8.5</w:t>
            </w:r>
          </w:p>
        </w:tc>
      </w:tr>
      <w:tr w14:paraId="7A300C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7B985DF5">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2</w:t>
            </w:r>
          </w:p>
        </w:tc>
        <w:tc>
          <w:tcPr>
            <w:tcW w:w="1910" w:type="dxa"/>
            <w:noWrap w:val="0"/>
            <w:vAlign w:val="center"/>
          </w:tcPr>
          <w:p w14:paraId="56EB878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Na</w:t>
            </w:r>
            <w:r>
              <w:rPr>
                <w:rFonts w:hint="eastAsia"/>
                <w:color w:val="auto"/>
                <w:u w:val="none" w:color="auto"/>
                <w:vertAlign w:val="superscript"/>
                <w:lang w:val="en-US" w:eastAsia="zh-CN"/>
              </w:rPr>
              <w:t>+</w:t>
            </w:r>
          </w:p>
        </w:tc>
        <w:tc>
          <w:tcPr>
            <w:tcW w:w="1475" w:type="dxa"/>
            <w:noWrap w:val="0"/>
            <w:vAlign w:val="center"/>
          </w:tcPr>
          <w:p w14:paraId="60B1F864">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200</w:t>
            </w:r>
          </w:p>
        </w:tc>
        <w:tc>
          <w:tcPr>
            <w:tcW w:w="865" w:type="dxa"/>
            <w:noWrap w:val="0"/>
            <w:vAlign w:val="center"/>
          </w:tcPr>
          <w:p w14:paraId="515F7FD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10</w:t>
            </w:r>
          </w:p>
        </w:tc>
        <w:tc>
          <w:tcPr>
            <w:tcW w:w="1789" w:type="dxa"/>
            <w:noWrap w:val="0"/>
            <w:vAlign w:val="center"/>
          </w:tcPr>
          <w:p w14:paraId="458E8C2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溶解性总固体</w:t>
            </w:r>
          </w:p>
        </w:tc>
        <w:tc>
          <w:tcPr>
            <w:tcW w:w="1478" w:type="dxa"/>
            <w:noWrap w:val="0"/>
            <w:vAlign w:val="center"/>
          </w:tcPr>
          <w:p w14:paraId="318874E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1000</w:t>
            </w:r>
          </w:p>
        </w:tc>
      </w:tr>
      <w:tr w14:paraId="4B7BB9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935" w:type="dxa"/>
            <w:noWrap w:val="0"/>
            <w:vAlign w:val="center"/>
          </w:tcPr>
          <w:p w14:paraId="3588D91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3</w:t>
            </w:r>
          </w:p>
        </w:tc>
        <w:tc>
          <w:tcPr>
            <w:tcW w:w="1910" w:type="dxa"/>
            <w:noWrap w:val="0"/>
            <w:vAlign w:val="center"/>
          </w:tcPr>
          <w:p w14:paraId="741EB2B5">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Ca</w:t>
            </w:r>
            <w:r>
              <w:rPr>
                <w:rFonts w:hint="eastAsia"/>
                <w:color w:val="auto"/>
                <w:u w:val="none" w:color="auto"/>
                <w:vertAlign w:val="superscript"/>
                <w:lang w:val="en-US" w:eastAsia="zh-CN"/>
              </w:rPr>
              <w:t>2+</w:t>
            </w:r>
          </w:p>
        </w:tc>
        <w:tc>
          <w:tcPr>
            <w:tcW w:w="1475" w:type="dxa"/>
            <w:noWrap w:val="0"/>
            <w:vAlign w:val="center"/>
          </w:tcPr>
          <w:p w14:paraId="11595266">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w:t>
            </w:r>
          </w:p>
        </w:tc>
        <w:tc>
          <w:tcPr>
            <w:tcW w:w="865" w:type="dxa"/>
            <w:noWrap w:val="0"/>
            <w:vAlign w:val="center"/>
          </w:tcPr>
          <w:p w14:paraId="23E9A31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11</w:t>
            </w:r>
          </w:p>
        </w:tc>
        <w:tc>
          <w:tcPr>
            <w:tcW w:w="1789" w:type="dxa"/>
            <w:noWrap w:val="0"/>
            <w:vAlign w:val="center"/>
          </w:tcPr>
          <w:p w14:paraId="712FED5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总硬度</w:t>
            </w:r>
          </w:p>
        </w:tc>
        <w:tc>
          <w:tcPr>
            <w:tcW w:w="1478" w:type="dxa"/>
            <w:noWrap w:val="0"/>
            <w:vAlign w:val="center"/>
          </w:tcPr>
          <w:p w14:paraId="35FB513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450</w:t>
            </w:r>
          </w:p>
        </w:tc>
      </w:tr>
      <w:tr w14:paraId="49DAFD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74534768">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4</w:t>
            </w:r>
          </w:p>
        </w:tc>
        <w:tc>
          <w:tcPr>
            <w:tcW w:w="1910" w:type="dxa"/>
            <w:noWrap w:val="0"/>
            <w:vAlign w:val="center"/>
          </w:tcPr>
          <w:p w14:paraId="6EAED1C0">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Mg</w:t>
            </w:r>
            <w:r>
              <w:rPr>
                <w:rFonts w:hint="eastAsia"/>
                <w:color w:val="auto"/>
                <w:u w:val="none" w:color="auto"/>
                <w:vertAlign w:val="superscript"/>
                <w:lang w:val="en-US" w:eastAsia="zh-CN"/>
              </w:rPr>
              <w:t>2+</w:t>
            </w:r>
          </w:p>
        </w:tc>
        <w:tc>
          <w:tcPr>
            <w:tcW w:w="1475" w:type="dxa"/>
            <w:noWrap w:val="0"/>
            <w:vAlign w:val="center"/>
          </w:tcPr>
          <w:p w14:paraId="4AE550A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w:t>
            </w:r>
          </w:p>
        </w:tc>
        <w:tc>
          <w:tcPr>
            <w:tcW w:w="865" w:type="dxa"/>
            <w:noWrap w:val="0"/>
            <w:vAlign w:val="center"/>
          </w:tcPr>
          <w:p w14:paraId="7738ECBB">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12</w:t>
            </w:r>
          </w:p>
        </w:tc>
        <w:tc>
          <w:tcPr>
            <w:tcW w:w="1789" w:type="dxa"/>
            <w:noWrap w:val="0"/>
            <w:vAlign w:val="center"/>
          </w:tcPr>
          <w:p w14:paraId="48BF3A5B">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高猛酸盐指数</w:t>
            </w:r>
          </w:p>
        </w:tc>
        <w:tc>
          <w:tcPr>
            <w:tcW w:w="1478" w:type="dxa"/>
            <w:noWrap w:val="0"/>
            <w:vAlign w:val="center"/>
          </w:tcPr>
          <w:p w14:paraId="0A56D4E8">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3</w:t>
            </w:r>
          </w:p>
        </w:tc>
      </w:tr>
      <w:tr w14:paraId="16925D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58B83863">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5</w:t>
            </w:r>
          </w:p>
        </w:tc>
        <w:tc>
          <w:tcPr>
            <w:tcW w:w="1910" w:type="dxa"/>
            <w:noWrap w:val="0"/>
            <w:vAlign w:val="center"/>
          </w:tcPr>
          <w:p w14:paraId="6214D9DC">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CO</w:t>
            </w:r>
            <w:r>
              <w:rPr>
                <w:rFonts w:hint="eastAsia"/>
                <w:color w:val="auto"/>
                <w:u w:val="none" w:color="auto"/>
                <w:vertAlign w:val="subscript"/>
                <w:lang w:val="en-US" w:eastAsia="zh-CN"/>
              </w:rPr>
              <w:t>3</w:t>
            </w:r>
            <w:r>
              <w:rPr>
                <w:rFonts w:hint="eastAsia"/>
                <w:color w:val="auto"/>
                <w:u w:val="none" w:color="auto"/>
                <w:vertAlign w:val="superscript"/>
                <w:lang w:val="en-US" w:eastAsia="zh-CN"/>
              </w:rPr>
              <w:t>2-</w:t>
            </w:r>
          </w:p>
        </w:tc>
        <w:tc>
          <w:tcPr>
            <w:tcW w:w="1475" w:type="dxa"/>
            <w:noWrap w:val="0"/>
            <w:vAlign w:val="center"/>
          </w:tcPr>
          <w:p w14:paraId="032A8DD7">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w:t>
            </w:r>
          </w:p>
        </w:tc>
        <w:tc>
          <w:tcPr>
            <w:tcW w:w="865" w:type="dxa"/>
            <w:noWrap w:val="0"/>
            <w:vAlign w:val="center"/>
          </w:tcPr>
          <w:p w14:paraId="056E7B38">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13</w:t>
            </w:r>
          </w:p>
        </w:tc>
        <w:tc>
          <w:tcPr>
            <w:tcW w:w="1789" w:type="dxa"/>
            <w:noWrap w:val="0"/>
            <w:vAlign w:val="center"/>
          </w:tcPr>
          <w:p w14:paraId="3969CB60">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硝酸盐</w:t>
            </w:r>
          </w:p>
        </w:tc>
        <w:tc>
          <w:tcPr>
            <w:tcW w:w="1478" w:type="dxa"/>
            <w:noWrap w:val="0"/>
            <w:vAlign w:val="center"/>
          </w:tcPr>
          <w:p w14:paraId="0390889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20</w:t>
            </w:r>
          </w:p>
        </w:tc>
      </w:tr>
      <w:tr w14:paraId="6B10DD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35" w:type="dxa"/>
            <w:noWrap w:val="0"/>
            <w:vAlign w:val="center"/>
          </w:tcPr>
          <w:p w14:paraId="177A8B65">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olor w:val="auto"/>
                <w:sz w:val="21"/>
                <w:highlight w:val="none"/>
                <w:u w:val="none" w:color="auto"/>
                <w:lang w:val="en-US" w:eastAsia="zh-CN" w:bidi="ar-SA"/>
              </w:rPr>
            </w:pPr>
            <w:r>
              <w:rPr>
                <w:rFonts w:hint="eastAsia" w:ascii="Times New Roman" w:hAnsi="Times New Roman" w:eastAsia="宋体"/>
                <w:color w:val="auto"/>
                <w:sz w:val="21"/>
                <w:highlight w:val="none"/>
                <w:u w:val="none" w:color="auto"/>
                <w:lang w:val="en-US" w:eastAsia="zh-CN" w:bidi="ar-SA"/>
              </w:rPr>
              <w:t>6</w:t>
            </w:r>
          </w:p>
        </w:tc>
        <w:tc>
          <w:tcPr>
            <w:tcW w:w="1910" w:type="dxa"/>
            <w:noWrap w:val="0"/>
            <w:vAlign w:val="center"/>
          </w:tcPr>
          <w:p w14:paraId="26079635">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HCO</w:t>
            </w:r>
            <w:r>
              <w:rPr>
                <w:rFonts w:hint="eastAsia"/>
                <w:color w:val="auto"/>
                <w:u w:val="none" w:color="auto"/>
                <w:vertAlign w:val="subscript"/>
                <w:lang w:val="en-US" w:eastAsia="zh-CN"/>
              </w:rPr>
              <w:t>3</w:t>
            </w:r>
            <w:r>
              <w:rPr>
                <w:rFonts w:hint="eastAsia"/>
                <w:color w:val="auto"/>
                <w:u w:val="none" w:color="auto"/>
                <w:vertAlign w:val="superscript"/>
                <w:lang w:val="en-US" w:eastAsia="zh-CN"/>
              </w:rPr>
              <w:t>-</w:t>
            </w:r>
          </w:p>
        </w:tc>
        <w:tc>
          <w:tcPr>
            <w:tcW w:w="1475" w:type="dxa"/>
            <w:noWrap w:val="0"/>
            <w:vAlign w:val="center"/>
          </w:tcPr>
          <w:p w14:paraId="667CC0CC">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olor w:val="auto"/>
                <w:sz w:val="21"/>
                <w:highlight w:val="none"/>
                <w:u w:val="none" w:color="auto"/>
                <w:lang w:val="en-US" w:eastAsia="zh-CN" w:bidi="ar-SA"/>
              </w:rPr>
            </w:pPr>
            <w:r>
              <w:rPr>
                <w:rFonts w:hint="eastAsia"/>
                <w:color w:val="auto"/>
                <w:u w:val="none" w:color="auto"/>
                <w:lang w:val="en-US" w:eastAsia="zh-CN"/>
              </w:rPr>
              <w:t>/</w:t>
            </w:r>
          </w:p>
        </w:tc>
        <w:tc>
          <w:tcPr>
            <w:tcW w:w="865" w:type="dxa"/>
            <w:noWrap w:val="0"/>
            <w:vAlign w:val="center"/>
          </w:tcPr>
          <w:p w14:paraId="3A0E2E6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highlight w:val="none"/>
                <w:u w:val="none" w:color="auto"/>
                <w:lang w:val="en-US" w:eastAsia="zh-CN"/>
              </w:rPr>
            </w:pPr>
            <w:r>
              <w:rPr>
                <w:rFonts w:hint="eastAsia" w:eastAsia="宋体"/>
                <w:color w:val="auto"/>
                <w:highlight w:val="none"/>
                <w:u w:val="none" w:color="auto"/>
                <w:lang w:val="en-US" w:eastAsia="zh-CN"/>
              </w:rPr>
              <w:t>14</w:t>
            </w:r>
          </w:p>
        </w:tc>
        <w:tc>
          <w:tcPr>
            <w:tcW w:w="1789" w:type="dxa"/>
            <w:noWrap w:val="0"/>
            <w:vAlign w:val="center"/>
          </w:tcPr>
          <w:p w14:paraId="536E57BB">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亚硝酸盐</w:t>
            </w:r>
          </w:p>
        </w:tc>
        <w:tc>
          <w:tcPr>
            <w:tcW w:w="1478" w:type="dxa"/>
            <w:noWrap w:val="0"/>
            <w:vAlign w:val="center"/>
          </w:tcPr>
          <w:p w14:paraId="6E452BBC">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1</w:t>
            </w:r>
          </w:p>
        </w:tc>
      </w:tr>
      <w:tr w14:paraId="774023B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7782C295">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7</w:t>
            </w:r>
          </w:p>
        </w:tc>
        <w:tc>
          <w:tcPr>
            <w:tcW w:w="1910" w:type="dxa"/>
            <w:noWrap w:val="0"/>
            <w:vAlign w:val="center"/>
          </w:tcPr>
          <w:p w14:paraId="5D9D4B7C">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Cl</w:t>
            </w:r>
            <w:r>
              <w:rPr>
                <w:rFonts w:hint="eastAsia"/>
                <w:color w:val="auto"/>
                <w:u w:val="none" w:color="auto"/>
                <w:vertAlign w:val="superscript"/>
                <w:lang w:val="en-US" w:eastAsia="zh-CN"/>
              </w:rPr>
              <w:t>-</w:t>
            </w:r>
          </w:p>
        </w:tc>
        <w:tc>
          <w:tcPr>
            <w:tcW w:w="1475" w:type="dxa"/>
            <w:noWrap w:val="0"/>
            <w:vAlign w:val="center"/>
          </w:tcPr>
          <w:p w14:paraId="7235293A">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250</w:t>
            </w:r>
          </w:p>
        </w:tc>
        <w:tc>
          <w:tcPr>
            <w:tcW w:w="865" w:type="dxa"/>
            <w:noWrap w:val="0"/>
            <w:vAlign w:val="center"/>
          </w:tcPr>
          <w:p w14:paraId="337749F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highlight w:val="none"/>
                <w:u w:val="none" w:color="auto"/>
                <w:lang w:val="en-US" w:eastAsia="zh-CN"/>
              </w:rPr>
            </w:pPr>
            <w:r>
              <w:rPr>
                <w:rFonts w:hint="eastAsia" w:eastAsia="宋体"/>
                <w:color w:val="auto"/>
                <w:highlight w:val="none"/>
                <w:u w:val="none" w:color="auto"/>
                <w:lang w:val="en-US" w:eastAsia="zh-CN"/>
              </w:rPr>
              <w:t>15</w:t>
            </w:r>
          </w:p>
        </w:tc>
        <w:tc>
          <w:tcPr>
            <w:tcW w:w="1789" w:type="dxa"/>
            <w:noWrap w:val="0"/>
            <w:vAlign w:val="center"/>
          </w:tcPr>
          <w:p w14:paraId="0383F40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氨氮</w:t>
            </w:r>
          </w:p>
        </w:tc>
        <w:tc>
          <w:tcPr>
            <w:tcW w:w="1478" w:type="dxa"/>
            <w:noWrap w:val="0"/>
            <w:vAlign w:val="center"/>
          </w:tcPr>
          <w:p w14:paraId="7F4696D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华康简宋" w:cs="Times New Roman"/>
                <w:color w:val="auto"/>
                <w:spacing w:val="6"/>
                <w:kern w:val="24"/>
                <w:sz w:val="21"/>
                <w:szCs w:val="21"/>
                <w:highlight w:val="none"/>
                <w:u w:val="none" w:color="auto"/>
                <w:lang w:val="en-US" w:eastAsia="zh-CN" w:bidi="ar-SA"/>
              </w:rPr>
            </w:pPr>
            <w:r>
              <w:rPr>
                <w:rFonts w:hint="eastAsia"/>
                <w:color w:val="auto"/>
                <w:u w:val="none" w:color="auto"/>
                <w:lang w:val="en-US" w:eastAsia="zh-CN"/>
              </w:rPr>
              <w:t>0.5</w:t>
            </w:r>
          </w:p>
        </w:tc>
      </w:tr>
      <w:tr w14:paraId="661036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35" w:type="dxa"/>
            <w:noWrap w:val="0"/>
            <w:vAlign w:val="center"/>
          </w:tcPr>
          <w:p w14:paraId="4CBF2BD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olor w:val="auto"/>
                <w:sz w:val="21"/>
                <w:highlight w:val="none"/>
                <w:u w:val="none" w:color="auto"/>
                <w:lang w:val="en-US" w:eastAsia="zh-CN" w:bidi="ar-SA"/>
              </w:rPr>
            </w:pPr>
            <w:r>
              <w:rPr>
                <w:rFonts w:hint="eastAsia" w:ascii="Times New Roman" w:hAnsi="Times New Roman"/>
                <w:color w:val="auto"/>
                <w:sz w:val="21"/>
                <w:highlight w:val="none"/>
                <w:u w:val="none" w:color="auto"/>
                <w:lang w:val="en-US" w:eastAsia="zh-CN" w:bidi="ar-SA"/>
              </w:rPr>
              <w:t>8</w:t>
            </w:r>
          </w:p>
        </w:tc>
        <w:tc>
          <w:tcPr>
            <w:tcW w:w="1910" w:type="dxa"/>
            <w:noWrap w:val="0"/>
            <w:vAlign w:val="center"/>
          </w:tcPr>
          <w:p w14:paraId="4745CAE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color w:val="auto"/>
                <w:u w:val="none" w:color="auto"/>
                <w:lang w:val="en-US" w:eastAsia="zh-CN"/>
              </w:rPr>
              <w:t>SO</w:t>
            </w:r>
            <w:r>
              <w:rPr>
                <w:rFonts w:hint="eastAsia"/>
                <w:color w:val="auto"/>
                <w:u w:val="none" w:color="auto"/>
                <w:vertAlign w:val="subscript"/>
                <w:lang w:val="en-US" w:eastAsia="zh-CN"/>
              </w:rPr>
              <w:t>4</w:t>
            </w:r>
            <w:r>
              <w:rPr>
                <w:rFonts w:hint="eastAsia"/>
                <w:color w:val="auto"/>
                <w:u w:val="none" w:color="auto"/>
                <w:vertAlign w:val="superscript"/>
                <w:lang w:val="en-US" w:eastAsia="zh-CN"/>
              </w:rPr>
              <w:t>2-</w:t>
            </w:r>
          </w:p>
        </w:tc>
        <w:tc>
          <w:tcPr>
            <w:tcW w:w="1475" w:type="dxa"/>
            <w:noWrap w:val="0"/>
            <w:vAlign w:val="center"/>
          </w:tcPr>
          <w:p w14:paraId="5DA39524">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Times New Roman" w:hAnsi="Times New Roman"/>
                <w:color w:val="auto"/>
                <w:sz w:val="21"/>
                <w:highlight w:val="none"/>
                <w:u w:val="none" w:color="auto"/>
                <w:lang w:val="en-US" w:eastAsia="zh-CN" w:bidi="ar-SA"/>
              </w:rPr>
            </w:pPr>
            <w:r>
              <w:rPr>
                <w:rFonts w:hint="eastAsia"/>
                <w:color w:val="auto"/>
                <w:u w:val="none" w:color="auto"/>
                <w:lang w:val="en-US" w:eastAsia="zh-CN"/>
              </w:rPr>
              <w:t>250</w:t>
            </w:r>
          </w:p>
        </w:tc>
        <w:tc>
          <w:tcPr>
            <w:tcW w:w="865" w:type="dxa"/>
            <w:noWrap w:val="0"/>
            <w:vAlign w:val="center"/>
          </w:tcPr>
          <w:p w14:paraId="4B211036">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highlight w:val="none"/>
                <w:u w:val="none" w:color="auto"/>
                <w:lang w:val="en-US" w:eastAsia="zh-CN"/>
              </w:rPr>
            </w:pPr>
            <w:r>
              <w:rPr>
                <w:rFonts w:hint="eastAsia" w:eastAsia="宋体"/>
                <w:color w:val="auto"/>
                <w:highlight w:val="none"/>
                <w:u w:val="none" w:color="auto"/>
                <w:lang w:val="en-US" w:eastAsia="zh-CN"/>
              </w:rPr>
              <w:t>16</w:t>
            </w:r>
          </w:p>
        </w:tc>
        <w:tc>
          <w:tcPr>
            <w:tcW w:w="1789" w:type="dxa"/>
            <w:noWrap w:val="0"/>
            <w:vAlign w:val="center"/>
          </w:tcPr>
          <w:p w14:paraId="624A4CB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挥发酚</w:t>
            </w:r>
          </w:p>
        </w:tc>
        <w:tc>
          <w:tcPr>
            <w:tcW w:w="1478" w:type="dxa"/>
            <w:noWrap w:val="0"/>
            <w:vAlign w:val="center"/>
          </w:tcPr>
          <w:p w14:paraId="2FC2C060">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ascii="Times New Roman" w:hAnsi="Times New Roman" w:eastAsia="宋体" w:cs="Times New Roman"/>
                <w:color w:val="auto"/>
                <w:spacing w:val="6"/>
                <w:kern w:val="24"/>
                <w:sz w:val="21"/>
                <w:szCs w:val="21"/>
                <w:highlight w:val="none"/>
                <w:u w:val="none" w:color="auto"/>
                <w:lang w:val="en-US" w:eastAsia="zh-CN" w:bidi="ar-SA"/>
              </w:rPr>
              <w:t>0.002</w:t>
            </w:r>
          </w:p>
        </w:tc>
      </w:tr>
    </w:tbl>
    <w:p w14:paraId="4ACEC690">
      <w:pPr>
        <w:pStyle w:val="20"/>
        <w:ind w:firstLine="482"/>
        <w:rPr>
          <w:rFonts w:hint="default" w:ascii="Times New Roman" w:hAnsi="Times New Roman" w:cs="Times New Roman"/>
          <w:b/>
          <w:bCs/>
          <w:color w:val="auto"/>
          <w:u w:val="none" w:color="auto"/>
        </w:rPr>
      </w:pPr>
      <w:bookmarkStart w:id="407" w:name="_Toc22991_WPSOffice_Level3"/>
      <w:bookmarkStart w:id="408" w:name="_Toc20844_WPSOffice_Level3"/>
      <w:r>
        <w:rPr>
          <w:rFonts w:hint="default" w:ascii="Times New Roman" w:hAnsi="Times New Roman" w:cs="Times New Roman"/>
          <w:b/>
          <w:bCs/>
          <w:color w:val="auto"/>
          <w:u w:val="none" w:color="auto"/>
        </w:rPr>
        <w:t>2、污染物排放标准</w:t>
      </w:r>
      <w:bookmarkEnd w:id="407"/>
      <w:bookmarkEnd w:id="408"/>
    </w:p>
    <w:p w14:paraId="2DE73B3E">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color w:val="auto"/>
          <w:sz w:val="24"/>
          <w:u w:val="none" w:color="auto"/>
          <w:lang w:eastAsia="zh-CN"/>
        </w:rPr>
      </w:pPr>
      <w:r>
        <w:rPr>
          <w:rFonts w:hint="default" w:ascii="Times New Roman" w:hAnsi="Times New Roman" w:cs="Times New Roman"/>
          <w:color w:val="auto"/>
          <w:sz w:val="24"/>
          <w:u w:val="none" w:color="auto"/>
        </w:rPr>
        <w:t>（1）</w:t>
      </w:r>
      <w:r>
        <w:rPr>
          <w:rFonts w:hint="default" w:ascii="Times New Roman" w:hAnsi="Times New Roman" w:cs="Times New Roman"/>
          <w:color w:val="auto"/>
          <w:u w:val="none" w:color="auto"/>
        </w:rPr>
        <w:t>废气</w:t>
      </w:r>
      <w:r>
        <w:rPr>
          <w:rFonts w:hint="default" w:ascii="Times New Roman" w:hAnsi="Times New Roman" w:cs="Times New Roman"/>
          <w:color w:val="auto"/>
          <w:sz w:val="24"/>
          <w:u w:val="none" w:color="auto"/>
        </w:rPr>
        <w:t>：</w:t>
      </w:r>
      <w:r>
        <w:rPr>
          <w:rFonts w:hint="default" w:ascii="Times New Roman" w:hAnsi="Times New Roman" w:cs="Times New Roman"/>
          <w:color w:val="auto"/>
          <w:u w:val="none" w:color="auto"/>
        </w:rPr>
        <w:t>施工期产生的扬尘执行《大气污染物综合排放标准》（GB16297-1996）中无组织排放监控浓度限值。</w:t>
      </w:r>
    </w:p>
    <w:p w14:paraId="04A9D60C">
      <w:pPr>
        <w:pStyle w:val="20"/>
        <w:numPr>
          <w:ilvl w:val="0"/>
          <w:numId w:val="0"/>
        </w:numPr>
        <w:ind w:firstLine="480" w:firstLineChars="200"/>
        <w:rPr>
          <w:rFonts w:hint="default" w:ascii="Times New Roman" w:hAnsi="Times New Roman" w:eastAsia="宋体" w:cs="Times New Roman"/>
          <w:color w:val="auto"/>
          <w:u w:val="none" w:color="auto"/>
          <w:lang w:val="en-US" w:eastAsia="zh-CN"/>
        </w:rPr>
      </w:pPr>
      <w:r>
        <w:rPr>
          <w:rFonts w:hint="eastAsia" w:ascii="Times New Roman" w:hAnsi="Times New Roman"/>
          <w:color w:val="auto"/>
          <w:sz w:val="24"/>
          <w:u w:val="none"/>
          <w:lang w:eastAsia="zh-CN"/>
        </w:rPr>
        <w:t>根据《排污许可证申请与核发技术规范 橡胶与塑料制品工业》（HJ1</w:t>
      </w:r>
      <w:r>
        <w:rPr>
          <w:rFonts w:hint="eastAsia" w:ascii="Times New Roman" w:hAnsi="Times New Roman"/>
          <w:color w:val="auto"/>
          <w:sz w:val="24"/>
          <w:u w:val="none"/>
          <w:lang w:val="en-US" w:eastAsia="zh-CN"/>
        </w:rPr>
        <w:t>122</w:t>
      </w:r>
      <w:r>
        <w:rPr>
          <w:rFonts w:hint="eastAsia" w:ascii="Times New Roman" w:hAnsi="Times New Roman"/>
          <w:color w:val="auto"/>
          <w:sz w:val="24"/>
          <w:u w:val="none"/>
          <w:lang w:eastAsia="zh-CN"/>
        </w:rPr>
        <w:t>-20</w:t>
      </w:r>
      <w:r>
        <w:rPr>
          <w:rFonts w:hint="eastAsia" w:ascii="Times New Roman" w:hAnsi="Times New Roman"/>
          <w:color w:val="auto"/>
          <w:sz w:val="24"/>
          <w:u w:val="none"/>
          <w:lang w:val="en-US" w:eastAsia="zh-CN"/>
        </w:rPr>
        <w:t>20</w:t>
      </w:r>
      <w:r>
        <w:rPr>
          <w:rFonts w:hint="eastAsia" w:ascii="Times New Roman" w:hAnsi="Times New Roman"/>
          <w:color w:val="auto"/>
          <w:sz w:val="24"/>
          <w:u w:val="none"/>
          <w:lang w:eastAsia="zh-CN"/>
        </w:rPr>
        <w:t>），</w:t>
      </w:r>
      <w:r>
        <w:rPr>
          <w:rFonts w:hint="default" w:ascii="Times New Roman" w:hAnsi="Times New Roman" w:cs="Times New Roman"/>
          <w:color w:val="auto"/>
          <w:u w:val="none"/>
          <w:lang w:eastAsia="zh-CN"/>
        </w:rPr>
        <w:t>营运期</w:t>
      </w:r>
      <w:r>
        <w:rPr>
          <w:rFonts w:hint="default" w:ascii="Times New Roman" w:hAnsi="Times New Roman" w:cs="Times New Roman"/>
          <w:color w:val="auto"/>
          <w:u w:val="none"/>
        </w:rPr>
        <w:t>颗粒物</w:t>
      </w:r>
      <w:r>
        <w:rPr>
          <w:rFonts w:hint="default"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氯化氢</w:t>
      </w:r>
      <w:r>
        <w:rPr>
          <w:rFonts w:hint="default" w:ascii="Times New Roman" w:hAnsi="Times New Roman" w:cs="Times New Roman"/>
          <w:color w:val="auto"/>
          <w:u w:val="none"/>
          <w:lang w:val="en-US" w:eastAsia="zh-CN"/>
        </w:rPr>
        <w:t>、非甲烷总烃</w:t>
      </w:r>
      <w:r>
        <w:rPr>
          <w:rFonts w:hint="eastAsia" w:ascii="Times New Roman" w:hAnsi="Times New Roman" w:cs="Times New Roman"/>
          <w:color w:val="auto"/>
          <w:u w:val="none"/>
          <w:lang w:val="en-US" w:eastAsia="zh-CN"/>
        </w:rPr>
        <w:t>、二甲苯</w:t>
      </w:r>
      <w:r>
        <w:rPr>
          <w:rFonts w:hint="default" w:ascii="Times New Roman" w:hAnsi="Times New Roman" w:cs="Times New Roman"/>
          <w:color w:val="auto"/>
          <w:u w:val="none"/>
        </w:rPr>
        <w:t>执行</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大气</w:t>
      </w:r>
      <w:r>
        <w:rPr>
          <w:rFonts w:hint="default" w:ascii="Times New Roman" w:hAnsi="Times New Roman" w:cs="Times New Roman"/>
          <w:color w:val="auto"/>
          <w:u w:val="none"/>
          <w:lang w:eastAsia="zh-CN"/>
        </w:rPr>
        <w:t>污染物</w:t>
      </w:r>
      <w:r>
        <w:rPr>
          <w:rFonts w:hint="default" w:ascii="Times New Roman" w:hAnsi="Times New Roman" w:cs="Times New Roman"/>
          <w:color w:val="auto"/>
          <w:u w:val="none"/>
          <w:lang w:val="en-US" w:eastAsia="zh-CN"/>
        </w:rPr>
        <w:t>综合</w:t>
      </w:r>
      <w:r>
        <w:rPr>
          <w:rFonts w:hint="default" w:ascii="Times New Roman" w:hAnsi="Times New Roman" w:cs="Times New Roman"/>
          <w:color w:val="auto"/>
          <w:u w:val="none"/>
          <w:lang w:eastAsia="zh-CN"/>
        </w:rPr>
        <w:t xml:space="preserve">排放标准》（GB </w:t>
      </w:r>
      <w:r>
        <w:rPr>
          <w:rFonts w:hint="default" w:ascii="Times New Roman" w:hAnsi="Times New Roman" w:cs="Times New Roman"/>
          <w:color w:val="auto"/>
          <w:u w:val="none"/>
          <w:lang w:val="en-US" w:eastAsia="zh-CN"/>
        </w:rPr>
        <w:t>16297</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1996</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表2</w:t>
      </w:r>
      <w:r>
        <w:rPr>
          <w:rFonts w:hint="default" w:ascii="Times New Roman" w:hAnsi="Times New Roman" w:cs="Times New Roman"/>
          <w:color w:val="auto"/>
          <w:u w:val="none"/>
          <w:lang w:eastAsia="zh-CN"/>
        </w:rPr>
        <w:t>中</w:t>
      </w:r>
      <w:r>
        <w:rPr>
          <w:rFonts w:hint="default" w:ascii="Times New Roman" w:hAnsi="Times New Roman" w:cs="Times New Roman"/>
          <w:color w:val="auto"/>
          <w:u w:val="none"/>
          <w:lang w:val="en-US" w:eastAsia="zh-CN"/>
        </w:rPr>
        <w:t>的有组织排放限值</w:t>
      </w:r>
      <w:r>
        <w:rPr>
          <w:rFonts w:hint="default" w:ascii="Times New Roman" w:hAnsi="Times New Roman" w:cs="Times New Roman"/>
          <w:color w:val="auto"/>
          <w:u w:val="none"/>
          <w:lang w:eastAsia="zh-CN"/>
        </w:rPr>
        <w:t>及</w:t>
      </w:r>
      <w:r>
        <w:rPr>
          <w:rFonts w:hint="default" w:ascii="Times New Roman" w:hAnsi="Times New Roman" w:cs="Times New Roman"/>
          <w:color w:val="auto"/>
          <w:u w:val="none"/>
          <w:lang w:val="en-US" w:eastAsia="zh-CN"/>
        </w:rPr>
        <w:t>无组织排放限值</w:t>
      </w:r>
      <w:r>
        <w:rPr>
          <w:rFonts w:hint="default" w:ascii="Times New Roman" w:hAnsi="Times New Roman" w:cs="Times New Roman"/>
          <w:color w:val="auto"/>
          <w:u w:val="none"/>
          <w:lang w:eastAsia="zh-CN"/>
        </w:rPr>
        <w:t>。企业厂区内无组织排放监控点</w:t>
      </w:r>
      <w:r>
        <w:rPr>
          <w:rFonts w:hint="default" w:ascii="Times New Roman" w:hAnsi="Times New Roman" w:cs="Times New Roman"/>
          <w:color w:val="auto"/>
          <w:u w:val="none"/>
          <w:lang w:val="en-US" w:eastAsia="zh-CN"/>
        </w:rPr>
        <w:t>非甲烷总烃</w:t>
      </w:r>
      <w:r>
        <w:rPr>
          <w:rFonts w:hint="default" w:ascii="Times New Roman" w:hAnsi="Times New Roman" w:cs="Times New Roman"/>
          <w:color w:val="auto"/>
          <w:u w:val="none"/>
          <w:lang w:eastAsia="zh-CN"/>
        </w:rPr>
        <w:t>执行《挥发性有机物无组织排放控制标准》（</w:t>
      </w:r>
      <w:r>
        <w:rPr>
          <w:rFonts w:hint="default" w:ascii="Times New Roman" w:hAnsi="Times New Roman" w:cs="Times New Roman"/>
          <w:color w:val="auto"/>
          <w:u w:val="none"/>
          <w:lang w:val="en-US" w:eastAsia="zh-CN"/>
        </w:rPr>
        <w:t>GB37822-2019</w:t>
      </w:r>
      <w:r>
        <w:rPr>
          <w:rFonts w:hint="default" w:ascii="Times New Roman" w:hAnsi="Times New Roman" w:cs="Times New Roman"/>
          <w:color w:val="auto"/>
          <w:u w:val="none"/>
          <w:lang w:eastAsia="zh-CN"/>
        </w:rPr>
        <w:t>）附录</w:t>
      </w:r>
      <w:r>
        <w:rPr>
          <w:rFonts w:hint="default" w:ascii="Times New Roman" w:hAnsi="Times New Roman" w:cs="Times New Roman"/>
          <w:color w:val="auto"/>
          <w:u w:val="none"/>
          <w:lang w:val="en-US" w:eastAsia="zh-CN"/>
        </w:rPr>
        <w:t>A表A.1排放浓度限值要求</w:t>
      </w:r>
      <w:r>
        <w:rPr>
          <w:rFonts w:hint="eastAsia" w:ascii="Times New Roman" w:hAnsi="Times New Roman" w:cs="Times New Roman"/>
          <w:color w:val="auto"/>
          <w:sz w:val="24"/>
          <w:u w:val="none" w:color="auto"/>
          <w:lang w:val="en-US" w:eastAsia="zh-CN"/>
        </w:rPr>
        <w:t>。臭气浓度执行《恶臭污染物排放标准》（GB14554-93）表1恶臭污染物厂界标准值二级新扩改建和表2标准。</w:t>
      </w:r>
    </w:p>
    <w:p w14:paraId="6BCDC504">
      <w:pPr>
        <w:pStyle w:val="22"/>
        <w:bidi w:val="0"/>
        <w:rPr>
          <w:rFonts w:hint="eastAsia"/>
          <w:b/>
          <w:snapToGrid w:val="0"/>
          <w:color w:val="auto"/>
          <w:kern w:val="0"/>
          <w:szCs w:val="21"/>
          <w:u w:val="none" w:color="auto"/>
          <w:lang w:val="en-US" w:eastAsia="zh-CN"/>
        </w:rPr>
      </w:pPr>
      <w:r>
        <w:rPr>
          <w:rFonts w:hint="default" w:ascii="Times New Roman" w:hAnsi="Times New Roman" w:cs="Times New Roman"/>
          <w:color w:val="auto"/>
          <w:u w:val="none" w:color="auto"/>
        </w:rPr>
        <w:t>表2.</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r>
        <w:rPr>
          <w:rFonts w:hint="eastAsia" w:cs="Times New Roman"/>
          <w:color w:val="auto"/>
          <w:u w:val="none" w:color="auto"/>
          <w:lang w:val="en-US" w:eastAsia="zh-CN"/>
        </w:rPr>
        <w:t xml:space="preserve">8 </w:t>
      </w:r>
      <w:r>
        <w:rPr>
          <w:rFonts w:hint="eastAsia"/>
          <w:b/>
          <w:snapToGrid w:val="0"/>
          <w:color w:val="auto"/>
          <w:kern w:val="0"/>
          <w:szCs w:val="21"/>
          <w:u w:val="none" w:color="auto"/>
        </w:rPr>
        <w:t>大气污染物综合排放标准</w:t>
      </w:r>
      <w:r>
        <w:rPr>
          <w:rFonts w:hint="eastAsia"/>
          <w:b/>
          <w:snapToGrid w:val="0"/>
          <w:color w:val="auto"/>
          <w:kern w:val="0"/>
          <w:szCs w:val="21"/>
          <w:u w:val="none" w:color="auto"/>
          <w:lang w:val="en-US" w:eastAsia="zh-CN"/>
        </w:rPr>
        <w:t xml:space="preserve"> （单位：</w:t>
      </w:r>
      <w:r>
        <w:rPr>
          <w:rFonts w:hint="default" w:ascii="Times New Roman" w:hAnsi="Times New Roman" w:cs="Times New Roman"/>
          <w:color w:val="auto"/>
          <w:u w:val="none" w:color="auto"/>
        </w:rPr>
        <w:t>mg/m</w:t>
      </w:r>
      <w:r>
        <w:rPr>
          <w:rFonts w:hint="default" w:ascii="Times New Roman" w:hAnsi="Times New Roman" w:cs="Times New Roman"/>
          <w:color w:val="auto"/>
          <w:u w:val="none" w:color="auto"/>
          <w:vertAlign w:val="superscript"/>
        </w:rPr>
        <w:t>3</w:t>
      </w:r>
      <w:r>
        <w:rPr>
          <w:rFonts w:hint="eastAsia"/>
          <w:b/>
          <w:snapToGrid w:val="0"/>
          <w:color w:val="auto"/>
          <w:kern w:val="0"/>
          <w:szCs w:val="21"/>
          <w:u w:val="none" w:color="auto"/>
          <w:lang w:val="en-US" w:eastAsia="zh-CN"/>
        </w:rPr>
        <w:t>）</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743"/>
        <w:gridCol w:w="1383"/>
        <w:gridCol w:w="1515"/>
        <w:gridCol w:w="1485"/>
        <w:gridCol w:w="1381"/>
        <w:gridCol w:w="1997"/>
      </w:tblGrid>
      <w:tr w14:paraId="22F604A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3" w:type="dxa"/>
            <w:vMerge w:val="restart"/>
            <w:noWrap w:val="0"/>
            <w:vAlign w:val="center"/>
          </w:tcPr>
          <w:p w14:paraId="6B1516B9">
            <w:pPr>
              <w:pStyle w:val="24"/>
              <w:bidi w:val="0"/>
              <w:rPr>
                <w:rFonts w:hint="default" w:ascii="Times New Roman" w:hAnsi="Times New Roman" w:cs="Times New Roman"/>
                <w:color w:val="auto"/>
              </w:rPr>
            </w:pPr>
            <w:r>
              <w:rPr>
                <w:rFonts w:hint="default" w:ascii="Times New Roman" w:hAnsi="Times New Roman" w:cs="Times New Roman"/>
                <w:color w:val="auto"/>
              </w:rPr>
              <w:t>序号</w:t>
            </w:r>
          </w:p>
        </w:tc>
        <w:tc>
          <w:tcPr>
            <w:tcW w:w="1383" w:type="dxa"/>
            <w:vMerge w:val="restart"/>
            <w:noWrap w:val="0"/>
            <w:vAlign w:val="center"/>
          </w:tcPr>
          <w:p w14:paraId="068D9706">
            <w:pPr>
              <w:pStyle w:val="24"/>
              <w:bidi w:val="0"/>
              <w:rPr>
                <w:rFonts w:hint="default" w:ascii="Times New Roman" w:hAnsi="Times New Roman" w:cs="Times New Roman"/>
                <w:color w:val="auto"/>
              </w:rPr>
            </w:pPr>
            <w:r>
              <w:rPr>
                <w:rFonts w:hint="default" w:ascii="Times New Roman" w:hAnsi="Times New Roman" w:cs="Times New Roman"/>
                <w:color w:val="auto"/>
              </w:rPr>
              <w:t>污染物</w:t>
            </w:r>
          </w:p>
        </w:tc>
        <w:tc>
          <w:tcPr>
            <w:tcW w:w="1515" w:type="dxa"/>
            <w:vMerge w:val="restart"/>
            <w:noWrap w:val="0"/>
            <w:vAlign w:val="center"/>
          </w:tcPr>
          <w:p w14:paraId="1E7C4C96">
            <w:pPr>
              <w:pStyle w:val="24"/>
              <w:bidi w:val="0"/>
              <w:rPr>
                <w:rFonts w:hint="default" w:ascii="Times New Roman" w:hAnsi="Times New Roman" w:cs="Times New Roman"/>
                <w:color w:val="auto"/>
              </w:rPr>
            </w:pPr>
            <w:r>
              <w:rPr>
                <w:rFonts w:hint="default" w:ascii="Times New Roman" w:hAnsi="Times New Roman" w:cs="Times New Roman"/>
                <w:color w:val="auto"/>
                <w:lang w:val="en-US" w:eastAsia="zh-CN"/>
              </w:rPr>
              <w:t>15m</w:t>
            </w:r>
            <w:r>
              <w:rPr>
                <w:rFonts w:hint="default" w:ascii="Times New Roman" w:hAnsi="Times New Roman" w:cs="Times New Roman"/>
                <w:color w:val="auto"/>
              </w:rPr>
              <w:t>最高允许排放浓度(mg/</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rPr>
              <w:t>)</w:t>
            </w:r>
          </w:p>
        </w:tc>
        <w:tc>
          <w:tcPr>
            <w:tcW w:w="1485" w:type="dxa"/>
            <w:vMerge w:val="restart"/>
            <w:noWrap w:val="0"/>
            <w:vAlign w:val="center"/>
          </w:tcPr>
          <w:p w14:paraId="1BD632AD">
            <w:pPr>
              <w:pStyle w:val="24"/>
              <w:bidi w:val="0"/>
              <w:rPr>
                <w:rFonts w:hint="default" w:ascii="Times New Roman" w:hAnsi="Times New Roman" w:cs="Times New Roman"/>
                <w:color w:val="auto"/>
              </w:rPr>
            </w:pPr>
            <w:r>
              <w:rPr>
                <w:rFonts w:hint="default" w:ascii="Times New Roman" w:hAnsi="Times New Roman" w:cs="Times New Roman"/>
                <w:color w:val="auto"/>
                <w:lang w:val="en-US" w:eastAsia="zh-CN"/>
              </w:rPr>
              <w:t>15m</w:t>
            </w:r>
            <w:r>
              <w:rPr>
                <w:rFonts w:hint="default" w:ascii="Times New Roman" w:hAnsi="Times New Roman" w:cs="Times New Roman"/>
                <w:color w:val="auto"/>
              </w:rPr>
              <w:t>最高允许</w:t>
            </w:r>
            <w:r>
              <w:rPr>
                <w:rFonts w:hint="default" w:ascii="Times New Roman" w:hAnsi="Times New Roman" w:cs="Times New Roman"/>
                <w:color w:val="auto"/>
                <w:lang w:eastAsia="zh-CN"/>
              </w:rPr>
              <w:t>排放速率</w:t>
            </w:r>
            <w:r>
              <w:rPr>
                <w:rFonts w:hint="default" w:ascii="Times New Roman" w:hAnsi="Times New Roman" w:cs="Times New Roman"/>
                <w:color w:val="auto"/>
              </w:rPr>
              <w:t>(</w:t>
            </w:r>
            <w:r>
              <w:rPr>
                <w:rFonts w:hint="default" w:ascii="Times New Roman" w:hAnsi="Times New Roman" w:cs="Times New Roman"/>
                <w:color w:val="auto"/>
                <w:lang w:val="en-US" w:eastAsia="zh-CN"/>
              </w:rPr>
              <w:t>kg</w:t>
            </w:r>
            <w:r>
              <w:rPr>
                <w:rFonts w:hint="default" w:ascii="Times New Roman" w:hAnsi="Times New Roman" w:cs="Times New Roman"/>
                <w:color w:val="auto"/>
              </w:rPr>
              <w:t>/</w:t>
            </w:r>
            <w:r>
              <w:rPr>
                <w:rFonts w:hint="default" w:ascii="Times New Roman" w:hAnsi="Times New Roman" w:cs="Times New Roman"/>
                <w:color w:val="auto"/>
                <w:lang w:val="en-US" w:eastAsia="zh-CN"/>
              </w:rPr>
              <w:t>h</w:t>
            </w:r>
            <w:r>
              <w:rPr>
                <w:rFonts w:hint="default" w:ascii="Times New Roman" w:hAnsi="Times New Roman" w:cs="Times New Roman"/>
                <w:color w:val="auto"/>
              </w:rPr>
              <w:t>)</w:t>
            </w:r>
          </w:p>
        </w:tc>
        <w:tc>
          <w:tcPr>
            <w:tcW w:w="3378" w:type="dxa"/>
            <w:gridSpan w:val="2"/>
            <w:noWrap w:val="0"/>
            <w:vAlign w:val="center"/>
          </w:tcPr>
          <w:p w14:paraId="0294E740">
            <w:pPr>
              <w:pStyle w:val="24"/>
              <w:bidi w:val="0"/>
              <w:rPr>
                <w:rFonts w:hint="default" w:ascii="Times New Roman" w:hAnsi="Times New Roman" w:cs="Times New Roman"/>
                <w:color w:val="auto"/>
              </w:rPr>
            </w:pPr>
            <w:r>
              <w:rPr>
                <w:rFonts w:hint="default" w:ascii="Times New Roman" w:hAnsi="Times New Roman" w:cs="Times New Roman"/>
                <w:color w:val="auto"/>
              </w:rPr>
              <w:t>无组织排放监控浓度限值</w:t>
            </w:r>
          </w:p>
        </w:tc>
      </w:tr>
      <w:tr w14:paraId="2C2A05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3" w:type="dxa"/>
            <w:vMerge w:val="continue"/>
            <w:noWrap w:val="0"/>
            <w:vAlign w:val="center"/>
          </w:tcPr>
          <w:p w14:paraId="3A1743EB">
            <w:pPr>
              <w:pStyle w:val="24"/>
              <w:bidi w:val="0"/>
              <w:rPr>
                <w:rFonts w:hint="default" w:ascii="Times New Roman" w:hAnsi="Times New Roman" w:cs="Times New Roman"/>
                <w:color w:val="auto"/>
              </w:rPr>
            </w:pPr>
          </w:p>
        </w:tc>
        <w:tc>
          <w:tcPr>
            <w:tcW w:w="1383" w:type="dxa"/>
            <w:vMerge w:val="continue"/>
            <w:noWrap w:val="0"/>
            <w:vAlign w:val="center"/>
          </w:tcPr>
          <w:p w14:paraId="1C245219">
            <w:pPr>
              <w:pStyle w:val="24"/>
              <w:bidi w:val="0"/>
              <w:rPr>
                <w:rFonts w:hint="default" w:ascii="Times New Roman" w:hAnsi="Times New Roman" w:cs="Times New Roman"/>
                <w:color w:val="auto"/>
              </w:rPr>
            </w:pPr>
          </w:p>
        </w:tc>
        <w:tc>
          <w:tcPr>
            <w:tcW w:w="1515" w:type="dxa"/>
            <w:vMerge w:val="continue"/>
            <w:noWrap w:val="0"/>
            <w:vAlign w:val="center"/>
          </w:tcPr>
          <w:p w14:paraId="3D7C30F7">
            <w:pPr>
              <w:pStyle w:val="24"/>
              <w:bidi w:val="0"/>
              <w:rPr>
                <w:rFonts w:hint="default" w:ascii="Times New Roman" w:hAnsi="Times New Roman" w:cs="Times New Roman"/>
                <w:color w:val="auto"/>
              </w:rPr>
            </w:pPr>
          </w:p>
        </w:tc>
        <w:tc>
          <w:tcPr>
            <w:tcW w:w="1485" w:type="dxa"/>
            <w:vMerge w:val="continue"/>
            <w:noWrap w:val="0"/>
            <w:vAlign w:val="center"/>
          </w:tcPr>
          <w:p w14:paraId="78C7E879">
            <w:pPr>
              <w:pStyle w:val="24"/>
              <w:bidi w:val="0"/>
              <w:rPr>
                <w:rFonts w:hint="default" w:ascii="Times New Roman" w:hAnsi="Times New Roman" w:cs="Times New Roman"/>
                <w:color w:val="auto"/>
              </w:rPr>
            </w:pPr>
          </w:p>
        </w:tc>
        <w:tc>
          <w:tcPr>
            <w:tcW w:w="3378" w:type="dxa"/>
            <w:gridSpan w:val="2"/>
            <w:noWrap w:val="0"/>
            <w:vAlign w:val="center"/>
          </w:tcPr>
          <w:p w14:paraId="0B001C72">
            <w:pPr>
              <w:pStyle w:val="24"/>
              <w:bidi w:val="0"/>
              <w:rPr>
                <w:rFonts w:hint="default" w:ascii="Times New Roman" w:hAnsi="Times New Roman" w:cs="Times New Roman"/>
                <w:color w:val="auto"/>
                <w:lang w:eastAsia="zh-CN"/>
              </w:rPr>
            </w:pPr>
            <w:r>
              <w:rPr>
                <w:rFonts w:hint="default" w:ascii="Times New Roman" w:hAnsi="Times New Roman" w:cs="Times New Roman"/>
                <w:color w:val="auto"/>
              </w:rPr>
              <w:t>监控点浓度</w:t>
            </w:r>
            <w:r>
              <w:rPr>
                <w:rFonts w:hint="default" w:ascii="Times New Roman" w:hAnsi="Times New Roman" w:cs="Times New Roman"/>
                <w:color w:val="auto"/>
                <w:lang w:eastAsia="zh-CN"/>
              </w:rPr>
              <w:t>（</w:t>
            </w:r>
            <w:r>
              <w:rPr>
                <w:rFonts w:hint="default" w:ascii="Times New Roman" w:hAnsi="Times New Roman" w:cs="Times New Roman"/>
                <w:color w:val="auto"/>
              </w:rPr>
              <w:t>mg/</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w:t>
            </w:r>
          </w:p>
        </w:tc>
      </w:tr>
      <w:tr w14:paraId="52D0AF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3" w:type="dxa"/>
            <w:noWrap w:val="0"/>
            <w:vAlign w:val="center"/>
          </w:tcPr>
          <w:p w14:paraId="0D1A5AC4">
            <w:pPr>
              <w:pStyle w:val="24"/>
              <w:bidi w:val="0"/>
              <w:rPr>
                <w:rFonts w:hint="default" w:ascii="Times New Roman" w:hAnsi="Times New Roman" w:cs="Times New Roman"/>
                <w:color w:val="auto"/>
              </w:rPr>
            </w:pPr>
            <w:r>
              <w:rPr>
                <w:rFonts w:hint="default" w:ascii="Times New Roman" w:hAnsi="Times New Roman" w:cs="Times New Roman"/>
                <w:color w:val="auto"/>
              </w:rPr>
              <w:t>1</w:t>
            </w:r>
          </w:p>
        </w:tc>
        <w:tc>
          <w:tcPr>
            <w:tcW w:w="1383" w:type="dxa"/>
            <w:noWrap w:val="0"/>
            <w:vAlign w:val="center"/>
          </w:tcPr>
          <w:p w14:paraId="17BDE622">
            <w:pPr>
              <w:pStyle w:val="24"/>
              <w:bidi w:val="0"/>
              <w:rPr>
                <w:rFonts w:hint="default" w:ascii="Times New Roman" w:hAnsi="Times New Roman" w:cs="Times New Roman"/>
                <w:color w:val="auto"/>
                <w:lang w:eastAsia="zh-CN"/>
              </w:rPr>
            </w:pPr>
            <w:r>
              <w:rPr>
                <w:rFonts w:hint="default" w:ascii="Times New Roman" w:hAnsi="Times New Roman" w:cs="Times New Roman"/>
                <w:color w:val="auto"/>
                <w:lang w:eastAsia="zh-CN"/>
              </w:rPr>
              <w:t>颗粒物</w:t>
            </w:r>
          </w:p>
        </w:tc>
        <w:tc>
          <w:tcPr>
            <w:tcW w:w="1515" w:type="dxa"/>
            <w:noWrap w:val="0"/>
            <w:vAlign w:val="center"/>
          </w:tcPr>
          <w:p w14:paraId="1E35C01F">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120</w:t>
            </w:r>
          </w:p>
        </w:tc>
        <w:tc>
          <w:tcPr>
            <w:tcW w:w="1485" w:type="dxa"/>
            <w:noWrap w:val="0"/>
            <w:vAlign w:val="center"/>
          </w:tcPr>
          <w:p w14:paraId="32212181">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3.5</w:t>
            </w:r>
            <w:r>
              <w:rPr>
                <w:rFonts w:hint="eastAsia" w:ascii="Times New Roman" w:hAnsi="Times New Roman" w:cs="Times New Roman"/>
                <w:color w:val="auto"/>
                <w:lang w:val="en-US" w:eastAsia="zh-CN"/>
              </w:rPr>
              <w:t>（1.75）</w:t>
            </w:r>
          </w:p>
        </w:tc>
        <w:tc>
          <w:tcPr>
            <w:tcW w:w="1381" w:type="dxa"/>
            <w:vMerge w:val="restart"/>
            <w:noWrap w:val="0"/>
            <w:vAlign w:val="center"/>
          </w:tcPr>
          <w:p w14:paraId="7B3FA0B3">
            <w:pPr>
              <w:pStyle w:val="24"/>
              <w:bidi w:val="0"/>
              <w:rPr>
                <w:rFonts w:hint="default" w:ascii="Times New Roman" w:hAnsi="Times New Roman" w:cs="Times New Roman"/>
                <w:color w:val="auto"/>
              </w:rPr>
            </w:pPr>
            <w:r>
              <w:rPr>
                <w:rFonts w:hint="default" w:ascii="Times New Roman" w:hAnsi="Times New Roman" w:cs="Times New Roman"/>
                <w:color w:val="auto"/>
              </w:rPr>
              <w:t>周界外浓度最高点</w:t>
            </w:r>
          </w:p>
        </w:tc>
        <w:tc>
          <w:tcPr>
            <w:tcW w:w="1997" w:type="dxa"/>
            <w:noWrap w:val="0"/>
            <w:vAlign w:val="center"/>
          </w:tcPr>
          <w:p w14:paraId="05D909A5">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r>
      <w:tr w14:paraId="139A45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3" w:type="dxa"/>
            <w:noWrap w:val="0"/>
            <w:vAlign w:val="center"/>
          </w:tcPr>
          <w:p w14:paraId="6E918FE1">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383" w:type="dxa"/>
            <w:noWrap w:val="0"/>
            <w:vAlign w:val="center"/>
          </w:tcPr>
          <w:p w14:paraId="3B3D5126">
            <w:pPr>
              <w:pStyle w:val="2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氯化氢</w:t>
            </w:r>
          </w:p>
        </w:tc>
        <w:tc>
          <w:tcPr>
            <w:tcW w:w="1515" w:type="dxa"/>
            <w:noWrap w:val="0"/>
            <w:vAlign w:val="center"/>
          </w:tcPr>
          <w:p w14:paraId="270EE561">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w:t>
            </w:r>
          </w:p>
        </w:tc>
        <w:tc>
          <w:tcPr>
            <w:tcW w:w="1485" w:type="dxa"/>
            <w:noWrap w:val="0"/>
            <w:vAlign w:val="center"/>
          </w:tcPr>
          <w:p w14:paraId="6EB342DD">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0.26</w:t>
            </w:r>
            <w:r>
              <w:rPr>
                <w:rFonts w:hint="eastAsia" w:ascii="Times New Roman" w:hAnsi="Times New Roman" w:cs="Times New Roman"/>
                <w:color w:val="auto"/>
                <w:lang w:val="en-US" w:eastAsia="zh-CN"/>
              </w:rPr>
              <w:t>（0.13）</w:t>
            </w:r>
          </w:p>
        </w:tc>
        <w:tc>
          <w:tcPr>
            <w:tcW w:w="1381" w:type="dxa"/>
            <w:vMerge w:val="continue"/>
            <w:noWrap w:val="0"/>
            <w:vAlign w:val="center"/>
          </w:tcPr>
          <w:p w14:paraId="53AAA877">
            <w:pPr>
              <w:pStyle w:val="24"/>
              <w:bidi w:val="0"/>
              <w:rPr>
                <w:rFonts w:hint="default" w:ascii="Times New Roman" w:hAnsi="Times New Roman" w:cs="Times New Roman"/>
                <w:color w:val="auto"/>
              </w:rPr>
            </w:pPr>
          </w:p>
        </w:tc>
        <w:tc>
          <w:tcPr>
            <w:tcW w:w="1997" w:type="dxa"/>
            <w:noWrap w:val="0"/>
            <w:vAlign w:val="center"/>
          </w:tcPr>
          <w:p w14:paraId="5B58E666">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0.20</w:t>
            </w:r>
          </w:p>
        </w:tc>
      </w:tr>
      <w:tr w14:paraId="36FBE3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3" w:type="dxa"/>
            <w:noWrap w:val="0"/>
            <w:vAlign w:val="center"/>
          </w:tcPr>
          <w:p w14:paraId="51EB182F">
            <w:pPr>
              <w:pStyle w:val="2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w:t>
            </w:r>
          </w:p>
        </w:tc>
        <w:tc>
          <w:tcPr>
            <w:tcW w:w="1383" w:type="dxa"/>
            <w:noWrap w:val="0"/>
            <w:vAlign w:val="center"/>
          </w:tcPr>
          <w:p w14:paraId="38871C43">
            <w:pPr>
              <w:pStyle w:val="2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二甲苯</w:t>
            </w:r>
          </w:p>
        </w:tc>
        <w:tc>
          <w:tcPr>
            <w:tcW w:w="1515" w:type="dxa"/>
            <w:noWrap w:val="0"/>
            <w:vAlign w:val="center"/>
          </w:tcPr>
          <w:p w14:paraId="5A5CE35C">
            <w:pPr>
              <w:pStyle w:val="2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70</w:t>
            </w:r>
          </w:p>
        </w:tc>
        <w:tc>
          <w:tcPr>
            <w:tcW w:w="1485" w:type="dxa"/>
            <w:noWrap w:val="0"/>
            <w:vAlign w:val="center"/>
          </w:tcPr>
          <w:p w14:paraId="5362E21A">
            <w:pPr>
              <w:pStyle w:val="2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1.0（0.5）</w:t>
            </w:r>
          </w:p>
        </w:tc>
        <w:tc>
          <w:tcPr>
            <w:tcW w:w="1381" w:type="dxa"/>
            <w:vMerge w:val="continue"/>
            <w:noWrap w:val="0"/>
            <w:vAlign w:val="center"/>
          </w:tcPr>
          <w:p w14:paraId="34984F98">
            <w:pPr>
              <w:pStyle w:val="24"/>
              <w:bidi w:val="0"/>
              <w:rPr>
                <w:rFonts w:hint="default" w:ascii="Times New Roman" w:hAnsi="Times New Roman" w:cs="Times New Roman"/>
                <w:color w:val="auto"/>
              </w:rPr>
            </w:pPr>
          </w:p>
        </w:tc>
        <w:tc>
          <w:tcPr>
            <w:tcW w:w="1997" w:type="dxa"/>
            <w:noWrap w:val="0"/>
            <w:vAlign w:val="center"/>
          </w:tcPr>
          <w:p w14:paraId="0279106B">
            <w:pPr>
              <w:pStyle w:val="2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w:t>
            </w:r>
          </w:p>
        </w:tc>
      </w:tr>
      <w:tr w14:paraId="28D2A5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3" w:type="dxa"/>
            <w:vMerge w:val="restart"/>
            <w:noWrap w:val="0"/>
            <w:vAlign w:val="center"/>
          </w:tcPr>
          <w:p w14:paraId="3FAA6AA9">
            <w:pPr>
              <w:pStyle w:val="24"/>
              <w:bidi w:val="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4</w:t>
            </w:r>
          </w:p>
        </w:tc>
        <w:tc>
          <w:tcPr>
            <w:tcW w:w="1383" w:type="dxa"/>
            <w:vMerge w:val="restart"/>
            <w:noWrap w:val="0"/>
            <w:vAlign w:val="center"/>
          </w:tcPr>
          <w:p w14:paraId="4FB12AF4">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非甲烷总烃</w:t>
            </w:r>
          </w:p>
        </w:tc>
        <w:tc>
          <w:tcPr>
            <w:tcW w:w="1515" w:type="dxa"/>
            <w:vMerge w:val="restart"/>
            <w:noWrap w:val="0"/>
            <w:vAlign w:val="center"/>
          </w:tcPr>
          <w:p w14:paraId="2ACF8CA5">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120</w:t>
            </w:r>
          </w:p>
        </w:tc>
        <w:tc>
          <w:tcPr>
            <w:tcW w:w="1485" w:type="dxa"/>
            <w:vMerge w:val="restart"/>
            <w:noWrap w:val="0"/>
            <w:vAlign w:val="center"/>
          </w:tcPr>
          <w:p w14:paraId="36CCFEF6">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r>
              <w:rPr>
                <w:rFonts w:hint="eastAsia" w:ascii="Times New Roman" w:hAnsi="Times New Roman" w:cs="Times New Roman"/>
                <w:color w:val="auto"/>
                <w:lang w:val="en-US" w:eastAsia="zh-CN"/>
              </w:rPr>
              <w:t>（5）</w:t>
            </w:r>
          </w:p>
        </w:tc>
        <w:tc>
          <w:tcPr>
            <w:tcW w:w="1381" w:type="dxa"/>
            <w:vMerge w:val="continue"/>
            <w:noWrap w:val="0"/>
            <w:vAlign w:val="center"/>
          </w:tcPr>
          <w:p w14:paraId="2B2DCEFA">
            <w:pPr>
              <w:pStyle w:val="24"/>
              <w:bidi w:val="0"/>
              <w:rPr>
                <w:rFonts w:hint="default" w:ascii="Times New Roman" w:hAnsi="Times New Roman" w:cs="Times New Roman"/>
                <w:color w:val="auto"/>
                <w:lang w:val="en-US" w:eastAsia="zh-CN"/>
              </w:rPr>
            </w:pPr>
          </w:p>
        </w:tc>
        <w:tc>
          <w:tcPr>
            <w:tcW w:w="1997" w:type="dxa"/>
            <w:noWrap w:val="0"/>
            <w:vAlign w:val="center"/>
          </w:tcPr>
          <w:p w14:paraId="008EE6BE">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w:t>
            </w:r>
          </w:p>
        </w:tc>
      </w:tr>
      <w:tr w14:paraId="69E65E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743" w:type="dxa"/>
            <w:vMerge w:val="continue"/>
            <w:noWrap w:val="0"/>
            <w:vAlign w:val="center"/>
          </w:tcPr>
          <w:p w14:paraId="069A5479">
            <w:pPr>
              <w:pStyle w:val="24"/>
              <w:bidi w:val="0"/>
              <w:rPr>
                <w:rFonts w:hint="default" w:ascii="Times New Roman" w:hAnsi="Times New Roman" w:cs="Times New Roman"/>
                <w:color w:val="auto"/>
                <w:lang w:val="en-US" w:eastAsia="zh-CN"/>
              </w:rPr>
            </w:pPr>
          </w:p>
        </w:tc>
        <w:tc>
          <w:tcPr>
            <w:tcW w:w="1383" w:type="dxa"/>
            <w:vMerge w:val="continue"/>
            <w:noWrap w:val="0"/>
            <w:vAlign w:val="center"/>
          </w:tcPr>
          <w:p w14:paraId="0518A61B">
            <w:pPr>
              <w:pStyle w:val="24"/>
              <w:bidi w:val="0"/>
              <w:rPr>
                <w:rFonts w:hint="default" w:ascii="Times New Roman" w:hAnsi="Times New Roman" w:cs="Times New Roman"/>
                <w:color w:val="auto"/>
                <w:lang w:val="en-US" w:eastAsia="zh-CN"/>
              </w:rPr>
            </w:pPr>
          </w:p>
        </w:tc>
        <w:tc>
          <w:tcPr>
            <w:tcW w:w="1515" w:type="dxa"/>
            <w:vMerge w:val="continue"/>
            <w:noWrap w:val="0"/>
            <w:vAlign w:val="center"/>
          </w:tcPr>
          <w:p w14:paraId="33875FF6">
            <w:pPr>
              <w:pStyle w:val="24"/>
              <w:bidi w:val="0"/>
              <w:rPr>
                <w:rFonts w:hint="default" w:ascii="Times New Roman" w:hAnsi="Times New Roman" w:cs="Times New Roman"/>
                <w:color w:val="auto"/>
                <w:lang w:val="en-US" w:eastAsia="zh-CN"/>
              </w:rPr>
            </w:pPr>
          </w:p>
        </w:tc>
        <w:tc>
          <w:tcPr>
            <w:tcW w:w="1485" w:type="dxa"/>
            <w:vMerge w:val="continue"/>
            <w:noWrap w:val="0"/>
            <w:vAlign w:val="center"/>
          </w:tcPr>
          <w:p w14:paraId="55605EBC">
            <w:pPr>
              <w:pStyle w:val="24"/>
              <w:bidi w:val="0"/>
              <w:rPr>
                <w:rFonts w:hint="default" w:ascii="Times New Roman" w:hAnsi="Times New Roman" w:cs="Times New Roman"/>
                <w:color w:val="auto"/>
                <w:lang w:val="en-US" w:eastAsia="zh-CN"/>
              </w:rPr>
            </w:pPr>
          </w:p>
        </w:tc>
        <w:tc>
          <w:tcPr>
            <w:tcW w:w="1381" w:type="dxa"/>
            <w:noWrap w:val="0"/>
            <w:vAlign w:val="center"/>
          </w:tcPr>
          <w:p w14:paraId="5E76A661">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厂房外设置监控点</w:t>
            </w:r>
          </w:p>
        </w:tc>
        <w:tc>
          <w:tcPr>
            <w:tcW w:w="1997" w:type="dxa"/>
            <w:noWrap w:val="0"/>
            <w:vAlign w:val="center"/>
          </w:tcPr>
          <w:p w14:paraId="1DC73C6F">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10（1h平均值）</w:t>
            </w:r>
          </w:p>
          <w:p w14:paraId="4E533EE4">
            <w:pPr>
              <w:pStyle w:val="24"/>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30（任意一次浓度）</w:t>
            </w:r>
          </w:p>
        </w:tc>
      </w:tr>
    </w:tbl>
    <w:p w14:paraId="0CC94550">
      <w:pPr>
        <w:pStyle w:val="22"/>
        <w:bidi w:val="0"/>
        <w:rPr>
          <w:color w:val="auto"/>
          <w:u w:val="none" w:color="auto"/>
          <w:vertAlign w:val="superscript"/>
        </w:rPr>
      </w:pPr>
      <w:r>
        <w:rPr>
          <w:color w:val="auto"/>
          <w:u w:val="none" w:color="auto"/>
        </w:rPr>
        <w:t>表2.2-</w:t>
      </w:r>
      <w:r>
        <w:rPr>
          <w:rFonts w:hint="eastAsia"/>
          <w:color w:val="auto"/>
          <w:u w:val="none" w:color="auto"/>
          <w:lang w:val="en-US" w:eastAsia="zh-CN"/>
        </w:rPr>
        <w:t>9</w:t>
      </w:r>
      <w:r>
        <w:rPr>
          <w:color w:val="auto"/>
          <w:u w:val="none" w:color="auto"/>
        </w:rPr>
        <w:t xml:space="preserve"> </w:t>
      </w:r>
      <w:r>
        <w:rPr>
          <w:rFonts w:hint="eastAsia"/>
          <w:color w:val="auto"/>
          <w:u w:val="none" w:color="auto"/>
        </w:rPr>
        <w:t>《挥发性有机物无组织排放控制标准》（</w:t>
      </w:r>
      <w:r>
        <w:rPr>
          <w:rFonts w:hint="eastAsia"/>
          <w:color w:val="auto"/>
          <w:spacing w:val="6"/>
          <w:u w:val="none" w:color="auto"/>
        </w:rPr>
        <w:t>GB37822-2019</w:t>
      </w:r>
      <w:r>
        <w:rPr>
          <w:rFonts w:hint="eastAsia"/>
          <w:color w:val="auto"/>
          <w:u w:val="none" w:color="auto"/>
        </w:rPr>
        <w:t>）</w:t>
      </w:r>
      <w:r>
        <w:rPr>
          <w:rFonts w:hint="eastAsia"/>
          <w:b/>
          <w:snapToGrid w:val="0"/>
          <w:color w:val="auto"/>
          <w:kern w:val="0"/>
          <w:szCs w:val="21"/>
          <w:u w:val="none" w:color="auto"/>
          <w:lang w:val="en-US" w:eastAsia="zh-CN"/>
        </w:rPr>
        <w:t>（单位：</w:t>
      </w:r>
      <w:r>
        <w:rPr>
          <w:rFonts w:hint="default" w:ascii="Times New Roman" w:hAnsi="Times New Roman" w:cs="Times New Roman"/>
          <w:color w:val="auto"/>
          <w:u w:val="none" w:color="auto"/>
        </w:rPr>
        <w:t>mg/m</w:t>
      </w:r>
      <w:r>
        <w:rPr>
          <w:rFonts w:hint="default" w:ascii="Times New Roman" w:hAnsi="Times New Roman" w:cs="Times New Roman"/>
          <w:color w:val="auto"/>
          <w:u w:val="none" w:color="auto"/>
          <w:vertAlign w:val="superscript"/>
        </w:rPr>
        <w:t>3</w:t>
      </w:r>
      <w:r>
        <w:rPr>
          <w:rFonts w:hint="eastAsia"/>
          <w:b/>
          <w:snapToGrid w:val="0"/>
          <w:color w:val="auto"/>
          <w:kern w:val="0"/>
          <w:szCs w:val="21"/>
          <w:u w:val="none" w:color="auto"/>
          <w:lang w:val="en-US" w:eastAsia="zh-CN"/>
        </w:rPr>
        <w:t>）</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305"/>
        <w:gridCol w:w="1261"/>
        <w:gridCol w:w="3149"/>
        <w:gridCol w:w="2787"/>
      </w:tblGrid>
      <w:tr w14:paraId="1362D77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05" w:type="dxa"/>
            <w:noWrap w:val="0"/>
            <w:vAlign w:val="center"/>
          </w:tcPr>
          <w:p w14:paraId="3862B1DF">
            <w:pPr>
              <w:pStyle w:val="23"/>
              <w:bidi w:val="0"/>
              <w:rPr>
                <w:rFonts w:hint="eastAsia"/>
                <w:b/>
                <w:bCs w:val="0"/>
                <w:color w:val="auto"/>
                <w:u w:val="none" w:color="auto"/>
              </w:rPr>
            </w:pPr>
            <w:r>
              <w:rPr>
                <w:rFonts w:hint="eastAsia"/>
                <w:b/>
                <w:bCs w:val="0"/>
                <w:color w:val="auto"/>
                <w:u w:val="none" w:color="auto"/>
              </w:rPr>
              <w:t>污染物</w:t>
            </w:r>
          </w:p>
        </w:tc>
        <w:tc>
          <w:tcPr>
            <w:tcW w:w="1261" w:type="dxa"/>
            <w:noWrap w:val="0"/>
            <w:vAlign w:val="center"/>
          </w:tcPr>
          <w:p w14:paraId="1C6B1811">
            <w:pPr>
              <w:pStyle w:val="23"/>
              <w:bidi w:val="0"/>
              <w:rPr>
                <w:rFonts w:hint="eastAsia"/>
                <w:b/>
                <w:bCs w:val="0"/>
                <w:color w:val="auto"/>
                <w:u w:val="none" w:color="auto"/>
              </w:rPr>
            </w:pPr>
            <w:r>
              <w:rPr>
                <w:rFonts w:hint="eastAsia"/>
                <w:b/>
                <w:bCs w:val="0"/>
                <w:color w:val="auto"/>
                <w:u w:val="none" w:color="auto"/>
              </w:rPr>
              <w:t>排放限值</w:t>
            </w:r>
          </w:p>
        </w:tc>
        <w:tc>
          <w:tcPr>
            <w:tcW w:w="3149" w:type="dxa"/>
            <w:noWrap w:val="0"/>
            <w:vAlign w:val="center"/>
          </w:tcPr>
          <w:p w14:paraId="734CDE10">
            <w:pPr>
              <w:pStyle w:val="23"/>
              <w:bidi w:val="0"/>
              <w:rPr>
                <w:rFonts w:hint="eastAsia"/>
                <w:b/>
                <w:bCs w:val="0"/>
                <w:color w:val="auto"/>
                <w:u w:val="none" w:color="auto"/>
              </w:rPr>
            </w:pPr>
            <w:r>
              <w:rPr>
                <w:rFonts w:hint="eastAsia"/>
                <w:b/>
                <w:bCs w:val="0"/>
                <w:color w:val="auto"/>
                <w:u w:val="none" w:color="auto"/>
              </w:rPr>
              <w:t>限值含义</w:t>
            </w:r>
          </w:p>
        </w:tc>
        <w:tc>
          <w:tcPr>
            <w:tcW w:w="2787" w:type="dxa"/>
            <w:noWrap w:val="0"/>
            <w:vAlign w:val="center"/>
          </w:tcPr>
          <w:p w14:paraId="66CEE3E9">
            <w:pPr>
              <w:pStyle w:val="23"/>
              <w:bidi w:val="0"/>
              <w:rPr>
                <w:rFonts w:hint="eastAsia"/>
                <w:b/>
                <w:bCs w:val="0"/>
                <w:color w:val="auto"/>
                <w:u w:val="none" w:color="auto"/>
              </w:rPr>
            </w:pPr>
            <w:r>
              <w:rPr>
                <w:rFonts w:hint="eastAsia"/>
                <w:b/>
                <w:bCs w:val="0"/>
                <w:color w:val="auto"/>
                <w:u w:val="none" w:color="auto"/>
              </w:rPr>
              <w:t>监控点</w:t>
            </w:r>
          </w:p>
        </w:tc>
      </w:tr>
      <w:tr w14:paraId="488620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05" w:type="dxa"/>
            <w:vMerge w:val="restart"/>
            <w:noWrap w:val="0"/>
            <w:vAlign w:val="center"/>
          </w:tcPr>
          <w:p w14:paraId="1F7D2699">
            <w:pPr>
              <w:pStyle w:val="23"/>
              <w:bidi w:val="0"/>
              <w:rPr>
                <w:color w:val="auto"/>
                <w:u w:val="none" w:color="auto"/>
              </w:rPr>
            </w:pPr>
            <w:r>
              <w:rPr>
                <w:rFonts w:hint="eastAsia"/>
                <w:color w:val="auto"/>
                <w:u w:val="none" w:color="auto"/>
              </w:rPr>
              <w:t>NMHC</w:t>
            </w:r>
          </w:p>
        </w:tc>
        <w:tc>
          <w:tcPr>
            <w:tcW w:w="1261" w:type="dxa"/>
            <w:noWrap w:val="0"/>
            <w:vAlign w:val="center"/>
          </w:tcPr>
          <w:p w14:paraId="2255FCF4">
            <w:pPr>
              <w:pStyle w:val="23"/>
              <w:bidi w:val="0"/>
              <w:rPr>
                <w:color w:val="auto"/>
                <w:u w:val="none" w:color="auto"/>
              </w:rPr>
            </w:pPr>
            <w:r>
              <w:rPr>
                <w:rFonts w:hint="eastAsia"/>
                <w:color w:val="auto"/>
                <w:u w:val="none" w:color="auto"/>
              </w:rPr>
              <w:t>10</w:t>
            </w:r>
          </w:p>
        </w:tc>
        <w:tc>
          <w:tcPr>
            <w:tcW w:w="3149" w:type="dxa"/>
            <w:noWrap w:val="0"/>
            <w:vAlign w:val="center"/>
          </w:tcPr>
          <w:p w14:paraId="7378607D">
            <w:pPr>
              <w:pStyle w:val="23"/>
              <w:bidi w:val="0"/>
              <w:rPr>
                <w:color w:val="auto"/>
                <w:u w:val="none" w:color="auto"/>
              </w:rPr>
            </w:pPr>
            <w:r>
              <w:rPr>
                <w:rFonts w:hint="eastAsia"/>
                <w:color w:val="auto"/>
                <w:u w:val="none" w:color="auto"/>
              </w:rPr>
              <w:t>监控点处1h平均浓度值</w:t>
            </w:r>
          </w:p>
        </w:tc>
        <w:tc>
          <w:tcPr>
            <w:tcW w:w="2787" w:type="dxa"/>
            <w:vMerge w:val="restart"/>
            <w:noWrap w:val="0"/>
            <w:vAlign w:val="center"/>
          </w:tcPr>
          <w:p w14:paraId="765A197A">
            <w:pPr>
              <w:pStyle w:val="23"/>
              <w:bidi w:val="0"/>
              <w:rPr>
                <w:color w:val="auto"/>
                <w:u w:val="none" w:color="auto"/>
              </w:rPr>
            </w:pPr>
            <w:r>
              <w:rPr>
                <w:rFonts w:hint="eastAsia"/>
                <w:color w:val="auto"/>
                <w:u w:val="none" w:color="auto"/>
              </w:rPr>
              <w:t>在厂房外设置监控点</w:t>
            </w:r>
          </w:p>
        </w:tc>
      </w:tr>
      <w:tr w14:paraId="331047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305" w:type="dxa"/>
            <w:vMerge w:val="continue"/>
            <w:noWrap w:val="0"/>
            <w:vAlign w:val="center"/>
          </w:tcPr>
          <w:p w14:paraId="5E4447C9">
            <w:pPr>
              <w:pStyle w:val="23"/>
              <w:bidi w:val="0"/>
              <w:rPr>
                <w:color w:val="auto"/>
                <w:u w:val="none" w:color="auto"/>
              </w:rPr>
            </w:pPr>
          </w:p>
        </w:tc>
        <w:tc>
          <w:tcPr>
            <w:tcW w:w="1261" w:type="dxa"/>
            <w:noWrap w:val="0"/>
            <w:vAlign w:val="center"/>
          </w:tcPr>
          <w:p w14:paraId="4AEB4A3A">
            <w:pPr>
              <w:pStyle w:val="23"/>
              <w:bidi w:val="0"/>
              <w:rPr>
                <w:color w:val="auto"/>
                <w:u w:val="none" w:color="auto"/>
              </w:rPr>
            </w:pPr>
            <w:r>
              <w:rPr>
                <w:rFonts w:hint="eastAsia"/>
                <w:color w:val="auto"/>
                <w:u w:val="none" w:color="auto"/>
              </w:rPr>
              <w:t>30</w:t>
            </w:r>
          </w:p>
        </w:tc>
        <w:tc>
          <w:tcPr>
            <w:tcW w:w="3149" w:type="dxa"/>
            <w:noWrap w:val="0"/>
            <w:vAlign w:val="center"/>
          </w:tcPr>
          <w:p w14:paraId="2AF90051">
            <w:pPr>
              <w:pStyle w:val="23"/>
              <w:bidi w:val="0"/>
              <w:rPr>
                <w:color w:val="auto"/>
                <w:u w:val="none" w:color="auto"/>
              </w:rPr>
            </w:pPr>
            <w:r>
              <w:rPr>
                <w:rFonts w:hint="eastAsia"/>
                <w:color w:val="auto"/>
                <w:u w:val="none" w:color="auto"/>
              </w:rPr>
              <w:t>监控点处任意一次浓度值</w:t>
            </w:r>
          </w:p>
        </w:tc>
        <w:tc>
          <w:tcPr>
            <w:tcW w:w="2787" w:type="dxa"/>
            <w:vMerge w:val="continue"/>
            <w:noWrap w:val="0"/>
            <w:vAlign w:val="center"/>
          </w:tcPr>
          <w:p w14:paraId="379E21F5">
            <w:pPr>
              <w:pStyle w:val="23"/>
              <w:bidi w:val="0"/>
              <w:rPr>
                <w:color w:val="auto"/>
                <w:u w:val="none" w:color="auto"/>
              </w:rPr>
            </w:pPr>
          </w:p>
        </w:tc>
      </w:tr>
    </w:tbl>
    <w:p w14:paraId="526AAAA6">
      <w:pPr>
        <w:pStyle w:val="22"/>
        <w:bidi w:val="0"/>
        <w:rPr>
          <w:color w:val="auto"/>
          <w:u w:val="none" w:color="auto"/>
          <w:vertAlign w:val="superscript"/>
        </w:rPr>
      </w:pPr>
      <w:r>
        <w:rPr>
          <w:color w:val="auto"/>
          <w:u w:val="none" w:color="auto"/>
        </w:rPr>
        <w:t>表2.2-</w:t>
      </w:r>
      <w:r>
        <w:rPr>
          <w:rFonts w:hint="eastAsia"/>
          <w:color w:val="auto"/>
          <w:u w:val="none" w:color="auto"/>
        </w:rPr>
        <w:t>1</w:t>
      </w:r>
      <w:r>
        <w:rPr>
          <w:rFonts w:hint="eastAsia"/>
          <w:color w:val="auto"/>
          <w:u w:val="none" w:color="auto"/>
          <w:lang w:val="en-US" w:eastAsia="zh-CN"/>
        </w:rPr>
        <w:t>0</w:t>
      </w:r>
      <w:r>
        <w:rPr>
          <w:color w:val="auto"/>
          <w:u w:val="none" w:color="auto"/>
        </w:rPr>
        <w:t xml:space="preserve"> </w:t>
      </w:r>
      <w:r>
        <w:rPr>
          <w:rFonts w:hint="eastAsia"/>
          <w:color w:val="auto"/>
          <w:u w:val="none" w:color="auto"/>
        </w:rPr>
        <w:t>《恶臭污染物排放标准》（</w:t>
      </w:r>
      <w:r>
        <w:rPr>
          <w:rFonts w:hint="eastAsia"/>
          <w:color w:val="auto"/>
          <w:spacing w:val="6"/>
          <w:u w:val="none" w:color="auto"/>
        </w:rPr>
        <w:t>GB14554-93</w:t>
      </w:r>
      <w:r>
        <w:rPr>
          <w:rFonts w:hint="eastAsia"/>
          <w:color w:val="auto"/>
          <w:u w:val="none" w:color="auto"/>
        </w:rPr>
        <w:t>）</w:t>
      </w:r>
      <w:r>
        <w:rPr>
          <w:rFonts w:hint="eastAsia"/>
          <w:b/>
          <w:snapToGrid w:val="0"/>
          <w:color w:val="auto"/>
          <w:kern w:val="0"/>
          <w:szCs w:val="21"/>
          <w:u w:val="none" w:color="auto"/>
          <w:lang w:val="en-US" w:eastAsia="zh-CN"/>
        </w:rPr>
        <w:t>（单位：</w:t>
      </w:r>
      <w:r>
        <w:rPr>
          <w:rFonts w:hint="default" w:ascii="Times New Roman" w:hAnsi="Times New Roman" w:cs="Times New Roman"/>
          <w:color w:val="auto"/>
          <w:u w:val="none" w:color="auto"/>
        </w:rPr>
        <w:t>mg/m</w:t>
      </w:r>
      <w:r>
        <w:rPr>
          <w:rFonts w:hint="default" w:ascii="Times New Roman" w:hAnsi="Times New Roman" w:cs="Times New Roman"/>
          <w:color w:val="auto"/>
          <w:u w:val="none" w:color="auto"/>
          <w:vertAlign w:val="superscript"/>
        </w:rPr>
        <w:t>3</w:t>
      </w:r>
      <w:r>
        <w:rPr>
          <w:rFonts w:hint="eastAsia"/>
          <w:b/>
          <w:snapToGrid w:val="0"/>
          <w:color w:val="auto"/>
          <w:kern w:val="0"/>
          <w:szCs w:val="21"/>
          <w:u w:val="none" w:color="auto"/>
          <w:lang w:val="en-US" w:eastAsia="zh-CN"/>
        </w:rPr>
        <w:t>）</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214"/>
        <w:gridCol w:w="1441"/>
        <w:gridCol w:w="2312"/>
        <w:gridCol w:w="2087"/>
        <w:gridCol w:w="1468"/>
      </w:tblGrid>
      <w:tr w14:paraId="5B36D3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0" w:hRule="atLeast"/>
          <w:jc w:val="center"/>
        </w:trPr>
        <w:tc>
          <w:tcPr>
            <w:tcW w:w="1214" w:type="dxa"/>
            <w:vMerge w:val="restart"/>
            <w:noWrap w:val="0"/>
            <w:vAlign w:val="center"/>
          </w:tcPr>
          <w:p w14:paraId="6A2713F7">
            <w:pPr>
              <w:pStyle w:val="23"/>
              <w:bidi w:val="0"/>
              <w:rPr>
                <w:b/>
                <w:bCs w:val="0"/>
                <w:color w:val="auto"/>
                <w:u w:val="none" w:color="auto"/>
              </w:rPr>
            </w:pPr>
            <w:r>
              <w:rPr>
                <w:b/>
                <w:bCs w:val="0"/>
                <w:color w:val="auto"/>
                <w:u w:val="none" w:color="auto"/>
              </w:rPr>
              <w:t>污染物</w:t>
            </w:r>
          </w:p>
        </w:tc>
        <w:tc>
          <w:tcPr>
            <w:tcW w:w="1441" w:type="dxa"/>
            <w:vMerge w:val="restart"/>
            <w:noWrap w:val="0"/>
            <w:vAlign w:val="center"/>
          </w:tcPr>
          <w:p w14:paraId="7FFB63AA">
            <w:pPr>
              <w:pStyle w:val="23"/>
              <w:bidi w:val="0"/>
              <w:rPr>
                <w:rFonts w:hint="eastAsia"/>
                <w:b/>
                <w:bCs w:val="0"/>
                <w:color w:val="auto"/>
                <w:u w:val="none" w:color="auto"/>
              </w:rPr>
            </w:pPr>
            <w:r>
              <w:rPr>
                <w:rFonts w:hint="eastAsia"/>
                <w:b/>
                <w:bCs w:val="0"/>
                <w:color w:val="auto"/>
                <w:u w:val="none" w:color="auto"/>
              </w:rPr>
              <w:t>排气筒高度（m）</w:t>
            </w:r>
          </w:p>
        </w:tc>
        <w:tc>
          <w:tcPr>
            <w:tcW w:w="2312" w:type="dxa"/>
            <w:vMerge w:val="restart"/>
            <w:noWrap w:val="0"/>
            <w:vAlign w:val="center"/>
          </w:tcPr>
          <w:p w14:paraId="47604FCA">
            <w:pPr>
              <w:pStyle w:val="23"/>
              <w:bidi w:val="0"/>
              <w:rPr>
                <w:rFonts w:hint="eastAsia"/>
                <w:b/>
                <w:bCs w:val="0"/>
                <w:color w:val="auto"/>
                <w:u w:val="none" w:color="auto"/>
              </w:rPr>
            </w:pPr>
            <w:r>
              <w:rPr>
                <w:rFonts w:hint="eastAsia"/>
                <w:b/>
                <w:bCs w:val="0"/>
                <w:color w:val="auto"/>
                <w:u w:val="none" w:color="auto"/>
              </w:rPr>
              <w:t>标准值（无量纲）</w:t>
            </w:r>
          </w:p>
        </w:tc>
        <w:tc>
          <w:tcPr>
            <w:tcW w:w="3555" w:type="dxa"/>
            <w:gridSpan w:val="2"/>
            <w:noWrap w:val="0"/>
            <w:vAlign w:val="center"/>
          </w:tcPr>
          <w:p w14:paraId="1876A2FF">
            <w:pPr>
              <w:pStyle w:val="23"/>
              <w:bidi w:val="0"/>
              <w:rPr>
                <w:b/>
                <w:bCs w:val="0"/>
                <w:color w:val="auto"/>
                <w:u w:val="none" w:color="auto"/>
              </w:rPr>
            </w:pPr>
            <w:r>
              <w:rPr>
                <w:rFonts w:hint="eastAsia"/>
                <w:b/>
                <w:bCs w:val="0"/>
                <w:color w:val="auto"/>
                <w:u w:val="none" w:color="auto"/>
              </w:rPr>
              <w:t>厂界标准值</w:t>
            </w:r>
          </w:p>
        </w:tc>
      </w:tr>
      <w:tr w14:paraId="1D5D2FC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0" w:hRule="atLeast"/>
          <w:jc w:val="center"/>
        </w:trPr>
        <w:tc>
          <w:tcPr>
            <w:tcW w:w="1214" w:type="dxa"/>
            <w:vMerge w:val="continue"/>
            <w:noWrap w:val="0"/>
            <w:vAlign w:val="center"/>
          </w:tcPr>
          <w:p w14:paraId="79CCFC73">
            <w:pPr>
              <w:pStyle w:val="23"/>
              <w:bidi w:val="0"/>
              <w:rPr>
                <w:b/>
                <w:bCs w:val="0"/>
                <w:color w:val="auto"/>
                <w:u w:val="none" w:color="auto"/>
              </w:rPr>
            </w:pPr>
          </w:p>
        </w:tc>
        <w:tc>
          <w:tcPr>
            <w:tcW w:w="1441" w:type="dxa"/>
            <w:vMerge w:val="continue"/>
            <w:noWrap w:val="0"/>
            <w:vAlign w:val="center"/>
          </w:tcPr>
          <w:p w14:paraId="2FED4BD7">
            <w:pPr>
              <w:pStyle w:val="23"/>
              <w:bidi w:val="0"/>
              <w:rPr>
                <w:b/>
                <w:bCs w:val="0"/>
                <w:color w:val="auto"/>
                <w:u w:val="none" w:color="auto"/>
              </w:rPr>
            </w:pPr>
          </w:p>
        </w:tc>
        <w:tc>
          <w:tcPr>
            <w:tcW w:w="2312" w:type="dxa"/>
            <w:vMerge w:val="continue"/>
            <w:noWrap w:val="0"/>
            <w:vAlign w:val="center"/>
          </w:tcPr>
          <w:p w14:paraId="182F6C6B">
            <w:pPr>
              <w:pStyle w:val="23"/>
              <w:bidi w:val="0"/>
              <w:rPr>
                <w:b/>
                <w:bCs w:val="0"/>
                <w:color w:val="auto"/>
                <w:u w:val="none" w:color="auto"/>
              </w:rPr>
            </w:pPr>
          </w:p>
        </w:tc>
        <w:tc>
          <w:tcPr>
            <w:tcW w:w="2087" w:type="dxa"/>
            <w:noWrap w:val="0"/>
            <w:vAlign w:val="center"/>
          </w:tcPr>
          <w:p w14:paraId="6B1EC07E">
            <w:pPr>
              <w:pStyle w:val="23"/>
              <w:bidi w:val="0"/>
              <w:rPr>
                <w:rFonts w:hint="eastAsia"/>
                <w:b/>
                <w:bCs w:val="0"/>
                <w:color w:val="auto"/>
                <w:u w:val="none" w:color="auto"/>
              </w:rPr>
            </w:pPr>
            <w:r>
              <w:rPr>
                <w:rFonts w:hint="eastAsia"/>
                <w:b/>
                <w:bCs w:val="0"/>
                <w:color w:val="auto"/>
                <w:u w:val="none" w:color="auto"/>
              </w:rPr>
              <w:t>监控点</w:t>
            </w:r>
          </w:p>
        </w:tc>
        <w:tc>
          <w:tcPr>
            <w:tcW w:w="1468" w:type="dxa"/>
            <w:noWrap w:val="0"/>
            <w:vAlign w:val="center"/>
          </w:tcPr>
          <w:p w14:paraId="75EE8FDD">
            <w:pPr>
              <w:pStyle w:val="23"/>
              <w:bidi w:val="0"/>
              <w:rPr>
                <w:rFonts w:hint="eastAsia"/>
                <w:b/>
                <w:bCs w:val="0"/>
                <w:color w:val="auto"/>
                <w:u w:val="none" w:color="auto"/>
              </w:rPr>
            </w:pPr>
            <w:r>
              <w:rPr>
                <w:rFonts w:hint="eastAsia"/>
                <w:b/>
                <w:bCs w:val="0"/>
                <w:color w:val="auto"/>
                <w:u w:val="none" w:color="auto"/>
              </w:rPr>
              <w:t>限值</w:t>
            </w:r>
          </w:p>
        </w:tc>
      </w:tr>
      <w:tr w14:paraId="6DEEB0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14" w:type="dxa"/>
            <w:noWrap w:val="0"/>
            <w:vAlign w:val="center"/>
          </w:tcPr>
          <w:p w14:paraId="02154F6E">
            <w:pPr>
              <w:pStyle w:val="23"/>
              <w:bidi w:val="0"/>
              <w:rPr>
                <w:color w:val="auto"/>
                <w:u w:val="none" w:color="auto"/>
              </w:rPr>
            </w:pPr>
            <w:r>
              <w:rPr>
                <w:rFonts w:hint="eastAsia"/>
                <w:color w:val="auto"/>
                <w:u w:val="none" w:color="auto"/>
              </w:rPr>
              <w:t>臭气浓度</w:t>
            </w:r>
          </w:p>
        </w:tc>
        <w:tc>
          <w:tcPr>
            <w:tcW w:w="1441" w:type="dxa"/>
            <w:noWrap w:val="0"/>
            <w:vAlign w:val="center"/>
          </w:tcPr>
          <w:p w14:paraId="67510EEA">
            <w:pPr>
              <w:pStyle w:val="23"/>
              <w:bidi w:val="0"/>
              <w:rPr>
                <w:rFonts w:hint="default"/>
                <w:color w:val="auto"/>
                <w:u w:val="none" w:color="auto"/>
                <w:lang w:val="en-US" w:eastAsia="zh-CN"/>
              </w:rPr>
            </w:pPr>
            <w:r>
              <w:rPr>
                <w:rFonts w:hint="eastAsia"/>
                <w:color w:val="auto"/>
                <w:u w:val="none" w:color="auto"/>
                <w:lang w:val="en-US" w:eastAsia="zh-CN"/>
              </w:rPr>
              <w:t>15</w:t>
            </w:r>
          </w:p>
        </w:tc>
        <w:tc>
          <w:tcPr>
            <w:tcW w:w="2312" w:type="dxa"/>
            <w:noWrap w:val="0"/>
            <w:vAlign w:val="center"/>
          </w:tcPr>
          <w:p w14:paraId="56AEB113">
            <w:pPr>
              <w:pStyle w:val="23"/>
              <w:bidi w:val="0"/>
              <w:rPr>
                <w:color w:val="auto"/>
                <w:u w:val="none" w:color="auto"/>
              </w:rPr>
            </w:pPr>
            <w:r>
              <w:rPr>
                <w:rFonts w:hint="eastAsia"/>
                <w:color w:val="auto"/>
                <w:u w:val="none" w:color="auto"/>
                <w:lang w:val="en-US" w:eastAsia="zh-CN"/>
              </w:rPr>
              <w:t>2</w:t>
            </w:r>
            <w:r>
              <w:rPr>
                <w:rFonts w:hint="eastAsia"/>
                <w:color w:val="auto"/>
                <w:u w:val="none" w:color="auto"/>
              </w:rPr>
              <w:t>000</w:t>
            </w:r>
          </w:p>
        </w:tc>
        <w:tc>
          <w:tcPr>
            <w:tcW w:w="2087" w:type="dxa"/>
            <w:noWrap w:val="0"/>
            <w:vAlign w:val="center"/>
          </w:tcPr>
          <w:p w14:paraId="5AA77C48">
            <w:pPr>
              <w:pStyle w:val="23"/>
              <w:bidi w:val="0"/>
              <w:rPr>
                <w:rFonts w:hint="eastAsia"/>
                <w:color w:val="auto"/>
                <w:u w:val="none" w:color="auto"/>
              </w:rPr>
            </w:pPr>
            <w:r>
              <w:rPr>
                <w:rFonts w:hint="eastAsia"/>
                <w:color w:val="auto"/>
                <w:u w:val="none" w:color="auto"/>
              </w:rPr>
              <w:t>厂界</w:t>
            </w:r>
          </w:p>
        </w:tc>
        <w:tc>
          <w:tcPr>
            <w:tcW w:w="1468" w:type="dxa"/>
            <w:noWrap w:val="0"/>
            <w:vAlign w:val="center"/>
          </w:tcPr>
          <w:p w14:paraId="302F929F">
            <w:pPr>
              <w:pStyle w:val="23"/>
              <w:bidi w:val="0"/>
              <w:rPr>
                <w:rFonts w:hint="eastAsia" w:eastAsia="宋体"/>
                <w:color w:val="auto"/>
                <w:u w:val="none" w:color="auto"/>
                <w:lang w:eastAsia="zh-CN"/>
              </w:rPr>
            </w:pPr>
            <w:r>
              <w:rPr>
                <w:rFonts w:hint="eastAsia"/>
                <w:color w:val="auto"/>
                <w:u w:val="none" w:color="auto"/>
              </w:rPr>
              <w:t>20</w:t>
            </w:r>
            <w:r>
              <w:rPr>
                <w:rFonts w:hint="eastAsia"/>
                <w:color w:val="auto"/>
                <w:u w:val="none" w:color="auto"/>
                <w:lang w:eastAsia="zh-CN"/>
              </w:rPr>
              <w:t>（</w:t>
            </w:r>
            <w:r>
              <w:rPr>
                <w:rFonts w:hint="eastAsia"/>
                <w:color w:val="auto"/>
                <w:u w:val="none" w:color="auto"/>
                <w:lang w:val="en-US" w:eastAsia="zh-CN"/>
              </w:rPr>
              <w:t>无量纲</w:t>
            </w:r>
            <w:r>
              <w:rPr>
                <w:rFonts w:hint="eastAsia"/>
                <w:color w:val="auto"/>
                <w:u w:val="none" w:color="auto"/>
                <w:lang w:eastAsia="zh-CN"/>
              </w:rPr>
              <w:t>）</w:t>
            </w:r>
          </w:p>
        </w:tc>
      </w:tr>
    </w:tbl>
    <w:p w14:paraId="7FDA0CFE">
      <w:pPr>
        <w:pStyle w:val="20"/>
        <w:keepNext w:val="0"/>
        <w:keepLines w:val="0"/>
        <w:pageBreakBefore w:val="0"/>
        <w:widowControl w:val="0"/>
        <w:numPr>
          <w:ilvl w:val="0"/>
          <w:numId w:val="0"/>
        </w:numPr>
        <w:kinsoku/>
        <w:wordWrap/>
        <w:overflowPunct/>
        <w:topLinePunct w:val="0"/>
        <w:autoSpaceDE/>
        <w:autoSpaceDN/>
        <w:bidi w:val="0"/>
        <w:adjustRightInd w:val="0"/>
        <w:snapToGrid w:val="0"/>
        <w:ind w:firstLine="422" w:firstLineChars="200"/>
        <w:textAlignment w:val="auto"/>
        <w:rPr>
          <w:rFonts w:hint="default" w:ascii="Times New Roman" w:hAnsi="Times New Roman" w:cs="Times New Roman"/>
          <w:color w:val="auto"/>
          <w:u w:val="none" w:color="auto"/>
        </w:rPr>
      </w:pPr>
      <w:r>
        <w:rPr>
          <w:rFonts w:hint="default" w:ascii="Times New Roman" w:hAnsi="Times New Roman" w:cs="Times New Roman"/>
          <w:b/>
          <w:bCs/>
          <w:color w:val="auto"/>
          <w:sz w:val="21"/>
          <w:szCs w:val="21"/>
          <w:u w:val="none" w:color="auto"/>
        </w:rPr>
        <w:t>备注：根据GB16297-1996的要求，排放筒高度除遵守表列排放速率标准值外，排气筒高度不应低于15m且还应高出周围200米半径范围的最高建筑5米以上的要求；不能达到排气简高度应高出周围200米半径范围的最高建筑5米以上的要求，按其高度对应的排放速率标准值严格50%执行。本项目排气简高度未高出周围200m半径范围内的最高建筑5m以上，故按排放速率标准值严格50%执行（即括号中数值）。</w:t>
      </w:r>
    </w:p>
    <w:p w14:paraId="5529F276">
      <w:pPr>
        <w:pStyle w:val="20"/>
        <w:numPr>
          <w:ilvl w:val="0"/>
          <w:numId w:val="5"/>
        </w:numPr>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废水：项目</w:t>
      </w:r>
      <w:r>
        <w:rPr>
          <w:rFonts w:hint="eastAsia" w:ascii="Times New Roman" w:hAnsi="Times New Roman" w:cs="Times New Roman"/>
          <w:color w:val="auto"/>
          <w:u w:val="none" w:color="auto"/>
          <w:lang w:val="en-US" w:eastAsia="zh-CN"/>
        </w:rPr>
        <w:t>冷却水经处理后循环使用，不外排；</w:t>
      </w:r>
      <w:r>
        <w:rPr>
          <w:rFonts w:hint="default" w:ascii="Times New Roman" w:hAnsi="Times New Roman" w:cs="Times New Roman"/>
          <w:color w:val="auto"/>
          <w:u w:val="none" w:color="auto"/>
        </w:rPr>
        <w:t>生活污水经化粪池处理</w:t>
      </w:r>
      <w:r>
        <w:rPr>
          <w:rFonts w:hint="eastAsia"/>
          <w:color w:val="auto"/>
          <w:u w:val="none" w:color="auto"/>
          <w:lang w:val="en-US" w:eastAsia="zh-CN"/>
        </w:rPr>
        <w:t>后排入湖南汨罗高新技术产业开发区（循环园区）污水处理厂</w:t>
      </w:r>
      <w:r>
        <w:rPr>
          <w:rFonts w:hint="eastAsia" w:ascii="Times New Roman" w:hAnsi="Times New Roman" w:cs="Times New Roman"/>
          <w:color w:val="auto"/>
          <w:u w:val="none" w:color="auto"/>
          <w:lang w:val="en-US" w:eastAsia="zh-CN"/>
        </w:rPr>
        <w:t>。生活污水排放执行湖南汨罗高新技术产业开发区（循环园区）污水处理厂进水水质标准。</w:t>
      </w:r>
    </w:p>
    <w:p w14:paraId="3D83ED57">
      <w:pPr>
        <w:pStyle w:val="30"/>
        <w:bidi w:val="0"/>
        <w:rPr>
          <w:rFonts w:hint="eastAsia"/>
          <w:color w:val="auto"/>
          <w:u w:val="none" w:color="auto"/>
          <w:lang w:val="en-US" w:eastAsia="zh-CN"/>
        </w:rPr>
      </w:pPr>
      <w:r>
        <w:rPr>
          <w:rFonts w:hint="eastAsia"/>
          <w:color w:val="auto"/>
          <w:u w:val="none" w:color="auto"/>
          <w:lang w:val="en-US" w:eastAsia="zh-CN"/>
        </w:rPr>
        <w:t>表2.2-11 项目生活污水排放执行标准 单位：mg/L（pH除外）</w:t>
      </w:r>
    </w:p>
    <w:tbl>
      <w:tblPr>
        <w:tblStyle w:val="16"/>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1650"/>
        <w:gridCol w:w="3257"/>
        <w:gridCol w:w="2175"/>
      </w:tblGrid>
      <w:tr w14:paraId="7D26F8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37786174">
            <w:pPr>
              <w:pStyle w:val="24"/>
              <w:rPr>
                <w:rFonts w:hint="eastAsia" w:eastAsia="宋体"/>
                <w:b/>
                <w:bCs/>
                <w:color w:val="auto"/>
                <w:u w:val="none" w:color="auto"/>
                <w:lang w:eastAsia="zh-CN"/>
              </w:rPr>
            </w:pPr>
            <w:r>
              <w:rPr>
                <w:rFonts w:hint="eastAsia"/>
                <w:b/>
                <w:bCs/>
                <w:color w:val="auto"/>
                <w:u w:val="none" w:color="auto"/>
                <w:lang w:val="en-US" w:eastAsia="zh-CN"/>
              </w:rPr>
              <w:t>序号</w:t>
            </w:r>
          </w:p>
        </w:tc>
        <w:tc>
          <w:tcPr>
            <w:tcW w:w="970" w:type="pct"/>
            <w:noWrap w:val="0"/>
            <w:vAlign w:val="center"/>
          </w:tcPr>
          <w:p w14:paraId="207E8035">
            <w:pPr>
              <w:pStyle w:val="24"/>
              <w:rPr>
                <w:rFonts w:hint="eastAsia" w:eastAsia="宋体"/>
                <w:b/>
                <w:bCs/>
                <w:color w:val="auto"/>
                <w:u w:val="none" w:color="auto"/>
                <w:lang w:eastAsia="zh-CN"/>
              </w:rPr>
            </w:pPr>
            <w:r>
              <w:rPr>
                <w:rFonts w:hint="eastAsia"/>
                <w:b/>
                <w:bCs/>
                <w:color w:val="auto"/>
                <w:u w:val="none" w:color="auto"/>
                <w:lang w:val="en-US" w:eastAsia="zh-CN"/>
              </w:rPr>
              <w:t>污染物</w:t>
            </w:r>
          </w:p>
        </w:tc>
        <w:tc>
          <w:tcPr>
            <w:tcW w:w="1914" w:type="pct"/>
            <w:noWrap w:val="0"/>
            <w:vAlign w:val="center"/>
          </w:tcPr>
          <w:p w14:paraId="7A3E88A0">
            <w:pPr>
              <w:pStyle w:val="24"/>
              <w:rPr>
                <w:rFonts w:hint="default"/>
                <w:b/>
                <w:bCs/>
                <w:color w:val="auto"/>
                <w:u w:val="none" w:color="auto"/>
              </w:rPr>
            </w:pPr>
            <w:r>
              <w:rPr>
                <w:rFonts w:hint="eastAsia" w:ascii="Times New Roman" w:hAnsi="Times New Roman" w:eastAsia="宋体" w:cs="Times New Roman"/>
                <w:b/>
                <w:bCs/>
                <w:color w:val="auto"/>
                <w:u w:val="none" w:color="auto"/>
                <w:lang w:val="en-US" w:eastAsia="zh-CN"/>
              </w:rPr>
              <w:t>湖南汨罗高新技术产业开发区（循环园区）污水处理厂设计进水水质标准</w:t>
            </w:r>
          </w:p>
        </w:tc>
        <w:tc>
          <w:tcPr>
            <w:tcW w:w="1278" w:type="pct"/>
            <w:noWrap w:val="0"/>
            <w:vAlign w:val="center"/>
          </w:tcPr>
          <w:p w14:paraId="3B6150CA">
            <w:pPr>
              <w:pStyle w:val="24"/>
              <w:rPr>
                <w:rFonts w:hint="default"/>
                <w:b/>
                <w:bCs/>
                <w:color w:val="auto"/>
                <w:u w:val="none" w:color="auto"/>
              </w:rPr>
            </w:pPr>
            <w:r>
              <w:rPr>
                <w:rFonts w:hint="eastAsia" w:ascii="Times New Roman" w:hAnsi="Times New Roman" w:eastAsia="宋体" w:cs="Times New Roman"/>
                <w:b/>
                <w:bCs/>
                <w:color w:val="auto"/>
                <w:u w:val="none" w:color="auto"/>
                <w:lang w:val="en-US" w:eastAsia="zh-CN"/>
              </w:rPr>
              <w:t>本项目生活</w:t>
            </w:r>
            <w:r>
              <w:rPr>
                <w:rFonts w:hint="eastAsia" w:cs="Times New Roman"/>
                <w:b/>
                <w:bCs/>
                <w:color w:val="auto"/>
                <w:u w:val="none" w:color="auto"/>
                <w:lang w:val="en-US" w:eastAsia="zh-CN"/>
              </w:rPr>
              <w:t>污</w:t>
            </w:r>
            <w:r>
              <w:rPr>
                <w:rFonts w:hint="eastAsia" w:ascii="Times New Roman" w:hAnsi="Times New Roman" w:eastAsia="宋体" w:cs="Times New Roman"/>
                <w:b/>
                <w:bCs/>
                <w:color w:val="auto"/>
                <w:u w:val="none" w:color="auto"/>
                <w:lang w:val="en-US" w:eastAsia="zh-CN"/>
              </w:rPr>
              <w:t>水排放标准限值</w:t>
            </w:r>
          </w:p>
        </w:tc>
      </w:tr>
      <w:tr w14:paraId="5D685D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6E013D61">
            <w:pPr>
              <w:pStyle w:val="24"/>
              <w:rPr>
                <w:rFonts w:hint="eastAsia" w:eastAsia="宋体"/>
                <w:color w:val="auto"/>
                <w:u w:val="none" w:color="auto"/>
                <w:lang w:val="en-US" w:eastAsia="zh-CN"/>
              </w:rPr>
            </w:pPr>
            <w:r>
              <w:rPr>
                <w:rFonts w:hint="eastAsia"/>
                <w:color w:val="auto"/>
                <w:u w:val="none" w:color="auto"/>
                <w:lang w:val="en-US" w:eastAsia="zh-CN"/>
              </w:rPr>
              <w:t>1</w:t>
            </w:r>
          </w:p>
        </w:tc>
        <w:tc>
          <w:tcPr>
            <w:tcW w:w="970" w:type="pct"/>
            <w:noWrap w:val="0"/>
            <w:vAlign w:val="center"/>
          </w:tcPr>
          <w:p w14:paraId="048FF7FA">
            <w:pPr>
              <w:pStyle w:val="24"/>
              <w:rPr>
                <w:rFonts w:hint="default" w:eastAsia="宋体"/>
                <w:color w:val="auto"/>
                <w:u w:val="none" w:color="auto"/>
                <w:lang w:val="en-US" w:eastAsia="zh-CN"/>
              </w:rPr>
            </w:pPr>
            <w:r>
              <w:rPr>
                <w:rFonts w:hint="eastAsia" w:eastAsia="宋体"/>
                <w:color w:val="auto"/>
                <w:u w:val="none" w:color="auto"/>
                <w:lang w:val="en-US" w:eastAsia="zh-CN"/>
              </w:rPr>
              <w:t>pH</w:t>
            </w:r>
          </w:p>
        </w:tc>
        <w:tc>
          <w:tcPr>
            <w:tcW w:w="1914" w:type="pct"/>
            <w:noWrap w:val="0"/>
            <w:vAlign w:val="center"/>
          </w:tcPr>
          <w:p w14:paraId="78CF2D15">
            <w:pPr>
              <w:pStyle w:val="24"/>
              <w:rPr>
                <w:rFonts w:hint="default"/>
                <w:color w:val="auto"/>
                <w:u w:val="none" w:color="auto"/>
              </w:rPr>
            </w:pPr>
            <w:r>
              <w:rPr>
                <w:rFonts w:hint="eastAsia"/>
                <w:color w:val="auto"/>
                <w:u w:val="none" w:color="auto"/>
                <w:lang w:val="en-US" w:eastAsia="zh-CN"/>
              </w:rPr>
              <w:t>6~9</w:t>
            </w:r>
          </w:p>
        </w:tc>
        <w:tc>
          <w:tcPr>
            <w:tcW w:w="1278" w:type="pct"/>
            <w:noWrap w:val="0"/>
            <w:vAlign w:val="center"/>
          </w:tcPr>
          <w:p w14:paraId="4637DC9C">
            <w:pPr>
              <w:pStyle w:val="24"/>
              <w:rPr>
                <w:rFonts w:hint="default"/>
                <w:color w:val="auto"/>
                <w:u w:val="none" w:color="auto"/>
              </w:rPr>
            </w:pPr>
            <w:r>
              <w:rPr>
                <w:rFonts w:hint="eastAsia"/>
                <w:color w:val="auto"/>
                <w:u w:val="none" w:color="auto"/>
                <w:lang w:val="en-US" w:eastAsia="zh-CN"/>
              </w:rPr>
              <w:t>6~9</w:t>
            </w:r>
          </w:p>
        </w:tc>
      </w:tr>
      <w:tr w14:paraId="0B6BB4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3CB5C485">
            <w:pPr>
              <w:pStyle w:val="24"/>
              <w:rPr>
                <w:rFonts w:hint="eastAsia" w:eastAsia="宋体"/>
                <w:color w:val="auto"/>
                <w:u w:val="none" w:color="auto"/>
                <w:lang w:val="en-US" w:eastAsia="zh-CN"/>
              </w:rPr>
            </w:pPr>
            <w:r>
              <w:rPr>
                <w:rFonts w:hint="eastAsia"/>
                <w:color w:val="auto"/>
                <w:u w:val="none" w:color="auto"/>
                <w:lang w:val="en-US" w:eastAsia="zh-CN"/>
              </w:rPr>
              <w:t>2</w:t>
            </w:r>
          </w:p>
        </w:tc>
        <w:tc>
          <w:tcPr>
            <w:tcW w:w="970" w:type="pct"/>
            <w:noWrap w:val="0"/>
            <w:vAlign w:val="center"/>
          </w:tcPr>
          <w:p w14:paraId="2E559E5F">
            <w:pPr>
              <w:pStyle w:val="24"/>
              <w:rPr>
                <w:rFonts w:hint="default" w:eastAsia="宋体"/>
                <w:color w:val="auto"/>
                <w:u w:val="none" w:color="auto"/>
                <w:lang w:val="en-US" w:eastAsia="zh-CN"/>
              </w:rPr>
            </w:pPr>
            <w:r>
              <w:rPr>
                <w:rFonts w:hint="eastAsia" w:eastAsia="宋体"/>
                <w:color w:val="auto"/>
                <w:u w:val="none" w:color="auto"/>
                <w:lang w:val="en-US" w:eastAsia="zh-CN"/>
              </w:rPr>
              <w:t>CODcr</w:t>
            </w:r>
          </w:p>
        </w:tc>
        <w:tc>
          <w:tcPr>
            <w:tcW w:w="1914" w:type="pct"/>
            <w:noWrap w:val="0"/>
            <w:vAlign w:val="center"/>
          </w:tcPr>
          <w:p w14:paraId="581D2519">
            <w:pPr>
              <w:pStyle w:val="24"/>
              <w:rPr>
                <w:rFonts w:hint="default" w:eastAsia="宋体"/>
                <w:color w:val="auto"/>
                <w:u w:val="none" w:color="auto"/>
                <w:lang w:val="en-US"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420</w:t>
            </w:r>
          </w:p>
        </w:tc>
        <w:tc>
          <w:tcPr>
            <w:tcW w:w="1278" w:type="pct"/>
            <w:noWrap w:val="0"/>
            <w:vAlign w:val="center"/>
          </w:tcPr>
          <w:p w14:paraId="0D0B4C56">
            <w:pPr>
              <w:pStyle w:val="24"/>
              <w:rPr>
                <w:rFonts w:hint="default"/>
                <w:color w:val="auto"/>
                <w:u w:val="none" w:color="auto"/>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420</w:t>
            </w:r>
          </w:p>
        </w:tc>
      </w:tr>
      <w:tr w14:paraId="083C0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716D50AB">
            <w:pPr>
              <w:pStyle w:val="24"/>
              <w:rPr>
                <w:rFonts w:hint="eastAsia" w:eastAsia="宋体"/>
                <w:color w:val="auto"/>
                <w:u w:val="none" w:color="auto"/>
                <w:lang w:val="en-US" w:eastAsia="zh-CN"/>
              </w:rPr>
            </w:pPr>
            <w:r>
              <w:rPr>
                <w:rFonts w:hint="eastAsia"/>
                <w:color w:val="auto"/>
                <w:u w:val="none" w:color="auto"/>
                <w:lang w:val="en-US" w:eastAsia="zh-CN"/>
              </w:rPr>
              <w:t>3</w:t>
            </w:r>
          </w:p>
        </w:tc>
        <w:tc>
          <w:tcPr>
            <w:tcW w:w="970" w:type="pct"/>
            <w:noWrap w:val="0"/>
            <w:vAlign w:val="center"/>
          </w:tcPr>
          <w:p w14:paraId="0F0A308A">
            <w:pPr>
              <w:pStyle w:val="24"/>
              <w:rPr>
                <w:rFonts w:hint="default" w:eastAsia="宋体"/>
                <w:color w:val="auto"/>
                <w:u w:val="none" w:color="auto"/>
                <w:lang w:val="en-US" w:eastAsia="zh-CN"/>
              </w:rPr>
            </w:pPr>
            <w:r>
              <w:rPr>
                <w:rFonts w:hint="eastAsia" w:eastAsia="宋体"/>
                <w:color w:val="auto"/>
                <w:u w:val="none" w:color="auto"/>
                <w:lang w:val="en-US" w:eastAsia="zh-CN"/>
              </w:rPr>
              <w:t>BOD</w:t>
            </w:r>
            <w:r>
              <w:rPr>
                <w:rFonts w:hint="eastAsia" w:eastAsia="宋体"/>
                <w:color w:val="auto"/>
                <w:u w:val="none" w:color="auto"/>
                <w:vertAlign w:val="subscript"/>
                <w:lang w:val="en-US" w:eastAsia="zh-CN"/>
              </w:rPr>
              <w:t>5</w:t>
            </w:r>
          </w:p>
        </w:tc>
        <w:tc>
          <w:tcPr>
            <w:tcW w:w="1914" w:type="pct"/>
            <w:noWrap w:val="0"/>
            <w:vAlign w:val="center"/>
          </w:tcPr>
          <w:p w14:paraId="596060D6">
            <w:pPr>
              <w:pStyle w:val="24"/>
              <w:rPr>
                <w:rFonts w:hint="default"/>
                <w:color w:val="auto"/>
                <w:u w:val="none" w:color="auto"/>
                <w:lang w:val="en-US"/>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200</w:t>
            </w:r>
          </w:p>
        </w:tc>
        <w:tc>
          <w:tcPr>
            <w:tcW w:w="1278" w:type="pct"/>
            <w:noWrap w:val="0"/>
            <w:vAlign w:val="center"/>
          </w:tcPr>
          <w:p w14:paraId="67132AFC">
            <w:pPr>
              <w:pStyle w:val="24"/>
              <w:rPr>
                <w:rFonts w:hint="default"/>
                <w:color w:val="auto"/>
                <w:u w:val="none" w:color="auto"/>
                <w:lang w:val="en-US"/>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200</w:t>
            </w:r>
          </w:p>
        </w:tc>
      </w:tr>
      <w:tr w14:paraId="3D646B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5E7D1014">
            <w:pPr>
              <w:pStyle w:val="24"/>
              <w:rPr>
                <w:rFonts w:hint="default"/>
                <w:color w:val="auto"/>
                <w:u w:val="none" w:color="auto"/>
                <w:lang w:val="en-US" w:eastAsia="zh-CN"/>
              </w:rPr>
            </w:pPr>
            <w:r>
              <w:rPr>
                <w:rFonts w:hint="eastAsia"/>
                <w:color w:val="auto"/>
                <w:u w:val="none" w:color="auto"/>
                <w:lang w:val="en-US" w:eastAsia="zh-CN"/>
              </w:rPr>
              <w:t>4</w:t>
            </w:r>
          </w:p>
        </w:tc>
        <w:tc>
          <w:tcPr>
            <w:tcW w:w="970" w:type="pct"/>
            <w:noWrap w:val="0"/>
            <w:vAlign w:val="center"/>
          </w:tcPr>
          <w:p w14:paraId="50E223C9">
            <w:pPr>
              <w:pStyle w:val="24"/>
              <w:rPr>
                <w:rFonts w:hint="default" w:eastAsia="宋体"/>
                <w:color w:val="auto"/>
                <w:u w:val="none" w:color="auto"/>
                <w:lang w:val="en-US" w:eastAsia="zh-CN"/>
              </w:rPr>
            </w:pPr>
            <w:r>
              <w:rPr>
                <w:rFonts w:hint="eastAsia" w:eastAsia="宋体"/>
                <w:color w:val="auto"/>
                <w:u w:val="none" w:color="auto"/>
                <w:lang w:val="en-US" w:eastAsia="zh-CN"/>
              </w:rPr>
              <w:t>SS</w:t>
            </w:r>
          </w:p>
        </w:tc>
        <w:tc>
          <w:tcPr>
            <w:tcW w:w="1914" w:type="pct"/>
            <w:noWrap w:val="0"/>
            <w:vAlign w:val="center"/>
          </w:tcPr>
          <w:p w14:paraId="61CD1315">
            <w:pPr>
              <w:pStyle w:val="24"/>
              <w:rPr>
                <w:rFonts w:hint="default"/>
                <w:color w:val="auto"/>
                <w:u w:val="none" w:color="auto"/>
                <w:lang w:val="en-US"/>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250</w:t>
            </w:r>
          </w:p>
        </w:tc>
        <w:tc>
          <w:tcPr>
            <w:tcW w:w="1278" w:type="pct"/>
            <w:noWrap w:val="0"/>
            <w:vAlign w:val="center"/>
          </w:tcPr>
          <w:p w14:paraId="12B67A34">
            <w:pPr>
              <w:pStyle w:val="24"/>
              <w:rPr>
                <w:rFonts w:hint="default"/>
                <w:color w:val="auto"/>
                <w:u w:val="none" w:color="auto"/>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250</w:t>
            </w:r>
          </w:p>
        </w:tc>
      </w:tr>
      <w:tr w14:paraId="697FD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6" w:type="pct"/>
            <w:noWrap w:val="0"/>
            <w:vAlign w:val="center"/>
          </w:tcPr>
          <w:p w14:paraId="5FE1B8F5">
            <w:pPr>
              <w:pStyle w:val="24"/>
              <w:rPr>
                <w:rFonts w:hint="default"/>
                <w:color w:val="auto"/>
                <w:u w:val="none" w:color="auto"/>
                <w:lang w:val="en-US" w:eastAsia="zh-CN"/>
              </w:rPr>
            </w:pPr>
            <w:r>
              <w:rPr>
                <w:rFonts w:hint="eastAsia"/>
                <w:color w:val="auto"/>
                <w:u w:val="none" w:color="auto"/>
                <w:lang w:val="en-US" w:eastAsia="zh-CN"/>
              </w:rPr>
              <w:t>5</w:t>
            </w:r>
          </w:p>
        </w:tc>
        <w:tc>
          <w:tcPr>
            <w:tcW w:w="970" w:type="pct"/>
            <w:noWrap w:val="0"/>
            <w:vAlign w:val="center"/>
          </w:tcPr>
          <w:p w14:paraId="2A3FE42E">
            <w:pPr>
              <w:pStyle w:val="24"/>
              <w:rPr>
                <w:rFonts w:hint="default" w:eastAsia="宋体"/>
                <w:color w:val="auto"/>
                <w:u w:val="none" w:color="auto"/>
                <w:lang w:val="en-US" w:eastAsia="zh-CN"/>
              </w:rPr>
            </w:pPr>
            <w:r>
              <w:rPr>
                <w:rFonts w:hint="eastAsia"/>
                <w:color w:val="auto"/>
                <w:u w:val="none" w:color="auto"/>
                <w:lang w:val="en-US" w:eastAsia="zh-CN"/>
              </w:rPr>
              <w:t>氨氮</w:t>
            </w:r>
          </w:p>
        </w:tc>
        <w:tc>
          <w:tcPr>
            <w:tcW w:w="1914" w:type="pct"/>
            <w:noWrap w:val="0"/>
            <w:vAlign w:val="center"/>
          </w:tcPr>
          <w:p w14:paraId="1FCE8ABB">
            <w:pPr>
              <w:pStyle w:val="24"/>
              <w:rPr>
                <w:rFonts w:hint="default" w:eastAsia="宋体"/>
                <w:color w:val="auto"/>
                <w:u w:val="none" w:color="auto"/>
                <w:lang w:val="en-US"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30</w:t>
            </w:r>
          </w:p>
        </w:tc>
        <w:tc>
          <w:tcPr>
            <w:tcW w:w="1278" w:type="pct"/>
            <w:noWrap w:val="0"/>
            <w:vAlign w:val="center"/>
          </w:tcPr>
          <w:p w14:paraId="398A3F2E">
            <w:pPr>
              <w:pStyle w:val="24"/>
              <w:rPr>
                <w:rFonts w:hint="default" w:eastAsia="宋体"/>
                <w:color w:val="auto"/>
                <w:u w:val="none" w:color="auto"/>
                <w:lang w:val="en-US"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30</w:t>
            </w:r>
          </w:p>
        </w:tc>
      </w:tr>
    </w:tbl>
    <w:p w14:paraId="00A86D8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（3）噪声：施工期噪声执行《建筑施工</w:t>
      </w:r>
      <w:r>
        <w:rPr>
          <w:rFonts w:hint="eastAsia" w:ascii="Times New Roman" w:hAnsi="Times New Roman" w:cs="Times New Roman"/>
          <w:color w:val="auto"/>
          <w:u w:val="none" w:color="auto"/>
          <w:lang w:val="en-US" w:eastAsia="zh-CN"/>
        </w:rPr>
        <w:t>场</w:t>
      </w:r>
      <w:r>
        <w:rPr>
          <w:rFonts w:hint="eastAsia" w:ascii="Times New Roman" w:hAnsi="Times New Roman" w:cs="Times New Roman"/>
          <w:color w:val="auto"/>
          <w:u w:val="none" w:color="auto"/>
          <w:lang w:eastAsia="zh-CN"/>
        </w:rPr>
        <w:t>界</w:t>
      </w:r>
      <w:r>
        <w:rPr>
          <w:rFonts w:hint="default" w:ascii="Times New Roman" w:hAnsi="Times New Roman" w:cs="Times New Roman"/>
          <w:color w:val="auto"/>
          <w:u w:val="none" w:color="auto"/>
        </w:rPr>
        <w:t>环境噪声排放标准》（GB12523-2011）标准，</w:t>
      </w:r>
      <w:r>
        <w:rPr>
          <w:rFonts w:hint="default" w:ascii="Times New Roman" w:hAnsi="Times New Roman" w:cs="Times New Roman"/>
          <w:color w:val="auto"/>
        </w:rPr>
        <w:t>营运期</w:t>
      </w:r>
      <w:r>
        <w:rPr>
          <w:rFonts w:hint="default" w:ascii="Times New Roman" w:hAnsi="Times New Roman" w:cs="Times New Roman"/>
          <w:color w:val="auto"/>
          <w:lang w:eastAsia="zh-CN"/>
        </w:rPr>
        <w:t>厂界噪声</w:t>
      </w:r>
      <w:r>
        <w:rPr>
          <w:rFonts w:hint="default" w:ascii="Times New Roman" w:hAnsi="Times New Roman" w:cs="Times New Roman"/>
          <w:color w:val="auto"/>
        </w:rPr>
        <w:t>执行《工业企业厂界环境噪声排放标准》（GB12348-2008）中的3类标准</w:t>
      </w:r>
      <w:r>
        <w:rPr>
          <w:rFonts w:hint="default" w:ascii="Times New Roman" w:hAnsi="Times New Roman" w:cs="Times New Roman"/>
          <w:color w:val="auto"/>
          <w:u w:val="none" w:color="auto"/>
          <w:lang w:eastAsia="zh-CN"/>
        </w:rPr>
        <w:t>。</w:t>
      </w:r>
    </w:p>
    <w:p w14:paraId="41E2F247">
      <w:pPr>
        <w:pStyle w:val="22"/>
        <w:bidi w:val="0"/>
        <w:rPr>
          <w:rFonts w:hint="default"/>
          <w:color w:val="auto"/>
          <w:u w:val="none" w:color="auto"/>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default"/>
          <w:color w:val="auto"/>
          <w:u w:val="none" w:color="auto"/>
          <w:lang w:val="en-US" w:eastAsia="zh-CN"/>
        </w:rPr>
        <w:t>1</w:t>
      </w:r>
      <w:r>
        <w:rPr>
          <w:rFonts w:hint="eastAsia"/>
          <w:color w:val="auto"/>
          <w:u w:val="none" w:color="auto"/>
          <w:lang w:val="en-US" w:eastAsia="zh-CN"/>
        </w:rPr>
        <w:t>2</w:t>
      </w:r>
      <w:r>
        <w:rPr>
          <w:rFonts w:hint="default"/>
          <w:color w:val="auto"/>
          <w:u w:val="none" w:color="auto"/>
        </w:rPr>
        <w:t xml:space="preserve"> </w:t>
      </w:r>
      <w:r>
        <w:rPr>
          <w:rFonts w:hint="eastAsia"/>
          <w:color w:val="auto"/>
          <w:u w:val="none" w:color="auto"/>
          <w:lang w:val="en-US" w:eastAsia="zh-CN"/>
        </w:rPr>
        <w:t>营运期</w:t>
      </w:r>
      <w:r>
        <w:rPr>
          <w:rFonts w:hint="default"/>
          <w:color w:val="auto"/>
          <w:u w:val="none" w:color="auto"/>
        </w:rPr>
        <w:t>工业企业厂界环境噪声排放标准限值 单位：dB（A）</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2872"/>
        <w:gridCol w:w="2997"/>
      </w:tblGrid>
      <w:tr w14:paraId="7710E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35" w:type="dxa"/>
            <w:tcBorders>
              <w:tl2br w:val="single" w:color="auto" w:sz="12" w:space="0"/>
            </w:tcBorders>
            <w:noWrap w:val="0"/>
            <w:vAlign w:val="center"/>
          </w:tcPr>
          <w:p w14:paraId="77CA38CF">
            <w:pPr>
              <w:pStyle w:val="24"/>
              <w:jc w:val="right"/>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时段</w:t>
            </w:r>
          </w:p>
          <w:p w14:paraId="33556CBE">
            <w:pPr>
              <w:pStyle w:val="24"/>
              <w:jc w:val="both"/>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声环境功能类别</w:t>
            </w:r>
          </w:p>
        </w:tc>
        <w:tc>
          <w:tcPr>
            <w:tcW w:w="2872" w:type="dxa"/>
            <w:noWrap w:val="0"/>
            <w:vAlign w:val="center"/>
          </w:tcPr>
          <w:p w14:paraId="048FCD02">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昼间</w:t>
            </w:r>
          </w:p>
        </w:tc>
        <w:tc>
          <w:tcPr>
            <w:tcW w:w="2997" w:type="dxa"/>
            <w:noWrap w:val="0"/>
            <w:vAlign w:val="center"/>
          </w:tcPr>
          <w:p w14:paraId="42BD065E">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夜间</w:t>
            </w:r>
          </w:p>
        </w:tc>
      </w:tr>
      <w:tr w14:paraId="6B0BC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35" w:type="dxa"/>
            <w:noWrap w:val="0"/>
            <w:vAlign w:val="center"/>
          </w:tcPr>
          <w:p w14:paraId="188A5B84">
            <w:pPr>
              <w:pStyle w:val="24"/>
              <w:rPr>
                <w:rFonts w:hint="default" w:ascii="Times New Roman" w:hAnsi="Times New Roman" w:cs="Times New Roman"/>
                <w:color w:val="auto"/>
                <w:u w:val="none" w:color="auto"/>
              </w:rPr>
            </w:pPr>
            <w:r>
              <w:rPr>
                <w:rFonts w:hint="eastAsia" w:cs="Times New Roman"/>
                <w:color w:val="auto"/>
                <w:u w:val="none" w:color="auto"/>
                <w:lang w:val="en-US" w:eastAsia="zh-CN"/>
              </w:rPr>
              <w:t>3</w:t>
            </w:r>
            <w:r>
              <w:rPr>
                <w:rFonts w:hint="default" w:ascii="Times New Roman" w:hAnsi="Times New Roman" w:cs="Times New Roman"/>
                <w:color w:val="auto"/>
                <w:u w:val="none" w:color="auto"/>
              </w:rPr>
              <w:t>类</w:t>
            </w:r>
          </w:p>
        </w:tc>
        <w:tc>
          <w:tcPr>
            <w:tcW w:w="2872" w:type="dxa"/>
            <w:noWrap w:val="0"/>
            <w:vAlign w:val="center"/>
          </w:tcPr>
          <w:p w14:paraId="3FA56593">
            <w:pPr>
              <w:pStyle w:val="24"/>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65</w:t>
            </w:r>
          </w:p>
        </w:tc>
        <w:tc>
          <w:tcPr>
            <w:tcW w:w="2997" w:type="dxa"/>
            <w:noWrap w:val="0"/>
            <w:vAlign w:val="center"/>
          </w:tcPr>
          <w:p w14:paraId="5E7208B4">
            <w:pPr>
              <w:pStyle w:val="24"/>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55</w:t>
            </w:r>
          </w:p>
        </w:tc>
      </w:tr>
    </w:tbl>
    <w:p w14:paraId="6D0BC63A">
      <w:pPr>
        <w:pStyle w:val="22"/>
        <w:bidi w:val="0"/>
        <w:rPr>
          <w:rFonts w:hint="default"/>
          <w:color w:val="auto"/>
          <w:u w:val="none" w:color="auto"/>
        </w:rPr>
      </w:pPr>
      <w:r>
        <w:rPr>
          <w:rFonts w:hint="default"/>
          <w:color w:val="auto"/>
          <w:u w:val="none" w:color="auto"/>
        </w:rPr>
        <w:t>表2.</w:t>
      </w:r>
      <w:r>
        <w:rPr>
          <w:rFonts w:hint="default"/>
          <w:color w:val="auto"/>
          <w:u w:val="none" w:color="auto"/>
          <w:lang w:val="en-US" w:eastAsia="zh-CN"/>
        </w:rPr>
        <w:t>2</w:t>
      </w:r>
      <w:r>
        <w:rPr>
          <w:rFonts w:hint="default"/>
          <w:color w:val="auto"/>
          <w:u w:val="none" w:color="auto"/>
        </w:rPr>
        <w:t>-</w:t>
      </w:r>
      <w:r>
        <w:rPr>
          <w:rFonts w:hint="default"/>
          <w:color w:val="auto"/>
          <w:u w:val="none" w:color="auto"/>
          <w:lang w:val="en-US" w:eastAsia="zh-CN"/>
        </w:rPr>
        <w:t>1</w:t>
      </w:r>
      <w:r>
        <w:rPr>
          <w:rFonts w:hint="eastAsia"/>
          <w:color w:val="auto"/>
          <w:u w:val="none" w:color="auto"/>
          <w:lang w:val="en-US" w:eastAsia="zh-CN"/>
        </w:rPr>
        <w:t>3</w:t>
      </w:r>
      <w:r>
        <w:rPr>
          <w:rFonts w:hint="default"/>
          <w:color w:val="auto"/>
          <w:u w:val="none" w:color="auto"/>
        </w:rPr>
        <w:t xml:space="preserve"> 建筑施工</w:t>
      </w:r>
      <w:r>
        <w:rPr>
          <w:rFonts w:hint="eastAsia"/>
          <w:color w:val="auto"/>
          <w:u w:val="none" w:color="auto"/>
          <w:lang w:val="en-US" w:eastAsia="zh-CN"/>
        </w:rPr>
        <w:t>场</w:t>
      </w:r>
      <w:r>
        <w:rPr>
          <w:rFonts w:hint="eastAsia"/>
          <w:color w:val="auto"/>
          <w:u w:val="none" w:color="auto"/>
          <w:lang w:eastAsia="zh-CN"/>
        </w:rPr>
        <w:t>界</w:t>
      </w:r>
      <w:r>
        <w:rPr>
          <w:rFonts w:hint="default"/>
          <w:color w:val="auto"/>
          <w:u w:val="none" w:color="auto"/>
        </w:rPr>
        <w:t>环境噪声排放标准 单位：dB（A）</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94"/>
        <w:gridCol w:w="2313"/>
        <w:gridCol w:w="2997"/>
      </w:tblGrid>
      <w:tr w14:paraId="1D1782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194" w:type="dxa"/>
            <w:tcBorders>
              <w:tl2br w:val="single" w:color="auto" w:sz="12" w:space="0"/>
            </w:tcBorders>
            <w:noWrap w:val="0"/>
            <w:vAlign w:val="center"/>
          </w:tcPr>
          <w:p w14:paraId="2FB412D1">
            <w:pPr>
              <w:pStyle w:val="24"/>
              <w:jc w:val="right"/>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时段</w:t>
            </w:r>
          </w:p>
          <w:p w14:paraId="48560001">
            <w:pPr>
              <w:pStyle w:val="24"/>
              <w:jc w:val="both"/>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声环境功能类别</w:t>
            </w:r>
          </w:p>
        </w:tc>
        <w:tc>
          <w:tcPr>
            <w:tcW w:w="2313" w:type="dxa"/>
            <w:noWrap w:val="0"/>
            <w:vAlign w:val="center"/>
          </w:tcPr>
          <w:p w14:paraId="6380F55A">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昼间</w:t>
            </w:r>
          </w:p>
        </w:tc>
        <w:tc>
          <w:tcPr>
            <w:tcW w:w="2997" w:type="dxa"/>
            <w:noWrap w:val="0"/>
            <w:vAlign w:val="center"/>
          </w:tcPr>
          <w:p w14:paraId="564C7A69">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夜间</w:t>
            </w:r>
          </w:p>
        </w:tc>
      </w:tr>
      <w:tr w14:paraId="62C113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94" w:type="dxa"/>
            <w:noWrap w:val="0"/>
            <w:vAlign w:val="center"/>
          </w:tcPr>
          <w:p w14:paraId="3A233146">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《建筑施工</w:t>
            </w:r>
            <w:r>
              <w:rPr>
                <w:rFonts w:hint="eastAsia" w:cs="Times New Roman"/>
                <w:color w:val="auto"/>
                <w:u w:val="none" w:color="auto"/>
                <w:lang w:eastAsia="zh-CN"/>
              </w:rPr>
              <w:t>厂界</w:t>
            </w:r>
            <w:r>
              <w:rPr>
                <w:rFonts w:hint="default" w:ascii="Times New Roman" w:hAnsi="Times New Roman" w:cs="Times New Roman"/>
                <w:color w:val="auto"/>
                <w:u w:val="none" w:color="auto"/>
              </w:rPr>
              <w:t>环境噪声排放标准》（GB12523-2011）</w:t>
            </w:r>
          </w:p>
        </w:tc>
        <w:tc>
          <w:tcPr>
            <w:tcW w:w="2313" w:type="dxa"/>
            <w:noWrap w:val="0"/>
            <w:vAlign w:val="center"/>
          </w:tcPr>
          <w:p w14:paraId="62F134D0">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70</w:t>
            </w:r>
          </w:p>
        </w:tc>
        <w:tc>
          <w:tcPr>
            <w:tcW w:w="2997" w:type="dxa"/>
            <w:noWrap w:val="0"/>
            <w:vAlign w:val="center"/>
          </w:tcPr>
          <w:p w14:paraId="2D16A0B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55</w:t>
            </w:r>
          </w:p>
        </w:tc>
      </w:tr>
    </w:tbl>
    <w:p w14:paraId="6B6AFC8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（4）固体废物：危险废物执行《危险废物贮存污染控制标准》（GB18597-2</w:t>
      </w:r>
      <w:r>
        <w:rPr>
          <w:rFonts w:hint="eastAsia" w:ascii="Times New Roman" w:hAnsi="Times New Roman" w:cs="Times New Roman"/>
          <w:color w:val="auto"/>
          <w:u w:val="none" w:color="auto"/>
          <w:lang w:val="en-US" w:eastAsia="zh-CN"/>
        </w:rPr>
        <w:t>023</w:t>
      </w:r>
      <w:r>
        <w:rPr>
          <w:rFonts w:hint="default" w:ascii="Times New Roman" w:hAnsi="Times New Roman" w:cs="Times New Roman"/>
          <w:color w:val="auto"/>
          <w:u w:val="none" w:color="auto"/>
        </w:rPr>
        <w:t>），</w:t>
      </w:r>
      <w:r>
        <w:rPr>
          <w:rFonts w:ascii="Times New Roman" w:hAnsi="Times New Roman" w:eastAsia="宋体" w:cs="Times New Roman"/>
          <w:color w:val="auto"/>
          <w:kern w:val="2"/>
          <w:sz w:val="24"/>
          <w:szCs w:val="24"/>
          <w:highlight w:val="none"/>
          <w:u w:val="none" w:color="auto"/>
          <w:lang w:val="en-US" w:eastAsia="zh-CN" w:bidi="ar-SA"/>
        </w:rPr>
        <w:t>一般固废执行《</w:t>
      </w:r>
      <w:r>
        <w:rPr>
          <w:rFonts w:hint="eastAsia" w:ascii="Times New Roman" w:hAnsi="Times New Roman" w:eastAsia="宋体" w:cs="Times New Roman"/>
          <w:color w:val="auto"/>
          <w:kern w:val="2"/>
          <w:sz w:val="24"/>
          <w:szCs w:val="24"/>
          <w:highlight w:val="none"/>
          <w:u w:val="none" w:color="auto"/>
          <w:lang w:val="en-US" w:eastAsia="zh-CN" w:bidi="ar-SA"/>
        </w:rPr>
        <w:t>一般工业固体废物贮存和填埋污染控制标准</w:t>
      </w:r>
      <w:r>
        <w:rPr>
          <w:rFonts w:ascii="Times New Roman" w:hAnsi="Times New Roman" w:eastAsia="宋体" w:cs="Times New Roman"/>
          <w:color w:val="auto"/>
          <w:kern w:val="2"/>
          <w:sz w:val="24"/>
          <w:szCs w:val="24"/>
          <w:highlight w:val="none"/>
          <w:u w:val="none" w:color="auto"/>
          <w:lang w:val="en-US" w:eastAsia="zh-CN" w:bidi="ar-SA"/>
        </w:rPr>
        <w:t>》（GB18599-20</w:t>
      </w:r>
      <w:r>
        <w:rPr>
          <w:rFonts w:hint="eastAsia" w:ascii="Times New Roman" w:hAnsi="Times New Roman" w:eastAsia="宋体" w:cs="Times New Roman"/>
          <w:color w:val="auto"/>
          <w:kern w:val="2"/>
          <w:sz w:val="24"/>
          <w:szCs w:val="24"/>
          <w:highlight w:val="none"/>
          <w:u w:val="none" w:color="auto"/>
          <w:lang w:val="en-US" w:eastAsia="zh-CN" w:bidi="ar-SA"/>
        </w:rPr>
        <w:t>20</w:t>
      </w:r>
      <w:r>
        <w:rPr>
          <w:rFonts w:ascii="Times New Roman" w:hAnsi="Times New Roman" w:eastAsia="宋体" w:cs="Times New Roman"/>
          <w:color w:val="auto"/>
          <w:kern w:val="2"/>
          <w:sz w:val="24"/>
          <w:szCs w:val="24"/>
          <w:highlight w:val="none"/>
          <w:u w:val="none" w:color="auto"/>
          <w:lang w:val="en-US" w:eastAsia="zh-CN" w:bidi="ar-SA"/>
        </w:rPr>
        <w:t>）</w:t>
      </w:r>
      <w:r>
        <w:rPr>
          <w:rFonts w:hint="default" w:ascii="Times New Roman" w:hAnsi="Times New Roman" w:cs="Times New Roman"/>
          <w:color w:val="auto"/>
          <w:u w:val="none" w:color="auto"/>
        </w:rPr>
        <w:t>。</w:t>
      </w:r>
    </w:p>
    <w:p w14:paraId="5D9591D3">
      <w:pPr>
        <w:pStyle w:val="3"/>
        <w:bidi w:val="0"/>
        <w:rPr>
          <w:rFonts w:hint="default"/>
          <w:color w:val="auto"/>
          <w:u w:val="none" w:color="auto"/>
          <w:lang w:eastAsia="zh-CN"/>
        </w:rPr>
      </w:pPr>
      <w:bookmarkStart w:id="409" w:name="_Toc26263_WPSOffice_Level2"/>
      <w:bookmarkStart w:id="410" w:name="_Toc24307"/>
      <w:bookmarkStart w:id="411" w:name="_Toc331351314"/>
      <w:bookmarkStart w:id="412" w:name="_Toc11229"/>
      <w:bookmarkStart w:id="413" w:name="_Toc324516205"/>
      <w:bookmarkStart w:id="414" w:name="_Toc25803_WPSOffice_Level2"/>
      <w:bookmarkStart w:id="415" w:name="_Toc17466_WPSOffice_Level2"/>
      <w:bookmarkStart w:id="416" w:name="_Toc336615587"/>
      <w:bookmarkStart w:id="417" w:name="_Toc22861_WPSOffice_Level2"/>
      <w:bookmarkStart w:id="418" w:name="_Toc353549400"/>
      <w:bookmarkStart w:id="419" w:name="_Toc324754189"/>
      <w:bookmarkStart w:id="420" w:name="_Toc16483"/>
      <w:bookmarkStart w:id="421" w:name="_Toc21924"/>
      <w:bookmarkStart w:id="422" w:name="_Toc28504_WPSOffice_Level2"/>
      <w:bookmarkStart w:id="423" w:name="_Toc21499_WPSOffice_Level2"/>
      <w:bookmarkStart w:id="424" w:name="_Toc20110_WPSOffice_Level2"/>
      <w:bookmarkStart w:id="425" w:name="_Toc372124931"/>
      <w:bookmarkStart w:id="426" w:name="_Toc18070"/>
      <w:bookmarkStart w:id="427" w:name="_Toc210"/>
      <w:bookmarkStart w:id="428" w:name="_Toc162"/>
      <w:bookmarkStart w:id="429" w:name="_Toc11829"/>
      <w:r>
        <w:rPr>
          <w:rFonts w:hint="default"/>
          <w:color w:val="auto"/>
          <w:u w:val="none" w:color="auto"/>
        </w:rPr>
        <w:t>2.3评价工作等级</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Pr>
          <w:rFonts w:hint="default"/>
          <w:color w:val="auto"/>
          <w:u w:val="none" w:color="auto"/>
          <w:lang w:eastAsia="zh-CN"/>
        </w:rPr>
        <w:t>及评价范围</w:t>
      </w:r>
      <w:bookmarkEnd w:id="426"/>
      <w:bookmarkEnd w:id="427"/>
      <w:bookmarkEnd w:id="428"/>
      <w:bookmarkEnd w:id="429"/>
    </w:p>
    <w:p w14:paraId="4D84A3CC">
      <w:pPr>
        <w:pStyle w:val="4"/>
        <w:rPr>
          <w:rFonts w:hint="default" w:ascii="Times New Roman" w:hAnsi="Times New Roman" w:eastAsia="宋体" w:cs="Times New Roman"/>
          <w:color w:val="auto"/>
          <w:u w:val="none" w:color="auto"/>
          <w:lang w:eastAsia="zh-CN"/>
        </w:rPr>
      </w:pPr>
      <w:bookmarkStart w:id="430" w:name="_Toc3671"/>
      <w:bookmarkStart w:id="431" w:name="_Toc16906"/>
      <w:bookmarkStart w:id="432" w:name="_Toc10181"/>
      <w:bookmarkStart w:id="433" w:name="_Toc27776_WPSOffice_Level3"/>
      <w:bookmarkStart w:id="434" w:name="_Toc17566"/>
      <w:bookmarkStart w:id="435" w:name="_Toc28368"/>
      <w:bookmarkStart w:id="436" w:name="_Toc19963"/>
      <w:bookmarkStart w:id="437" w:name="_Toc26107"/>
      <w:bookmarkStart w:id="438" w:name="_Toc6766"/>
      <w:bookmarkStart w:id="439" w:name="_Toc11892"/>
      <w:bookmarkStart w:id="440" w:name="_Toc15666_WPSOffice_Level3"/>
      <w:bookmarkStart w:id="441" w:name="_Toc12604"/>
      <w:bookmarkStart w:id="442" w:name="_Toc9683"/>
      <w:bookmarkStart w:id="443" w:name="_Toc5885"/>
      <w:bookmarkStart w:id="444" w:name="_Toc493"/>
      <w:r>
        <w:rPr>
          <w:rFonts w:hint="default" w:ascii="Times New Roman" w:hAnsi="Times New Roman" w:cs="Times New Roman"/>
          <w:color w:val="auto"/>
          <w:u w:val="none" w:color="auto"/>
        </w:rPr>
        <w:t>2.3.1大气环境影响评价工作等级</w:t>
      </w:r>
      <w:bookmarkEnd w:id="430"/>
      <w:bookmarkEnd w:id="431"/>
      <w:bookmarkEnd w:id="432"/>
      <w:bookmarkEnd w:id="433"/>
      <w:bookmarkEnd w:id="434"/>
      <w:bookmarkEnd w:id="435"/>
      <w:bookmarkEnd w:id="436"/>
      <w:bookmarkEnd w:id="437"/>
      <w:bookmarkEnd w:id="438"/>
      <w:bookmarkEnd w:id="439"/>
      <w:bookmarkEnd w:id="440"/>
      <w:r>
        <w:rPr>
          <w:rFonts w:hint="default" w:ascii="Times New Roman" w:hAnsi="Times New Roman" w:cs="Times New Roman"/>
          <w:color w:val="auto"/>
          <w:u w:val="none" w:color="auto"/>
          <w:lang w:eastAsia="zh-CN"/>
        </w:rPr>
        <w:t>及评价范围</w:t>
      </w:r>
      <w:bookmarkEnd w:id="441"/>
      <w:bookmarkEnd w:id="442"/>
      <w:bookmarkEnd w:id="443"/>
      <w:bookmarkEnd w:id="444"/>
    </w:p>
    <w:p w14:paraId="57E14D6B">
      <w:pPr>
        <w:pStyle w:val="20"/>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1、大气环境影响评价等级</w:t>
      </w:r>
    </w:p>
    <w:p w14:paraId="120AEFAC">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按《环境影响评价技术导则 大气环境》（HJ2.2-2018），分别计算本项目排放主要污染物的最大地面空气质量浓度占标率Pi（第i个污染物，简称“最大浓度占标率”），及第i个污染物的地面空气质量浓度达到标准值10%时所对应的最远距离D</w:t>
      </w:r>
      <w:r>
        <w:rPr>
          <w:rFonts w:hint="default" w:ascii="Times New Roman" w:hAnsi="Times New Roman" w:cs="Times New Roman"/>
          <w:color w:val="auto"/>
          <w:u w:val="none" w:color="auto"/>
          <w:vertAlign w:val="subscript"/>
        </w:rPr>
        <w:t>10%</w:t>
      </w:r>
      <w:r>
        <w:rPr>
          <w:rFonts w:hint="default" w:ascii="Times New Roman" w:hAnsi="Times New Roman" w:cs="Times New Roman"/>
          <w:color w:val="auto"/>
          <w:u w:val="none" w:color="auto"/>
        </w:rPr>
        <w:t>。其中Pi 定义为：</w:t>
      </w:r>
    </w:p>
    <w:p w14:paraId="3A07D99B">
      <w:pPr>
        <w:snapToGrid w:val="0"/>
        <w:jc w:val="center"/>
        <w:rPr>
          <w:rFonts w:hint="default" w:ascii="Times New Roman" w:hAnsi="Times New Roman" w:cs="Times New Roman"/>
          <w:color w:val="auto"/>
          <w:sz w:val="24"/>
          <w:u w:val="none" w:color="auto"/>
        </w:rPr>
      </w:pPr>
      <w:r>
        <w:rPr>
          <w:rFonts w:hint="default" w:ascii="Times New Roman" w:hAnsi="Times New Roman" w:cs="Times New Roman"/>
          <w:color w:val="auto"/>
          <w:position w:val="-30"/>
          <w:sz w:val="24"/>
          <w:u w:val="none" w:color="auto"/>
        </w:rPr>
        <w:object>
          <v:shape id="_x0000_i1034" o:spt="75" type="#_x0000_t75" style="height:35.25pt;width:81pt;" o:ole="t" filled="f" o:preferrelative="t" stroked="f" coordsize="21600,21600">
            <v:path/>
            <v:fill on="f" focussize="0,0"/>
            <v:stroke on="f"/>
            <v:imagedata r:id="rId26" o:title=""/>
            <o:lock v:ext="edit" aspectratio="t"/>
            <w10:wrap type="none"/>
            <w10:anchorlock/>
          </v:shape>
          <o:OLEObject Type="Embed" ProgID="Equation.3" ShapeID="_x0000_i1034" DrawAspect="Content" ObjectID="_1468075726" r:id="rId25">
            <o:LockedField>false</o:LockedField>
          </o:OLEObject>
        </w:object>
      </w:r>
    </w:p>
    <w:p w14:paraId="3ECCF065">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式中：Pi——第i个污染物的最大地面空气质量浓度占标率，%；</w:t>
      </w:r>
    </w:p>
    <w:p w14:paraId="4DDD7BA0">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position w:val="-12"/>
          <w:u w:val="none" w:color="auto"/>
        </w:rPr>
        <w:object>
          <v:shape id="_x0000_i1035" o:spt="75" type="#_x0000_t75" style="height:18pt;width:13.5pt;" o:ole="t" filled="f" o:preferrelative="t" stroked="f" coordsize="21600,21600">
            <v:path/>
            <v:fill on="f" focussize="0,0"/>
            <v:stroke on="f"/>
            <v:imagedata r:id="rId28" o:title=""/>
            <o:lock v:ext="edit" aspectratio="t"/>
            <w10:wrap type="none"/>
            <w10:anchorlock/>
          </v:shape>
          <o:OLEObject Type="Embed" ProgID="Equation.3" ShapeID="_x0000_i1035" DrawAspect="Content" ObjectID="_1468075727" r:id="rId27">
            <o:LockedField>false</o:LockedField>
          </o:OLEObject>
        </w:object>
      </w:r>
      <w:r>
        <w:rPr>
          <w:rFonts w:hint="default" w:ascii="Times New Roman" w:hAnsi="Times New Roman" w:cs="Times New Roman"/>
          <w:color w:val="auto"/>
          <w:u w:val="none" w:color="auto"/>
        </w:rPr>
        <w:t>——采用估算模型计算出的第i个污染物的最大1h地面空气质量浓度，μg/m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w:t>
      </w:r>
    </w:p>
    <w:p w14:paraId="533512B2">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position w:val="-12"/>
          <w:u w:val="none" w:color="auto"/>
        </w:rPr>
        <w:object>
          <v:shape id="_x0000_i1036" o:spt="75" type="#_x0000_t75" style="height:18pt;width:18pt;" o:ole="t" filled="f" o:preferrelative="t" stroked="f" coordsize="21600,21600">
            <v:path/>
            <v:fill on="f" focussize="0,0"/>
            <v:stroke on="f"/>
            <v:imagedata r:id="rId30" o:title=""/>
            <o:lock v:ext="edit" aspectratio="t"/>
            <w10:wrap type="none"/>
            <w10:anchorlock/>
          </v:shape>
          <o:OLEObject Type="Embed" ProgID="Equation.3" ShapeID="_x0000_i1036" DrawAspect="Content" ObjectID="_1468075728" r:id="rId29">
            <o:LockedField>false</o:LockedField>
          </o:OLEObject>
        </w:object>
      </w:r>
      <w:r>
        <w:rPr>
          <w:rFonts w:hint="default" w:ascii="Times New Roman" w:hAnsi="Times New Roman" w:cs="Times New Roman"/>
          <w:color w:val="auto"/>
          <w:u w:val="none" w:color="auto"/>
        </w:rPr>
        <w:t>——第i个污染物的环境空气质量浓度标准，μg/m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。对仅有8h平均质量浓度限值、日平均质量浓度限值或年平均质量浓度限值的，可分别按2倍、3倍、6倍折算为1h平均质量浓度限值。</w:t>
      </w:r>
    </w:p>
    <w:p w14:paraId="6F305F67">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《环境影响评价技术导则 大气环境》（HJ2.2-2018）的大气评价工作分级依据见</w:t>
      </w:r>
      <w:r>
        <w:rPr>
          <w:rFonts w:hint="default" w:ascii="Times New Roman" w:hAnsi="Times New Roman" w:cs="Times New Roman"/>
          <w:color w:val="auto"/>
          <w:u w:val="none" w:color="auto"/>
          <w:lang w:eastAsia="zh-CN"/>
        </w:rPr>
        <w:t>下表</w:t>
      </w:r>
      <w:r>
        <w:rPr>
          <w:rFonts w:hint="default" w:ascii="Times New Roman" w:hAnsi="Times New Roman" w:cs="Times New Roman"/>
          <w:color w:val="auto"/>
          <w:u w:val="none" w:color="auto"/>
        </w:rPr>
        <w:t>。</w:t>
      </w:r>
    </w:p>
    <w:p w14:paraId="65F33599">
      <w:pPr>
        <w:pStyle w:val="22"/>
        <w:bidi w:val="0"/>
        <w:rPr>
          <w:rFonts w:hint="default"/>
          <w:color w:val="auto"/>
          <w:u w:val="none" w:color="auto"/>
        </w:rPr>
      </w:pPr>
      <w:r>
        <w:rPr>
          <w:rFonts w:hint="default"/>
          <w:color w:val="auto"/>
          <w:u w:val="none" w:color="auto"/>
        </w:rPr>
        <w:t>表</w:t>
      </w:r>
      <w:r>
        <w:rPr>
          <w:rFonts w:hint="default"/>
          <w:color w:val="auto"/>
          <w:u w:val="none" w:color="auto"/>
          <w:lang w:val="en-US" w:eastAsia="zh-CN"/>
        </w:rPr>
        <w:t>2.3-1</w:t>
      </w:r>
      <w:r>
        <w:rPr>
          <w:rFonts w:hint="default"/>
          <w:color w:val="auto"/>
          <w:u w:val="none" w:color="auto"/>
        </w:rPr>
        <w:t xml:space="preserve">  评价等级判别表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76"/>
        <w:gridCol w:w="5928"/>
      </w:tblGrid>
      <w:tr w14:paraId="2CE7D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742" w:type="dxa"/>
            <w:noWrap w:val="0"/>
            <w:vAlign w:val="center"/>
          </w:tcPr>
          <w:p w14:paraId="335DC306">
            <w:pPr>
              <w:pStyle w:val="24"/>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评价工作等级</w:t>
            </w:r>
          </w:p>
        </w:tc>
        <w:tc>
          <w:tcPr>
            <w:tcW w:w="6329" w:type="dxa"/>
            <w:noWrap w:val="0"/>
            <w:vAlign w:val="center"/>
          </w:tcPr>
          <w:p w14:paraId="07E94847">
            <w:pPr>
              <w:pStyle w:val="24"/>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评价工作分级判据</w:t>
            </w:r>
          </w:p>
        </w:tc>
      </w:tr>
      <w:tr w14:paraId="2C9724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2" w:type="dxa"/>
            <w:noWrap w:val="0"/>
            <w:vAlign w:val="center"/>
          </w:tcPr>
          <w:p w14:paraId="6219FD97">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一级</w:t>
            </w:r>
          </w:p>
        </w:tc>
        <w:tc>
          <w:tcPr>
            <w:tcW w:w="6329" w:type="dxa"/>
            <w:noWrap w:val="0"/>
            <w:vAlign w:val="center"/>
          </w:tcPr>
          <w:p w14:paraId="7907545E">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Pmax ≥ 10%</w:t>
            </w:r>
          </w:p>
        </w:tc>
      </w:tr>
      <w:tr w14:paraId="2918C9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2" w:type="dxa"/>
            <w:noWrap w:val="0"/>
            <w:vAlign w:val="center"/>
          </w:tcPr>
          <w:p w14:paraId="56A1C21A">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二级</w:t>
            </w:r>
          </w:p>
        </w:tc>
        <w:tc>
          <w:tcPr>
            <w:tcW w:w="6329" w:type="dxa"/>
            <w:noWrap w:val="0"/>
            <w:vAlign w:val="center"/>
          </w:tcPr>
          <w:p w14:paraId="7CAC66AF">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 ≤ Pmax﹤10%</w:t>
            </w:r>
          </w:p>
        </w:tc>
      </w:tr>
      <w:tr w14:paraId="7E653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42" w:type="dxa"/>
            <w:noWrap w:val="0"/>
            <w:vAlign w:val="center"/>
          </w:tcPr>
          <w:p w14:paraId="336D83BC">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三级</w:t>
            </w:r>
          </w:p>
        </w:tc>
        <w:tc>
          <w:tcPr>
            <w:tcW w:w="6329" w:type="dxa"/>
            <w:noWrap w:val="0"/>
            <w:vAlign w:val="center"/>
          </w:tcPr>
          <w:p w14:paraId="6E6202C1">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Pmax﹤1%</w:t>
            </w:r>
          </w:p>
        </w:tc>
      </w:tr>
    </w:tbl>
    <w:p w14:paraId="72B2615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kern w:val="0"/>
          <w:sz w:val="24"/>
          <w:u w:val="none" w:color="auto"/>
        </w:rPr>
        <w:t>本次评价使用《环境影响评价技术导则 大气环境》（HJ2.2-2018）中推荐的估算模型AERSCREEN，判定运营期大气环境影响评价等级，评价选取</w:t>
      </w:r>
      <w:r>
        <w:rPr>
          <w:rFonts w:hint="eastAsia" w:ascii="Times New Roman" w:hAnsi="Times New Roman" w:cs="Times New Roman"/>
          <w:color w:val="auto"/>
          <w:kern w:val="0"/>
          <w:sz w:val="24"/>
          <w:u w:val="none" w:color="auto"/>
          <w:lang w:val="en-US" w:eastAsia="zh-CN"/>
        </w:rPr>
        <w:t>PM</w:t>
      </w:r>
      <w:r>
        <w:rPr>
          <w:rFonts w:hint="eastAsia" w:ascii="Times New Roman" w:hAnsi="Times New Roman" w:cs="Times New Roman"/>
          <w:color w:val="auto"/>
          <w:kern w:val="0"/>
          <w:sz w:val="24"/>
          <w:u w:val="none" w:color="auto"/>
          <w:vertAlign w:val="subscript"/>
          <w:lang w:val="en-US" w:eastAsia="zh-CN"/>
        </w:rPr>
        <w:t>10</w:t>
      </w:r>
      <w:r>
        <w:rPr>
          <w:rFonts w:hint="eastAsia" w:ascii="Times New Roman" w:hAnsi="Times New Roman" w:cs="Times New Roman"/>
          <w:color w:val="auto"/>
          <w:kern w:val="0"/>
          <w:sz w:val="24"/>
          <w:u w:val="none" w:color="auto"/>
          <w:lang w:val="en-US" w:eastAsia="zh-CN"/>
        </w:rPr>
        <w:t>、TSP</w:t>
      </w:r>
      <w:r>
        <w:rPr>
          <w:rFonts w:hint="default" w:ascii="Times New Roman" w:hAnsi="Times New Roman" w:cs="Times New Roman"/>
          <w:color w:val="auto"/>
          <w:kern w:val="0"/>
          <w:sz w:val="24"/>
          <w:u w:val="none" w:color="auto"/>
          <w:lang w:eastAsia="zh-CN"/>
        </w:rPr>
        <w:t>、</w:t>
      </w:r>
      <w:r>
        <w:rPr>
          <w:rFonts w:hint="eastAsia" w:ascii="Times New Roman" w:hAnsi="Times New Roman" w:cs="Times New Roman"/>
          <w:color w:val="auto"/>
          <w:kern w:val="0"/>
          <w:sz w:val="24"/>
          <w:u w:val="none" w:color="auto"/>
          <w:lang w:val="en-US" w:eastAsia="zh-CN"/>
        </w:rPr>
        <w:t>TVOC、氯化氢、二甲苯</w:t>
      </w:r>
      <w:r>
        <w:rPr>
          <w:rFonts w:hint="default" w:ascii="Times New Roman" w:hAnsi="Times New Roman" w:cs="Times New Roman"/>
          <w:color w:val="auto"/>
          <w:kern w:val="0"/>
          <w:sz w:val="24"/>
          <w:u w:val="none" w:color="auto"/>
        </w:rPr>
        <w:t>作为预测因子</w:t>
      </w:r>
      <w:r>
        <w:rPr>
          <w:rFonts w:hint="default" w:ascii="Times New Roman" w:hAnsi="Times New Roman" w:cs="Times New Roman"/>
          <w:color w:val="auto"/>
          <w:u w:val="none" w:color="auto"/>
        </w:rPr>
        <w:t>。</w:t>
      </w:r>
    </w:p>
    <w:p w14:paraId="292FB95F">
      <w:pPr>
        <w:pStyle w:val="22"/>
        <w:bidi w:val="0"/>
        <w:rPr>
          <w:rFonts w:hint="default"/>
          <w:color w:val="auto"/>
          <w:u w:val="none" w:color="auto"/>
        </w:rPr>
      </w:pPr>
      <w:r>
        <w:rPr>
          <w:rFonts w:hint="default"/>
          <w:color w:val="auto"/>
          <w:u w:val="none" w:color="auto"/>
        </w:rPr>
        <w:t>表</w:t>
      </w:r>
      <w:r>
        <w:rPr>
          <w:rFonts w:hint="default"/>
          <w:color w:val="auto"/>
          <w:u w:val="none" w:color="auto"/>
          <w:lang w:val="en-US" w:eastAsia="zh-CN"/>
        </w:rPr>
        <w:t>2</w:t>
      </w:r>
      <w:r>
        <w:rPr>
          <w:rFonts w:hint="default"/>
          <w:color w:val="auto"/>
          <w:u w:val="none" w:color="auto"/>
        </w:rPr>
        <w:t>.</w:t>
      </w:r>
      <w:r>
        <w:rPr>
          <w:rFonts w:hint="default"/>
          <w:color w:val="auto"/>
          <w:u w:val="none" w:color="auto"/>
          <w:lang w:val="en-US" w:eastAsia="zh-CN"/>
        </w:rPr>
        <w:t>3</w:t>
      </w:r>
      <w:r>
        <w:rPr>
          <w:rFonts w:hint="default"/>
          <w:color w:val="auto"/>
          <w:u w:val="none" w:color="auto"/>
        </w:rPr>
        <w:t>-</w:t>
      </w:r>
      <w:r>
        <w:rPr>
          <w:rFonts w:hint="default"/>
          <w:color w:val="auto"/>
          <w:u w:val="none" w:color="auto"/>
          <w:lang w:val="en-US" w:eastAsia="zh-CN"/>
        </w:rPr>
        <w:t>2</w:t>
      </w:r>
      <w:r>
        <w:rPr>
          <w:rFonts w:hint="default"/>
          <w:color w:val="auto"/>
          <w:u w:val="none" w:color="auto"/>
        </w:rPr>
        <w:t xml:space="preserve"> 大气环境影响评价等级结果</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825"/>
        <w:gridCol w:w="990"/>
        <w:gridCol w:w="690"/>
        <w:gridCol w:w="1500"/>
        <w:gridCol w:w="1065"/>
        <w:gridCol w:w="854"/>
        <w:gridCol w:w="765"/>
        <w:gridCol w:w="787"/>
      </w:tblGrid>
      <w:tr w14:paraId="1BA303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46A56289">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污染源</w:t>
            </w:r>
          </w:p>
        </w:tc>
        <w:tc>
          <w:tcPr>
            <w:tcW w:w="825" w:type="dxa"/>
            <w:tcBorders>
              <w:tl2br w:val="nil"/>
              <w:tr2bl w:val="nil"/>
            </w:tcBorders>
            <w:noWrap w:val="0"/>
            <w:vAlign w:val="center"/>
          </w:tcPr>
          <w:p w14:paraId="6FCC9C30">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类型</w:t>
            </w:r>
          </w:p>
        </w:tc>
        <w:tc>
          <w:tcPr>
            <w:tcW w:w="1680" w:type="dxa"/>
            <w:gridSpan w:val="2"/>
            <w:tcBorders>
              <w:tl2br w:val="nil"/>
              <w:tr2bl w:val="nil"/>
            </w:tcBorders>
            <w:noWrap w:val="0"/>
            <w:vAlign w:val="center"/>
          </w:tcPr>
          <w:p w14:paraId="53CB1FD1">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标准</w:t>
            </w:r>
          </w:p>
          <w:p w14:paraId="1AE54047">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（μg/m</w:t>
            </w:r>
            <w:r>
              <w:rPr>
                <w:rFonts w:hint="default" w:ascii="Times New Roman" w:hAnsi="Times New Roman" w:cs="Times New Roman"/>
                <w:b w:val="0"/>
                <w:bCs w:val="0"/>
                <w:color w:val="auto"/>
                <w:sz w:val="21"/>
                <w:szCs w:val="21"/>
                <w:u w:val="none" w:color="auto"/>
                <w:vertAlign w:val="superscript"/>
                <w:lang w:eastAsia="zh-CN"/>
              </w:rPr>
              <w:t>3</w:t>
            </w:r>
            <w:r>
              <w:rPr>
                <w:rFonts w:hint="default" w:ascii="Times New Roman" w:hAnsi="Times New Roman" w:cs="Times New Roman"/>
                <w:b w:val="0"/>
                <w:bCs w:val="0"/>
                <w:color w:val="auto"/>
                <w:sz w:val="21"/>
                <w:szCs w:val="21"/>
                <w:u w:val="none" w:color="auto"/>
                <w:lang w:eastAsia="zh-CN"/>
              </w:rPr>
              <w:t>）</w:t>
            </w:r>
          </w:p>
        </w:tc>
        <w:tc>
          <w:tcPr>
            <w:tcW w:w="1500" w:type="dxa"/>
            <w:tcBorders>
              <w:tl2br w:val="nil"/>
              <w:tr2bl w:val="nil"/>
            </w:tcBorders>
            <w:noWrap w:val="0"/>
            <w:vAlign w:val="center"/>
          </w:tcPr>
          <w:p w14:paraId="31814BEE">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最大落地浓度</w:t>
            </w:r>
          </w:p>
          <w:p w14:paraId="0A1E634B">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（μg/m</w:t>
            </w:r>
            <w:r>
              <w:rPr>
                <w:rFonts w:hint="default" w:ascii="Times New Roman" w:hAnsi="Times New Roman" w:cs="Times New Roman"/>
                <w:b w:val="0"/>
                <w:bCs w:val="0"/>
                <w:color w:val="auto"/>
                <w:sz w:val="21"/>
                <w:szCs w:val="21"/>
                <w:u w:val="none" w:color="auto"/>
                <w:vertAlign w:val="superscript"/>
              </w:rPr>
              <w:t>3</w:t>
            </w:r>
            <w:r>
              <w:rPr>
                <w:rFonts w:hint="default" w:ascii="Times New Roman" w:hAnsi="Times New Roman" w:cs="Times New Roman"/>
                <w:b w:val="0"/>
                <w:bCs w:val="0"/>
                <w:color w:val="auto"/>
                <w:sz w:val="21"/>
                <w:szCs w:val="21"/>
                <w:u w:val="none" w:color="auto"/>
              </w:rPr>
              <w:t>）</w:t>
            </w:r>
          </w:p>
        </w:tc>
        <w:tc>
          <w:tcPr>
            <w:tcW w:w="1065" w:type="dxa"/>
            <w:tcBorders>
              <w:tl2br w:val="nil"/>
              <w:tr2bl w:val="nil"/>
            </w:tcBorders>
            <w:noWrap w:val="0"/>
            <w:vAlign w:val="center"/>
          </w:tcPr>
          <w:p w14:paraId="047F18E7">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出现距离</w:t>
            </w:r>
          </w:p>
          <w:p w14:paraId="55D76D6F">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（m）</w:t>
            </w:r>
          </w:p>
        </w:tc>
        <w:tc>
          <w:tcPr>
            <w:tcW w:w="854" w:type="dxa"/>
            <w:tcBorders>
              <w:tl2br w:val="nil"/>
              <w:tr2bl w:val="nil"/>
            </w:tcBorders>
            <w:noWrap w:val="0"/>
            <w:vAlign w:val="center"/>
          </w:tcPr>
          <w:p w14:paraId="539A8702">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占标率</w:t>
            </w:r>
          </w:p>
          <w:p w14:paraId="6F79246B">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w:t>
            </w:r>
          </w:p>
        </w:tc>
        <w:tc>
          <w:tcPr>
            <w:tcW w:w="765" w:type="dxa"/>
            <w:tcBorders>
              <w:tl2br w:val="nil"/>
              <w:tr2bl w:val="nil"/>
            </w:tcBorders>
            <w:noWrap w:val="0"/>
            <w:vAlign w:val="center"/>
          </w:tcPr>
          <w:p w14:paraId="6D4BF794">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Pmax</w:t>
            </w:r>
          </w:p>
          <w:p w14:paraId="49AD1025">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w:t>
            </w:r>
          </w:p>
        </w:tc>
        <w:tc>
          <w:tcPr>
            <w:tcW w:w="787" w:type="dxa"/>
            <w:tcBorders>
              <w:tl2br w:val="nil"/>
              <w:tr2bl w:val="nil"/>
            </w:tcBorders>
            <w:noWrap w:val="0"/>
            <w:vAlign w:val="center"/>
          </w:tcPr>
          <w:p w14:paraId="0920C1D7">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D10%</w:t>
            </w:r>
          </w:p>
          <w:p w14:paraId="0E6ED7D4">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（m）</w:t>
            </w:r>
          </w:p>
        </w:tc>
      </w:tr>
      <w:tr w14:paraId="0F9317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6B585E0D">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DA001排气筒</w:t>
            </w:r>
          </w:p>
        </w:tc>
        <w:tc>
          <w:tcPr>
            <w:tcW w:w="825" w:type="dxa"/>
            <w:tcBorders>
              <w:tl2br w:val="nil"/>
              <w:tr2bl w:val="nil"/>
            </w:tcBorders>
            <w:noWrap w:val="0"/>
            <w:vAlign w:val="center"/>
          </w:tcPr>
          <w:p w14:paraId="2D9F6630">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点源</w:t>
            </w:r>
          </w:p>
        </w:tc>
        <w:tc>
          <w:tcPr>
            <w:tcW w:w="990" w:type="dxa"/>
            <w:tcBorders>
              <w:tl2br w:val="nil"/>
              <w:tr2bl w:val="nil"/>
            </w:tcBorders>
            <w:noWrap w:val="0"/>
            <w:vAlign w:val="center"/>
          </w:tcPr>
          <w:p w14:paraId="52B73FDB">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PM</w:t>
            </w:r>
            <w:r>
              <w:rPr>
                <w:rFonts w:hint="eastAsia" w:cs="Times New Roman"/>
                <w:b w:val="0"/>
                <w:bCs w:val="0"/>
                <w:color w:val="auto"/>
                <w:sz w:val="21"/>
                <w:szCs w:val="21"/>
                <w:u w:val="none" w:color="auto"/>
                <w:vertAlign w:val="subscript"/>
                <w:lang w:val="en-US" w:eastAsia="zh-CN"/>
              </w:rPr>
              <w:t>10</w:t>
            </w:r>
          </w:p>
        </w:tc>
        <w:tc>
          <w:tcPr>
            <w:tcW w:w="690" w:type="dxa"/>
            <w:tcBorders>
              <w:tl2br w:val="nil"/>
              <w:tr2bl w:val="nil"/>
            </w:tcBorders>
            <w:noWrap w:val="0"/>
            <w:vAlign w:val="center"/>
          </w:tcPr>
          <w:p w14:paraId="7E9E160A">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450</w:t>
            </w:r>
          </w:p>
        </w:tc>
        <w:tc>
          <w:tcPr>
            <w:tcW w:w="1500" w:type="dxa"/>
            <w:tcBorders>
              <w:tl2br w:val="nil"/>
              <w:tr2bl w:val="nil"/>
            </w:tcBorders>
            <w:noWrap w:val="0"/>
            <w:vAlign w:val="center"/>
          </w:tcPr>
          <w:p w14:paraId="1DC9A487">
            <w:pPr>
              <w:pStyle w:val="24"/>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1.296</w:t>
            </w:r>
          </w:p>
        </w:tc>
        <w:tc>
          <w:tcPr>
            <w:tcW w:w="1065" w:type="dxa"/>
            <w:tcBorders>
              <w:tl2br w:val="nil"/>
              <w:tr2bl w:val="nil"/>
            </w:tcBorders>
            <w:noWrap w:val="0"/>
            <w:vAlign w:val="center"/>
          </w:tcPr>
          <w:p w14:paraId="77CFDD1B">
            <w:pPr>
              <w:pStyle w:val="24"/>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96</w:t>
            </w:r>
          </w:p>
        </w:tc>
        <w:tc>
          <w:tcPr>
            <w:tcW w:w="854" w:type="dxa"/>
            <w:tcBorders>
              <w:tl2br w:val="nil"/>
              <w:tr2bl w:val="nil"/>
            </w:tcBorders>
            <w:noWrap w:val="0"/>
            <w:vAlign w:val="center"/>
          </w:tcPr>
          <w:p w14:paraId="13B412C3">
            <w:pPr>
              <w:pStyle w:val="24"/>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0.29</w:t>
            </w:r>
          </w:p>
        </w:tc>
        <w:tc>
          <w:tcPr>
            <w:tcW w:w="765" w:type="dxa"/>
            <w:vMerge w:val="restart"/>
            <w:tcBorders>
              <w:tl2br w:val="nil"/>
              <w:tr2bl w:val="nil"/>
            </w:tcBorders>
            <w:noWrap w:val="0"/>
            <w:vAlign w:val="center"/>
          </w:tcPr>
          <w:p w14:paraId="63B08B42">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9.72</w:t>
            </w:r>
          </w:p>
        </w:tc>
        <w:tc>
          <w:tcPr>
            <w:tcW w:w="787" w:type="dxa"/>
            <w:tcBorders>
              <w:tl2br w:val="nil"/>
              <w:tr2bl w:val="nil"/>
            </w:tcBorders>
            <w:noWrap w:val="0"/>
            <w:vAlign w:val="center"/>
          </w:tcPr>
          <w:p w14:paraId="67C1A7BA">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6D172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7B789E30">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DA002</w:t>
            </w:r>
            <w:r>
              <w:rPr>
                <w:rFonts w:hint="default" w:ascii="Times New Roman" w:hAnsi="Times New Roman" w:cs="Times New Roman"/>
                <w:b w:val="0"/>
                <w:bCs w:val="0"/>
                <w:color w:val="auto"/>
                <w:sz w:val="21"/>
                <w:szCs w:val="21"/>
                <w:u w:val="none" w:color="auto"/>
                <w:lang w:eastAsia="zh-CN"/>
              </w:rPr>
              <w:t>排气筒</w:t>
            </w:r>
          </w:p>
        </w:tc>
        <w:tc>
          <w:tcPr>
            <w:tcW w:w="825" w:type="dxa"/>
            <w:vMerge w:val="restart"/>
            <w:tcBorders>
              <w:tl2br w:val="nil"/>
              <w:tr2bl w:val="nil"/>
            </w:tcBorders>
            <w:noWrap w:val="0"/>
            <w:vAlign w:val="center"/>
          </w:tcPr>
          <w:p w14:paraId="2172A0B8">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cs="Times New Roman"/>
                <w:b w:val="0"/>
                <w:bCs w:val="0"/>
                <w:color w:val="auto"/>
                <w:sz w:val="21"/>
                <w:szCs w:val="21"/>
                <w:u w:val="none" w:color="auto"/>
                <w:lang w:eastAsia="zh-CN"/>
              </w:rPr>
              <w:t>点</w:t>
            </w:r>
            <w:r>
              <w:rPr>
                <w:rFonts w:hint="default" w:ascii="Times New Roman" w:hAnsi="Times New Roman" w:cs="Times New Roman"/>
                <w:b w:val="0"/>
                <w:bCs w:val="0"/>
                <w:color w:val="auto"/>
                <w:sz w:val="21"/>
                <w:szCs w:val="21"/>
                <w:u w:val="none" w:color="auto"/>
              </w:rPr>
              <w:t>源</w:t>
            </w:r>
          </w:p>
        </w:tc>
        <w:tc>
          <w:tcPr>
            <w:tcW w:w="990" w:type="dxa"/>
            <w:tcBorders>
              <w:tl2br w:val="nil"/>
              <w:tr2bl w:val="nil"/>
            </w:tcBorders>
            <w:noWrap w:val="0"/>
            <w:vAlign w:val="center"/>
          </w:tcPr>
          <w:p w14:paraId="0F741614">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496937AB">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0A4CDC6A">
            <w:pPr>
              <w:pStyle w:val="24"/>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8.507</w:t>
            </w:r>
          </w:p>
        </w:tc>
        <w:tc>
          <w:tcPr>
            <w:tcW w:w="1065" w:type="dxa"/>
            <w:vMerge w:val="restart"/>
            <w:tcBorders>
              <w:tl2br w:val="nil"/>
              <w:tr2bl w:val="nil"/>
            </w:tcBorders>
            <w:noWrap w:val="0"/>
            <w:vAlign w:val="center"/>
          </w:tcPr>
          <w:p w14:paraId="684D8EA9">
            <w:pPr>
              <w:pStyle w:val="24"/>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96</w:t>
            </w:r>
          </w:p>
        </w:tc>
        <w:tc>
          <w:tcPr>
            <w:tcW w:w="854" w:type="dxa"/>
            <w:tcBorders>
              <w:tl2br w:val="nil"/>
              <w:tr2bl w:val="nil"/>
            </w:tcBorders>
            <w:noWrap w:val="0"/>
            <w:vAlign w:val="center"/>
          </w:tcPr>
          <w:p w14:paraId="3C817E0C">
            <w:pPr>
              <w:pStyle w:val="24"/>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0.71</w:t>
            </w:r>
          </w:p>
        </w:tc>
        <w:tc>
          <w:tcPr>
            <w:tcW w:w="765" w:type="dxa"/>
            <w:vMerge w:val="continue"/>
            <w:tcBorders>
              <w:tl2br w:val="nil"/>
              <w:tr2bl w:val="nil"/>
            </w:tcBorders>
            <w:noWrap w:val="0"/>
            <w:vAlign w:val="center"/>
          </w:tcPr>
          <w:p w14:paraId="46897A67">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7F07A346">
            <w:pPr>
              <w:pStyle w:val="24"/>
              <w:bidi w:val="0"/>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w:t>
            </w:r>
          </w:p>
        </w:tc>
      </w:tr>
      <w:tr w14:paraId="4E5B8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09ADA091">
            <w:pPr>
              <w:pStyle w:val="24"/>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402BD77C">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53210A2D">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氯化氢</w:t>
            </w:r>
          </w:p>
        </w:tc>
        <w:tc>
          <w:tcPr>
            <w:tcW w:w="690" w:type="dxa"/>
            <w:tcBorders>
              <w:tl2br w:val="nil"/>
              <w:tr2bl w:val="nil"/>
            </w:tcBorders>
            <w:noWrap w:val="0"/>
            <w:vAlign w:val="center"/>
          </w:tcPr>
          <w:p w14:paraId="4600C9C0">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50</w:t>
            </w:r>
          </w:p>
        </w:tc>
        <w:tc>
          <w:tcPr>
            <w:tcW w:w="1500" w:type="dxa"/>
            <w:tcBorders>
              <w:tl2br w:val="nil"/>
              <w:tr2bl w:val="nil"/>
            </w:tcBorders>
            <w:noWrap w:val="0"/>
            <w:vAlign w:val="center"/>
          </w:tcPr>
          <w:p w14:paraId="509BDAF7">
            <w:pPr>
              <w:pStyle w:val="24"/>
              <w:rPr>
                <w:rFonts w:hint="default"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4.861</w:t>
            </w:r>
          </w:p>
        </w:tc>
        <w:tc>
          <w:tcPr>
            <w:tcW w:w="1065" w:type="dxa"/>
            <w:vMerge w:val="continue"/>
            <w:tcBorders>
              <w:tl2br w:val="nil"/>
              <w:tr2bl w:val="nil"/>
            </w:tcBorders>
            <w:noWrap w:val="0"/>
            <w:vAlign w:val="center"/>
          </w:tcPr>
          <w:p w14:paraId="2B0AAF57">
            <w:pPr>
              <w:pStyle w:val="24"/>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128C516F">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9.72</w:t>
            </w:r>
          </w:p>
        </w:tc>
        <w:tc>
          <w:tcPr>
            <w:tcW w:w="765" w:type="dxa"/>
            <w:vMerge w:val="continue"/>
            <w:tcBorders>
              <w:tl2br w:val="nil"/>
              <w:tr2bl w:val="nil"/>
            </w:tcBorders>
            <w:noWrap w:val="0"/>
            <w:vAlign w:val="center"/>
          </w:tcPr>
          <w:p w14:paraId="0D80B8B6">
            <w:pPr>
              <w:pStyle w:val="24"/>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27182E70">
            <w:pPr>
              <w:pStyle w:val="24"/>
              <w:bidi w:val="0"/>
              <w:rPr>
                <w:rFonts w:hint="default" w:ascii="Times New Roman" w:hAnsi="Times New Roman" w:cs="Times New Roman"/>
                <w:b w:val="0"/>
                <w:bCs w:val="0"/>
                <w:color w:val="auto"/>
                <w:sz w:val="21"/>
                <w:szCs w:val="21"/>
                <w:u w:val="none" w:color="auto"/>
                <w:lang w:val="en-US" w:eastAsia="zh-CN"/>
              </w:rPr>
            </w:pPr>
          </w:p>
        </w:tc>
      </w:tr>
      <w:tr w14:paraId="4890A2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537DCFC5">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DA003排气筒</w:t>
            </w:r>
          </w:p>
        </w:tc>
        <w:tc>
          <w:tcPr>
            <w:tcW w:w="825" w:type="dxa"/>
            <w:vMerge w:val="restart"/>
            <w:tcBorders>
              <w:tl2br w:val="nil"/>
              <w:tr2bl w:val="nil"/>
            </w:tcBorders>
            <w:noWrap w:val="0"/>
            <w:vAlign w:val="center"/>
          </w:tcPr>
          <w:p w14:paraId="20CAF7C8">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点源</w:t>
            </w:r>
          </w:p>
        </w:tc>
        <w:tc>
          <w:tcPr>
            <w:tcW w:w="990" w:type="dxa"/>
            <w:tcBorders>
              <w:tl2br w:val="nil"/>
              <w:tr2bl w:val="nil"/>
            </w:tcBorders>
            <w:noWrap w:val="0"/>
            <w:vAlign w:val="center"/>
          </w:tcPr>
          <w:p w14:paraId="64D32801">
            <w:pPr>
              <w:pStyle w:val="24"/>
              <w:bidi w:val="0"/>
              <w:rPr>
                <w:rFonts w:hint="eastAsia"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6C82EEB0">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071AD29C">
            <w:pPr>
              <w:pStyle w:val="24"/>
              <w:rPr>
                <w:rFonts w:hint="default"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31.583</w:t>
            </w:r>
          </w:p>
        </w:tc>
        <w:tc>
          <w:tcPr>
            <w:tcW w:w="1065" w:type="dxa"/>
            <w:vMerge w:val="restart"/>
            <w:tcBorders>
              <w:tl2br w:val="nil"/>
              <w:tr2bl w:val="nil"/>
            </w:tcBorders>
            <w:noWrap w:val="0"/>
            <w:vAlign w:val="center"/>
          </w:tcPr>
          <w:p w14:paraId="63C7A947">
            <w:pPr>
              <w:pStyle w:val="24"/>
              <w:rPr>
                <w:rFonts w:hint="default" w:cs="Times New Roman"/>
                <w:b w:val="0"/>
                <w:bCs w:val="0"/>
                <w:i w:val="0"/>
                <w:color w:val="auto"/>
                <w:kern w:val="0"/>
                <w:sz w:val="21"/>
                <w:szCs w:val="21"/>
                <w:highlight w:val="none"/>
                <w:u w:val="none" w:color="auto"/>
                <w:lang w:val="en-US" w:eastAsia="zh-CN" w:bidi="ar"/>
              </w:rPr>
            </w:pPr>
            <w:r>
              <w:rPr>
                <w:rFonts w:hint="eastAsia" w:cs="Times New Roman"/>
                <w:b w:val="0"/>
                <w:bCs w:val="0"/>
                <w:i w:val="0"/>
                <w:color w:val="auto"/>
                <w:kern w:val="0"/>
                <w:sz w:val="21"/>
                <w:szCs w:val="21"/>
                <w:highlight w:val="none"/>
                <w:u w:val="none" w:color="auto"/>
                <w:lang w:val="en-US" w:eastAsia="zh-CN" w:bidi="ar"/>
              </w:rPr>
              <w:t>96</w:t>
            </w:r>
          </w:p>
        </w:tc>
        <w:tc>
          <w:tcPr>
            <w:tcW w:w="854" w:type="dxa"/>
            <w:tcBorders>
              <w:tl2br w:val="nil"/>
              <w:tr2bl w:val="nil"/>
            </w:tcBorders>
            <w:noWrap w:val="0"/>
            <w:vAlign w:val="center"/>
          </w:tcPr>
          <w:p w14:paraId="4C652A30">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2.63</w:t>
            </w:r>
          </w:p>
        </w:tc>
        <w:tc>
          <w:tcPr>
            <w:tcW w:w="765" w:type="dxa"/>
            <w:vMerge w:val="continue"/>
            <w:tcBorders>
              <w:tl2br w:val="nil"/>
              <w:tr2bl w:val="nil"/>
            </w:tcBorders>
            <w:noWrap w:val="0"/>
            <w:vAlign w:val="center"/>
          </w:tcPr>
          <w:p w14:paraId="14051E27">
            <w:pPr>
              <w:pStyle w:val="24"/>
              <w:bidi w:val="0"/>
              <w:rPr>
                <w:rFonts w:hint="eastAsia"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574B0DC9">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3F56C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2A46128C">
            <w:pPr>
              <w:pStyle w:val="24"/>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32165F34">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2C52F026">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二甲苯</w:t>
            </w:r>
          </w:p>
        </w:tc>
        <w:tc>
          <w:tcPr>
            <w:tcW w:w="690" w:type="dxa"/>
            <w:tcBorders>
              <w:tl2br w:val="nil"/>
              <w:tr2bl w:val="nil"/>
            </w:tcBorders>
            <w:noWrap w:val="0"/>
            <w:vAlign w:val="center"/>
          </w:tcPr>
          <w:p w14:paraId="48715A0F">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200</w:t>
            </w:r>
          </w:p>
        </w:tc>
        <w:tc>
          <w:tcPr>
            <w:tcW w:w="1500" w:type="dxa"/>
            <w:tcBorders>
              <w:tl2br w:val="nil"/>
              <w:tr2bl w:val="nil"/>
            </w:tcBorders>
            <w:noWrap w:val="0"/>
            <w:vAlign w:val="center"/>
          </w:tcPr>
          <w:p w14:paraId="7A5FAB51">
            <w:pPr>
              <w:pStyle w:val="24"/>
              <w:rPr>
                <w:rFonts w:hint="default"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2.753</w:t>
            </w:r>
          </w:p>
        </w:tc>
        <w:tc>
          <w:tcPr>
            <w:tcW w:w="1065" w:type="dxa"/>
            <w:vMerge w:val="continue"/>
            <w:tcBorders>
              <w:tl2br w:val="nil"/>
              <w:tr2bl w:val="nil"/>
            </w:tcBorders>
            <w:noWrap w:val="0"/>
            <w:vAlign w:val="center"/>
          </w:tcPr>
          <w:p w14:paraId="792BF52B">
            <w:pPr>
              <w:pStyle w:val="24"/>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469D3A80">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1.38</w:t>
            </w:r>
          </w:p>
        </w:tc>
        <w:tc>
          <w:tcPr>
            <w:tcW w:w="765" w:type="dxa"/>
            <w:vMerge w:val="continue"/>
            <w:tcBorders>
              <w:tl2br w:val="nil"/>
              <w:tr2bl w:val="nil"/>
            </w:tcBorders>
            <w:noWrap w:val="0"/>
            <w:vAlign w:val="center"/>
          </w:tcPr>
          <w:p w14:paraId="15B15175">
            <w:pPr>
              <w:pStyle w:val="24"/>
              <w:bidi w:val="0"/>
              <w:rPr>
                <w:rFonts w:hint="eastAsia"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657CE0CE">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4E0753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6D7C75B4">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1#厂房</w:t>
            </w:r>
          </w:p>
        </w:tc>
        <w:tc>
          <w:tcPr>
            <w:tcW w:w="825" w:type="dxa"/>
            <w:vMerge w:val="restart"/>
            <w:tcBorders>
              <w:tl2br w:val="nil"/>
              <w:tr2bl w:val="nil"/>
            </w:tcBorders>
            <w:noWrap w:val="0"/>
            <w:vAlign w:val="center"/>
          </w:tcPr>
          <w:p w14:paraId="33DAA376">
            <w:pPr>
              <w:pStyle w:val="24"/>
              <w:bidi w:val="0"/>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面源</w:t>
            </w:r>
          </w:p>
        </w:tc>
        <w:tc>
          <w:tcPr>
            <w:tcW w:w="990" w:type="dxa"/>
            <w:tcBorders>
              <w:tl2br w:val="nil"/>
              <w:tr2bl w:val="nil"/>
            </w:tcBorders>
            <w:noWrap w:val="0"/>
            <w:vAlign w:val="center"/>
          </w:tcPr>
          <w:p w14:paraId="3BED752C">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TSP</w:t>
            </w:r>
          </w:p>
        </w:tc>
        <w:tc>
          <w:tcPr>
            <w:tcW w:w="690" w:type="dxa"/>
            <w:tcBorders>
              <w:tl2br w:val="nil"/>
              <w:tr2bl w:val="nil"/>
            </w:tcBorders>
            <w:noWrap w:val="0"/>
            <w:vAlign w:val="center"/>
          </w:tcPr>
          <w:p w14:paraId="206DCB71">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cs="Times New Roman"/>
                <w:b w:val="0"/>
                <w:bCs w:val="0"/>
                <w:color w:val="auto"/>
                <w:sz w:val="21"/>
                <w:szCs w:val="21"/>
                <w:u w:val="none" w:color="auto"/>
                <w:lang w:val="en-US" w:eastAsia="zh-CN"/>
              </w:rPr>
              <w:t>900</w:t>
            </w:r>
          </w:p>
        </w:tc>
        <w:tc>
          <w:tcPr>
            <w:tcW w:w="1500" w:type="dxa"/>
            <w:tcBorders>
              <w:tl2br w:val="nil"/>
              <w:tr2bl w:val="nil"/>
            </w:tcBorders>
            <w:noWrap w:val="0"/>
            <w:vAlign w:val="center"/>
          </w:tcPr>
          <w:p w14:paraId="17260E1F">
            <w:pPr>
              <w:pStyle w:val="24"/>
              <w:rPr>
                <w:rFonts w:hint="default" w:ascii="Times New Roman" w:hAnsi="Times New Roman"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kern w:val="2"/>
                <w:sz w:val="21"/>
                <w:szCs w:val="21"/>
                <w:u w:val="none" w:color="auto"/>
                <w:lang w:val="en-US" w:eastAsia="zh-CN" w:bidi="ar-SA"/>
              </w:rPr>
              <w:t>57.093</w:t>
            </w:r>
          </w:p>
        </w:tc>
        <w:tc>
          <w:tcPr>
            <w:tcW w:w="1065" w:type="dxa"/>
            <w:vMerge w:val="restart"/>
            <w:tcBorders>
              <w:tl2br w:val="nil"/>
              <w:tr2bl w:val="nil"/>
            </w:tcBorders>
            <w:noWrap w:val="0"/>
            <w:vAlign w:val="center"/>
          </w:tcPr>
          <w:p w14:paraId="2F24EFE7">
            <w:pPr>
              <w:pStyle w:val="24"/>
              <w:rPr>
                <w:rFonts w:hint="default" w:ascii="Times New Roman" w:hAnsi="Times New Roman"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75</w:t>
            </w:r>
          </w:p>
        </w:tc>
        <w:tc>
          <w:tcPr>
            <w:tcW w:w="854" w:type="dxa"/>
            <w:tcBorders>
              <w:tl2br w:val="nil"/>
              <w:tr2bl w:val="nil"/>
            </w:tcBorders>
            <w:noWrap w:val="0"/>
            <w:vAlign w:val="center"/>
          </w:tcPr>
          <w:p w14:paraId="4DFA8118">
            <w:pPr>
              <w:pStyle w:val="24"/>
              <w:rPr>
                <w:rFonts w:hint="default" w:ascii="Times New Roman" w:hAnsi="Times New Roman"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kern w:val="2"/>
                <w:sz w:val="21"/>
                <w:szCs w:val="21"/>
                <w:u w:val="none" w:color="auto"/>
                <w:lang w:val="en-US" w:eastAsia="zh-CN" w:bidi="ar-SA"/>
              </w:rPr>
              <w:t>6.34</w:t>
            </w:r>
          </w:p>
        </w:tc>
        <w:tc>
          <w:tcPr>
            <w:tcW w:w="765" w:type="dxa"/>
            <w:vMerge w:val="continue"/>
            <w:tcBorders>
              <w:tl2br w:val="nil"/>
              <w:tr2bl w:val="nil"/>
            </w:tcBorders>
            <w:noWrap w:val="0"/>
            <w:vAlign w:val="center"/>
          </w:tcPr>
          <w:p w14:paraId="7F53B753">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26308475">
            <w:pPr>
              <w:pStyle w:val="24"/>
              <w:bidi w:val="0"/>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w:t>
            </w:r>
          </w:p>
        </w:tc>
      </w:tr>
      <w:tr w14:paraId="47A0C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038FAD8E">
            <w:pPr>
              <w:pStyle w:val="24"/>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47DC696F">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5E26BC2F">
            <w:pPr>
              <w:pStyle w:val="24"/>
              <w:bidi w:val="0"/>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4DCC549F">
            <w:pPr>
              <w:pStyle w:val="24"/>
              <w:bidi w:val="0"/>
              <w:rPr>
                <w:rFonts w:hint="default" w:ascii="Times New Roman" w:hAnsi="Times New Roman"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5C835604">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9.365</w:t>
            </w:r>
          </w:p>
        </w:tc>
        <w:tc>
          <w:tcPr>
            <w:tcW w:w="1065" w:type="dxa"/>
            <w:vMerge w:val="continue"/>
            <w:tcBorders>
              <w:tl2br w:val="nil"/>
              <w:tr2bl w:val="nil"/>
            </w:tcBorders>
            <w:noWrap w:val="0"/>
            <w:vAlign w:val="center"/>
          </w:tcPr>
          <w:p w14:paraId="6A52628D">
            <w:pPr>
              <w:pStyle w:val="24"/>
              <w:rPr>
                <w:rFonts w:hint="default"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3B399A33">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0.78</w:t>
            </w:r>
          </w:p>
        </w:tc>
        <w:tc>
          <w:tcPr>
            <w:tcW w:w="765" w:type="dxa"/>
            <w:vMerge w:val="continue"/>
            <w:tcBorders>
              <w:tl2br w:val="nil"/>
              <w:tr2bl w:val="nil"/>
            </w:tcBorders>
            <w:noWrap w:val="0"/>
            <w:vAlign w:val="center"/>
          </w:tcPr>
          <w:p w14:paraId="5C39ED48">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099DD2B6">
            <w:pPr>
              <w:pStyle w:val="24"/>
              <w:bidi w:val="0"/>
              <w:rPr>
                <w:rFonts w:hint="default" w:ascii="Times New Roman" w:hAnsi="Times New Roman" w:cs="Times New Roman"/>
                <w:b w:val="0"/>
                <w:bCs w:val="0"/>
                <w:color w:val="auto"/>
                <w:sz w:val="21"/>
                <w:szCs w:val="21"/>
                <w:u w:val="none" w:color="auto"/>
                <w:lang w:val="en-US" w:eastAsia="zh-CN"/>
              </w:rPr>
            </w:pPr>
          </w:p>
        </w:tc>
      </w:tr>
      <w:tr w14:paraId="740FE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04B93CC9">
            <w:pPr>
              <w:pStyle w:val="24"/>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0A047299">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34162812">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氯化氢</w:t>
            </w:r>
          </w:p>
        </w:tc>
        <w:tc>
          <w:tcPr>
            <w:tcW w:w="690" w:type="dxa"/>
            <w:tcBorders>
              <w:tl2br w:val="nil"/>
              <w:tr2bl w:val="nil"/>
            </w:tcBorders>
            <w:noWrap w:val="0"/>
            <w:vAlign w:val="center"/>
          </w:tcPr>
          <w:p w14:paraId="6A1C66DC">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50</w:t>
            </w:r>
          </w:p>
        </w:tc>
        <w:tc>
          <w:tcPr>
            <w:tcW w:w="1500" w:type="dxa"/>
            <w:tcBorders>
              <w:tl2br w:val="nil"/>
              <w:tr2bl w:val="nil"/>
            </w:tcBorders>
            <w:noWrap w:val="0"/>
            <w:vAlign w:val="center"/>
          </w:tcPr>
          <w:p w14:paraId="0C0AEFB9">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2.719</w:t>
            </w:r>
          </w:p>
        </w:tc>
        <w:tc>
          <w:tcPr>
            <w:tcW w:w="1065" w:type="dxa"/>
            <w:vMerge w:val="continue"/>
            <w:tcBorders>
              <w:tl2br w:val="nil"/>
              <w:tr2bl w:val="nil"/>
            </w:tcBorders>
            <w:noWrap w:val="0"/>
            <w:vAlign w:val="center"/>
          </w:tcPr>
          <w:p w14:paraId="118CDFD0">
            <w:pPr>
              <w:pStyle w:val="24"/>
              <w:rPr>
                <w:rFonts w:hint="eastAsia"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459902EF">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5.44</w:t>
            </w:r>
          </w:p>
        </w:tc>
        <w:tc>
          <w:tcPr>
            <w:tcW w:w="765" w:type="dxa"/>
            <w:vMerge w:val="continue"/>
            <w:tcBorders>
              <w:tl2br w:val="nil"/>
              <w:tr2bl w:val="nil"/>
            </w:tcBorders>
            <w:noWrap w:val="0"/>
            <w:vAlign w:val="center"/>
          </w:tcPr>
          <w:p w14:paraId="1179883F">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241CEA6A">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5A0289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39CA293B">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2#厂房</w:t>
            </w:r>
          </w:p>
        </w:tc>
        <w:tc>
          <w:tcPr>
            <w:tcW w:w="825" w:type="dxa"/>
            <w:vMerge w:val="restart"/>
            <w:tcBorders>
              <w:tl2br w:val="nil"/>
              <w:tr2bl w:val="nil"/>
            </w:tcBorders>
            <w:noWrap w:val="0"/>
            <w:vAlign w:val="center"/>
          </w:tcPr>
          <w:p w14:paraId="79C4A9FE">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面源</w:t>
            </w:r>
          </w:p>
        </w:tc>
        <w:tc>
          <w:tcPr>
            <w:tcW w:w="990" w:type="dxa"/>
            <w:tcBorders>
              <w:tl2br w:val="nil"/>
              <w:tr2bl w:val="nil"/>
            </w:tcBorders>
            <w:noWrap w:val="0"/>
            <w:vAlign w:val="center"/>
          </w:tcPr>
          <w:p w14:paraId="68A8234E">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40817837">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6CAE75A4">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27.147</w:t>
            </w:r>
          </w:p>
        </w:tc>
        <w:tc>
          <w:tcPr>
            <w:tcW w:w="1065" w:type="dxa"/>
            <w:vMerge w:val="restart"/>
            <w:tcBorders>
              <w:tl2br w:val="nil"/>
              <w:tr2bl w:val="nil"/>
            </w:tcBorders>
            <w:noWrap w:val="0"/>
            <w:vAlign w:val="center"/>
          </w:tcPr>
          <w:p w14:paraId="4F46D70C">
            <w:pPr>
              <w:pStyle w:val="24"/>
              <w:rPr>
                <w:rFonts w:hint="default"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69</w:t>
            </w:r>
          </w:p>
        </w:tc>
        <w:tc>
          <w:tcPr>
            <w:tcW w:w="854" w:type="dxa"/>
            <w:tcBorders>
              <w:tl2br w:val="nil"/>
              <w:tr2bl w:val="nil"/>
            </w:tcBorders>
            <w:noWrap w:val="0"/>
            <w:vAlign w:val="center"/>
          </w:tcPr>
          <w:p w14:paraId="72899764">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2.26</w:t>
            </w:r>
          </w:p>
        </w:tc>
        <w:tc>
          <w:tcPr>
            <w:tcW w:w="765" w:type="dxa"/>
            <w:vMerge w:val="continue"/>
            <w:tcBorders>
              <w:tl2br w:val="nil"/>
              <w:tr2bl w:val="nil"/>
            </w:tcBorders>
            <w:noWrap w:val="0"/>
            <w:vAlign w:val="center"/>
          </w:tcPr>
          <w:p w14:paraId="7104A6DB">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07A6AF01">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643D96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6C8BB5FB">
            <w:pPr>
              <w:pStyle w:val="24"/>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567D545E">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6C90EB32">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二甲苯</w:t>
            </w:r>
          </w:p>
        </w:tc>
        <w:tc>
          <w:tcPr>
            <w:tcW w:w="690" w:type="dxa"/>
            <w:tcBorders>
              <w:tl2br w:val="nil"/>
              <w:tr2bl w:val="nil"/>
            </w:tcBorders>
            <w:noWrap w:val="0"/>
            <w:vAlign w:val="center"/>
          </w:tcPr>
          <w:p w14:paraId="25573221">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200</w:t>
            </w:r>
          </w:p>
        </w:tc>
        <w:tc>
          <w:tcPr>
            <w:tcW w:w="1500" w:type="dxa"/>
            <w:tcBorders>
              <w:tl2br w:val="nil"/>
              <w:tr2bl w:val="nil"/>
            </w:tcBorders>
            <w:noWrap w:val="0"/>
            <w:vAlign w:val="center"/>
          </w:tcPr>
          <w:p w14:paraId="794B10FE">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2.076</w:t>
            </w:r>
          </w:p>
        </w:tc>
        <w:tc>
          <w:tcPr>
            <w:tcW w:w="1065" w:type="dxa"/>
            <w:vMerge w:val="continue"/>
            <w:tcBorders>
              <w:tl2br w:val="nil"/>
              <w:tr2bl w:val="nil"/>
            </w:tcBorders>
            <w:noWrap w:val="0"/>
            <w:vAlign w:val="center"/>
          </w:tcPr>
          <w:p w14:paraId="5CCC212C">
            <w:pPr>
              <w:pStyle w:val="24"/>
              <w:rPr>
                <w:rFonts w:hint="eastAsia"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46BEED67">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1.04</w:t>
            </w:r>
          </w:p>
        </w:tc>
        <w:tc>
          <w:tcPr>
            <w:tcW w:w="765" w:type="dxa"/>
            <w:vMerge w:val="continue"/>
            <w:tcBorders>
              <w:tl2br w:val="nil"/>
              <w:tr2bl w:val="nil"/>
            </w:tcBorders>
            <w:noWrap w:val="0"/>
            <w:vAlign w:val="center"/>
          </w:tcPr>
          <w:p w14:paraId="74971490">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3CCA6D90">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bl>
    <w:p w14:paraId="59A84983">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从估算结果可知，本项目Pmax最大值出现为</w:t>
      </w:r>
      <w:r>
        <w:rPr>
          <w:rFonts w:hint="eastAsia" w:ascii="Times New Roman" w:hAnsi="Times New Roman" w:cs="Times New Roman"/>
          <w:color w:val="auto"/>
          <w:u w:val="none" w:color="auto"/>
          <w:lang w:val="en-US" w:eastAsia="zh-CN"/>
        </w:rPr>
        <w:t>有</w:t>
      </w:r>
      <w:r>
        <w:rPr>
          <w:rFonts w:hint="default" w:ascii="Times New Roman" w:hAnsi="Times New Roman" w:cs="Times New Roman"/>
          <w:color w:val="auto"/>
          <w:u w:val="none" w:color="auto"/>
          <w:lang w:eastAsia="zh-CN"/>
        </w:rPr>
        <w:t>组织</w:t>
      </w:r>
      <w:r>
        <w:rPr>
          <w:rFonts w:hint="default" w:ascii="Times New Roman" w:hAnsi="Times New Roman" w:cs="Times New Roman"/>
          <w:color w:val="auto"/>
          <w:u w:val="none" w:color="auto"/>
        </w:rPr>
        <w:t>排放的</w:t>
      </w:r>
      <w:r>
        <w:rPr>
          <w:rFonts w:hint="eastAsia" w:ascii="Times New Roman" w:hAnsi="Times New Roman" w:cs="Times New Roman"/>
          <w:color w:val="auto"/>
          <w:u w:val="none" w:color="auto"/>
          <w:lang w:val="en-US" w:eastAsia="zh-CN"/>
        </w:rPr>
        <w:t>DA002排气筒中的氯化氢</w:t>
      </w:r>
      <w:r>
        <w:rPr>
          <w:rFonts w:hint="default" w:ascii="Times New Roman" w:hAnsi="Times New Roman" w:cs="Times New Roman"/>
          <w:color w:val="auto"/>
          <w:u w:val="none" w:color="auto"/>
        </w:rPr>
        <w:t>，Cmax为</w:t>
      </w:r>
      <w:r>
        <w:rPr>
          <w:rFonts w:hint="eastAsia" w:ascii="Times New Roman" w:hAnsi="Times New Roman" w:cs="Times New Roman"/>
          <w:color w:val="auto"/>
          <w:u w:val="none" w:color="auto"/>
          <w:lang w:val="en-US" w:eastAsia="zh-CN"/>
        </w:rPr>
        <w:t>4.861</w:t>
      </w:r>
      <w:r>
        <w:rPr>
          <w:rFonts w:hint="default" w:ascii="Times New Roman" w:hAnsi="Times New Roman" w:cs="Times New Roman"/>
          <w:color w:val="auto"/>
          <w:u w:val="none" w:color="auto"/>
        </w:rPr>
        <w:t>ug/m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，Pmax</w:t>
      </w:r>
      <w:r>
        <w:rPr>
          <w:rFonts w:hint="eastAsia" w:ascii="Times New Roman" w:hAnsi="Times New Roman" w:cs="Times New Roman"/>
          <w:color w:val="auto"/>
          <w:u w:val="none" w:color="auto"/>
          <w:lang w:val="en-US" w:eastAsia="zh-CN"/>
        </w:rPr>
        <w:t>9.72</w:t>
      </w:r>
      <w:r>
        <w:rPr>
          <w:rFonts w:hint="default" w:ascii="Times New Roman" w:hAnsi="Times New Roman" w:cs="Times New Roman"/>
          <w:color w:val="auto"/>
          <w:u w:val="none" w:color="auto"/>
        </w:rPr>
        <w:t>%。根据《环境影响评价技术导则大气环境》（HJ2.2-2018）分级判据，确定本项目大气环境影响评价工作等级为二级，不进行进一步预测和分析，只对污染物排放量进行核算，可不设大气环境防护距离。</w:t>
      </w:r>
    </w:p>
    <w:p w14:paraId="65CCA0D5">
      <w:pPr>
        <w:pStyle w:val="20"/>
        <w:ind w:firstLine="482"/>
        <w:rPr>
          <w:rFonts w:hint="default" w:ascii="Times New Roman" w:hAnsi="Times New Roman" w:eastAsia="宋体" w:cs="Times New Roman"/>
          <w:b/>
          <w:bCs/>
          <w:color w:val="auto"/>
          <w:highlight w:val="none"/>
          <w:u w:val="none" w:color="auto"/>
          <w:lang w:eastAsia="zh-CN"/>
        </w:rPr>
      </w:pPr>
      <w:r>
        <w:rPr>
          <w:rFonts w:hint="default" w:ascii="Times New Roman" w:hAnsi="Times New Roman" w:cs="Times New Roman"/>
          <w:b/>
          <w:bCs/>
          <w:color w:val="auto"/>
          <w:highlight w:val="none"/>
          <w:u w:val="none" w:color="auto"/>
          <w:lang w:val="en-US" w:eastAsia="zh-CN"/>
        </w:rPr>
        <w:t>2</w:t>
      </w:r>
      <w:r>
        <w:rPr>
          <w:rFonts w:hint="default" w:ascii="Times New Roman" w:hAnsi="Times New Roman" w:cs="Times New Roman"/>
          <w:b/>
          <w:bCs/>
          <w:color w:val="auto"/>
          <w:highlight w:val="none"/>
          <w:u w:val="none" w:color="auto"/>
        </w:rPr>
        <w:t>、大气环境影响评价</w:t>
      </w:r>
      <w:r>
        <w:rPr>
          <w:rFonts w:hint="default" w:ascii="Times New Roman" w:hAnsi="Times New Roman" w:cs="Times New Roman"/>
          <w:b/>
          <w:bCs/>
          <w:color w:val="auto"/>
          <w:highlight w:val="none"/>
          <w:u w:val="none" w:color="auto"/>
          <w:lang w:eastAsia="zh-CN"/>
        </w:rPr>
        <w:t>范围</w:t>
      </w:r>
    </w:p>
    <w:p w14:paraId="0BD825DC">
      <w:pPr>
        <w:pStyle w:val="20"/>
        <w:ind w:firstLine="480"/>
        <w:rPr>
          <w:rFonts w:hint="default" w:ascii="Times New Roman" w:hAnsi="Times New Roman" w:eastAsia="宋体" w:cs="Times New Roman"/>
          <w:color w:val="auto"/>
          <w:highlight w:val="green"/>
          <w:u w:val="none" w:color="auto"/>
          <w:lang w:val="en-US" w:eastAsia="zh-CN"/>
        </w:rPr>
      </w:pPr>
      <w:r>
        <w:rPr>
          <w:rFonts w:hint="default" w:ascii="Times New Roman" w:hAnsi="Times New Roman" w:eastAsia="宋体" w:cs="Times New Roman"/>
          <w:color w:val="auto"/>
          <w:highlight w:val="none"/>
          <w:u w:val="none" w:color="auto"/>
          <w:lang w:val="en-US" w:eastAsia="zh-CN"/>
        </w:rPr>
        <w:t>根据《环境影响评价技术导则-大气环境》(HJ 2.2-2018)，二级评价项目大气环境影响评价范围</w:t>
      </w:r>
      <w:r>
        <w:rPr>
          <w:rFonts w:hint="default" w:ascii="Times New Roman" w:hAnsi="Times New Roman" w:eastAsia="宋体" w:cs="Times New Roman"/>
          <w:color w:val="auto"/>
          <w:highlight w:val="none"/>
          <w:u w:val="none" w:color="auto"/>
        </w:rPr>
        <w:t>定</w:t>
      </w:r>
      <w:r>
        <w:rPr>
          <w:rFonts w:hint="default" w:ascii="Times New Roman" w:hAnsi="Times New Roman" w:eastAsia="宋体" w:cs="Times New Roman"/>
          <w:color w:val="auto"/>
          <w:highlight w:val="none"/>
          <w:u w:val="none" w:color="auto"/>
          <w:lang w:eastAsia="zh-CN"/>
        </w:rPr>
        <w:t>为</w:t>
      </w:r>
      <w:r>
        <w:rPr>
          <w:rFonts w:hint="default" w:ascii="Times New Roman" w:hAnsi="Times New Roman" w:eastAsia="宋体" w:cs="Times New Roman"/>
          <w:color w:val="auto"/>
          <w:highlight w:val="none"/>
          <w:u w:val="none" w:color="auto"/>
        </w:rPr>
        <w:t>以项目厂址为中心区域，边长为5km的矩形范围</w:t>
      </w:r>
      <w:r>
        <w:rPr>
          <w:rFonts w:hint="default" w:ascii="Times New Roman" w:hAnsi="Times New Roman" w:eastAsia="宋体" w:cs="Times New Roman"/>
          <w:color w:val="auto"/>
          <w:highlight w:val="none"/>
          <w:u w:val="none" w:color="auto"/>
          <w:lang w:val="en-US" w:eastAsia="zh-CN"/>
        </w:rPr>
        <w:t>。</w:t>
      </w:r>
    </w:p>
    <w:p w14:paraId="2F844B22">
      <w:pPr>
        <w:pStyle w:val="4"/>
        <w:rPr>
          <w:rFonts w:hint="default" w:ascii="Times New Roman" w:hAnsi="Times New Roman" w:eastAsia="宋体" w:cs="Times New Roman"/>
          <w:color w:val="auto"/>
          <w:u w:val="none" w:color="auto"/>
          <w:lang w:eastAsia="zh-CN"/>
        </w:rPr>
      </w:pPr>
      <w:bookmarkStart w:id="445" w:name="_Toc8446"/>
      <w:bookmarkStart w:id="446" w:name="_Toc31607"/>
      <w:bookmarkStart w:id="447" w:name="_Toc30416"/>
      <w:bookmarkStart w:id="448" w:name="_Toc29505"/>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lang w:eastAsia="zh-CN"/>
        </w:rPr>
        <w:t>地表水</w:t>
      </w:r>
      <w:r>
        <w:rPr>
          <w:rFonts w:hint="default" w:ascii="Times New Roman" w:hAnsi="Times New Roman" w:cs="Times New Roman"/>
          <w:color w:val="auto"/>
          <w:u w:val="none" w:color="auto"/>
        </w:rPr>
        <w:t>环境影响评价工作等级</w:t>
      </w:r>
      <w:r>
        <w:rPr>
          <w:rFonts w:hint="default" w:ascii="Times New Roman" w:hAnsi="Times New Roman" w:cs="Times New Roman"/>
          <w:color w:val="auto"/>
          <w:u w:val="none" w:color="auto"/>
          <w:lang w:eastAsia="zh-CN"/>
        </w:rPr>
        <w:t>及评价范围</w:t>
      </w:r>
      <w:bookmarkEnd w:id="445"/>
      <w:bookmarkEnd w:id="446"/>
      <w:bookmarkEnd w:id="447"/>
      <w:bookmarkEnd w:id="448"/>
    </w:p>
    <w:p w14:paraId="32E497AE">
      <w:pPr>
        <w:pStyle w:val="20"/>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lang w:val="en-US" w:eastAsia="zh-CN"/>
        </w:rPr>
        <w:t>1</w:t>
      </w:r>
      <w:r>
        <w:rPr>
          <w:rFonts w:hint="default" w:ascii="Times New Roman" w:hAnsi="Times New Roman" w:cs="Times New Roman"/>
          <w:b/>
          <w:bCs/>
          <w:color w:val="auto"/>
          <w:u w:val="none" w:color="auto"/>
        </w:rPr>
        <w:t>、地表水环境影响评价等级</w:t>
      </w:r>
    </w:p>
    <w:p w14:paraId="62239CE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sz w:val="24"/>
          <w:u w:val="none" w:color="auto"/>
        </w:rPr>
        <w:t>《环境影响评价技术导则 地表水环境》（HJ2.3-2018）的评价等级判定依据如下表所示。</w:t>
      </w:r>
    </w:p>
    <w:p w14:paraId="3D4CA595">
      <w:pPr>
        <w:pStyle w:val="22"/>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3</w:t>
      </w:r>
      <w:r>
        <w:rPr>
          <w:rFonts w:hint="default"/>
          <w:color w:val="auto"/>
          <w:u w:val="none" w:color="auto"/>
        </w:rPr>
        <w:t xml:space="preserve"> 地表水环境评价工作等级判定表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0"/>
        <w:gridCol w:w="1697"/>
        <w:gridCol w:w="5437"/>
      </w:tblGrid>
      <w:tr w14:paraId="63A200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33" w:hRule="atLeast"/>
          <w:jc w:val="center"/>
        </w:trPr>
        <w:tc>
          <w:tcPr>
            <w:tcW w:w="1370" w:type="dxa"/>
            <w:vMerge w:val="restart"/>
            <w:noWrap w:val="0"/>
            <w:vAlign w:val="center"/>
          </w:tcPr>
          <w:p w14:paraId="41FBF34B">
            <w:pPr>
              <w:pStyle w:val="24"/>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评价等级</w:t>
            </w:r>
          </w:p>
        </w:tc>
        <w:tc>
          <w:tcPr>
            <w:tcW w:w="7134" w:type="dxa"/>
            <w:gridSpan w:val="2"/>
            <w:noWrap w:val="0"/>
            <w:vAlign w:val="center"/>
          </w:tcPr>
          <w:p w14:paraId="0F051A11">
            <w:pPr>
              <w:pStyle w:val="24"/>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受纳水体情况</w:t>
            </w:r>
          </w:p>
        </w:tc>
      </w:tr>
      <w:tr w14:paraId="29B030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vMerge w:val="continue"/>
            <w:noWrap w:val="0"/>
            <w:vAlign w:val="center"/>
          </w:tcPr>
          <w:p w14:paraId="0D4E117E">
            <w:pPr>
              <w:pStyle w:val="24"/>
              <w:rPr>
                <w:rFonts w:hint="default" w:ascii="Times New Roman" w:hAnsi="Times New Roman" w:cs="Times New Roman"/>
                <w:b/>
                <w:bCs/>
                <w:color w:val="auto"/>
                <w:u w:val="none" w:color="auto"/>
                <w:lang w:val="en-US" w:eastAsia="zh-CN"/>
              </w:rPr>
            </w:pPr>
          </w:p>
        </w:tc>
        <w:tc>
          <w:tcPr>
            <w:tcW w:w="1697" w:type="dxa"/>
            <w:noWrap w:val="0"/>
            <w:vAlign w:val="center"/>
          </w:tcPr>
          <w:p w14:paraId="2E846584">
            <w:pPr>
              <w:pStyle w:val="24"/>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排放方式</w:t>
            </w:r>
          </w:p>
        </w:tc>
        <w:tc>
          <w:tcPr>
            <w:tcW w:w="5437" w:type="dxa"/>
            <w:noWrap w:val="0"/>
            <w:vAlign w:val="center"/>
          </w:tcPr>
          <w:p w14:paraId="36FAAF2B">
            <w:pPr>
              <w:pStyle w:val="24"/>
              <w:rPr>
                <w:rFonts w:hint="default" w:ascii="Times New Roman" w:hAnsi="Times New Roman" w:cs="Times New Roman"/>
                <w:b/>
                <w:bCs/>
                <w:color w:val="auto"/>
                <w:u w:val="none" w:color="auto"/>
                <w:lang w:val="en-US" w:eastAsia="zh-CN"/>
              </w:rPr>
            </w:pPr>
            <w:r>
              <w:rPr>
                <w:rFonts w:hint="default" w:ascii="Times New Roman" w:hAnsi="Times New Roman" w:cs="Times New Roman"/>
                <w:b/>
                <w:bCs/>
                <w:color w:val="auto"/>
                <w:u w:val="none" w:color="auto"/>
                <w:lang w:val="en-US" w:eastAsia="zh-CN"/>
              </w:rPr>
              <w:t>废水排放量 Q/（m</w:t>
            </w:r>
            <w:r>
              <w:rPr>
                <w:rFonts w:hint="default" w:ascii="Times New Roman" w:hAnsi="Times New Roman" w:cs="Times New Roman"/>
                <w:b/>
                <w:bCs/>
                <w:color w:val="auto"/>
                <w:u w:val="none" w:color="auto"/>
                <w:vertAlign w:val="superscript"/>
                <w:lang w:val="en-US" w:eastAsia="zh-CN"/>
              </w:rPr>
              <w:t>3</w:t>
            </w:r>
            <w:r>
              <w:rPr>
                <w:rFonts w:hint="default" w:ascii="Times New Roman" w:hAnsi="Times New Roman" w:cs="Times New Roman"/>
                <w:b/>
                <w:bCs/>
                <w:color w:val="auto"/>
                <w:u w:val="none" w:color="auto"/>
                <w:lang w:val="en-US" w:eastAsia="zh-CN"/>
              </w:rPr>
              <w:t>/d）水污染物当量数 W/（无量纲）</w:t>
            </w:r>
          </w:p>
        </w:tc>
      </w:tr>
      <w:tr w14:paraId="7A1E68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1CFE684D">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一级</w:t>
            </w:r>
          </w:p>
        </w:tc>
        <w:tc>
          <w:tcPr>
            <w:tcW w:w="1697" w:type="dxa"/>
            <w:noWrap w:val="0"/>
            <w:vAlign w:val="center"/>
          </w:tcPr>
          <w:p w14:paraId="2C965F50">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直接排放</w:t>
            </w:r>
          </w:p>
        </w:tc>
        <w:tc>
          <w:tcPr>
            <w:tcW w:w="5437" w:type="dxa"/>
            <w:noWrap w:val="0"/>
            <w:vAlign w:val="center"/>
          </w:tcPr>
          <w:p w14:paraId="47B7DCB4">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Q≥20000 或 W≥600000</w:t>
            </w:r>
          </w:p>
        </w:tc>
      </w:tr>
      <w:tr w14:paraId="1DB627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1744D8F1">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二级</w:t>
            </w:r>
          </w:p>
        </w:tc>
        <w:tc>
          <w:tcPr>
            <w:tcW w:w="1697" w:type="dxa"/>
            <w:noWrap w:val="0"/>
            <w:vAlign w:val="center"/>
          </w:tcPr>
          <w:p w14:paraId="7FD59215">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直接排放</w:t>
            </w:r>
          </w:p>
        </w:tc>
        <w:tc>
          <w:tcPr>
            <w:tcW w:w="5437" w:type="dxa"/>
            <w:noWrap w:val="0"/>
            <w:vAlign w:val="center"/>
          </w:tcPr>
          <w:p w14:paraId="2B779AB7">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其他</w:t>
            </w:r>
          </w:p>
        </w:tc>
      </w:tr>
      <w:tr w14:paraId="2374E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64CD930C">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三级A</w:t>
            </w:r>
          </w:p>
        </w:tc>
        <w:tc>
          <w:tcPr>
            <w:tcW w:w="1697" w:type="dxa"/>
            <w:noWrap w:val="0"/>
            <w:vAlign w:val="center"/>
          </w:tcPr>
          <w:p w14:paraId="3D56B8F6">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直接排放</w:t>
            </w:r>
          </w:p>
        </w:tc>
        <w:tc>
          <w:tcPr>
            <w:tcW w:w="5437" w:type="dxa"/>
            <w:noWrap w:val="0"/>
            <w:vAlign w:val="center"/>
          </w:tcPr>
          <w:p w14:paraId="5145C797">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Q&lt;200 且 W&lt;6000</w:t>
            </w:r>
          </w:p>
        </w:tc>
      </w:tr>
      <w:tr w14:paraId="52542E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70" w:type="dxa"/>
            <w:noWrap w:val="0"/>
            <w:vAlign w:val="center"/>
          </w:tcPr>
          <w:p w14:paraId="03727AB7">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三级B</w:t>
            </w:r>
          </w:p>
        </w:tc>
        <w:tc>
          <w:tcPr>
            <w:tcW w:w="1697" w:type="dxa"/>
            <w:noWrap w:val="0"/>
            <w:vAlign w:val="center"/>
          </w:tcPr>
          <w:p w14:paraId="11C76F3E">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间接排放</w:t>
            </w:r>
          </w:p>
        </w:tc>
        <w:tc>
          <w:tcPr>
            <w:tcW w:w="5437" w:type="dxa"/>
            <w:noWrap w:val="0"/>
            <w:vAlign w:val="center"/>
          </w:tcPr>
          <w:p w14:paraId="64A1E81D">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r>
    </w:tbl>
    <w:p w14:paraId="52F64229">
      <w:pPr>
        <w:pStyle w:val="20"/>
        <w:ind w:firstLine="480"/>
        <w:rPr>
          <w:rFonts w:hint="default" w:ascii="Times New Roman" w:hAnsi="Times New Roman" w:cs="Times New Roman"/>
          <w:color w:val="auto"/>
          <w:u w:val="none" w:color="auto"/>
        </w:rPr>
      </w:pPr>
      <w:r>
        <w:rPr>
          <w:color w:val="auto"/>
          <w:u w:val="none" w:color="auto"/>
        </w:rPr>
        <w:t>由工程分析可知，</w:t>
      </w:r>
      <w:r>
        <w:rPr>
          <w:rFonts w:hint="eastAsia"/>
          <w:color w:val="auto"/>
          <w:u w:val="none" w:color="auto"/>
          <w:lang w:eastAsia="zh-CN"/>
        </w:rPr>
        <w:t>本项目</w:t>
      </w:r>
      <w:r>
        <w:rPr>
          <w:rFonts w:hint="eastAsia"/>
          <w:color w:val="auto"/>
          <w:u w:val="none" w:color="auto"/>
          <w:lang w:val="en-US" w:eastAsia="zh-CN"/>
        </w:rPr>
        <w:t>冷却水经处理后回用，不外排；</w:t>
      </w:r>
      <w:r>
        <w:rPr>
          <w:rFonts w:hint="default" w:ascii="Times New Roman" w:hAnsi="Times New Roman" w:cs="Times New Roman"/>
          <w:color w:val="auto"/>
          <w:u w:val="none" w:color="auto"/>
        </w:rPr>
        <w:t>生活污水经化粪池处理</w:t>
      </w:r>
      <w:r>
        <w:rPr>
          <w:rFonts w:hint="eastAsia"/>
          <w:color w:val="auto"/>
          <w:u w:val="none" w:color="auto"/>
          <w:lang w:val="en-US" w:eastAsia="zh-CN"/>
        </w:rPr>
        <w:t>后排入湖南汨罗高新技术产业开发区（循环园区）污水处理厂。综上本项目废水</w:t>
      </w:r>
      <w:r>
        <w:rPr>
          <w:color w:val="auto"/>
          <w:u w:val="none" w:color="auto"/>
        </w:rPr>
        <w:t>属于间接排放，根据上表评价等级判定依据可知，建设项目评价等级为三级B。</w:t>
      </w:r>
    </w:p>
    <w:p w14:paraId="6F80786B">
      <w:pPr>
        <w:pStyle w:val="20"/>
        <w:ind w:firstLine="482"/>
        <w:rPr>
          <w:rFonts w:hint="default" w:ascii="Times New Roman" w:hAnsi="Times New Roman" w:eastAsia="宋体" w:cs="Times New Roman"/>
          <w:b/>
          <w:bCs/>
          <w:color w:val="auto"/>
          <w:u w:val="none" w:color="auto"/>
          <w:lang w:eastAsia="zh-CN"/>
        </w:rPr>
      </w:pPr>
      <w:r>
        <w:rPr>
          <w:rFonts w:hint="default" w:ascii="Times New Roman" w:hAnsi="Times New Roman" w:cs="Times New Roman"/>
          <w:b/>
          <w:bCs/>
          <w:color w:val="auto"/>
          <w:u w:val="none" w:color="auto"/>
          <w:lang w:val="en-US" w:eastAsia="zh-CN"/>
        </w:rPr>
        <w:t>2</w:t>
      </w:r>
      <w:r>
        <w:rPr>
          <w:rFonts w:hint="default" w:ascii="Times New Roman" w:hAnsi="Times New Roman" w:cs="Times New Roman"/>
          <w:b/>
          <w:bCs/>
          <w:color w:val="auto"/>
          <w:u w:val="none" w:color="auto"/>
        </w:rPr>
        <w:t>、地表水环境影响评价</w:t>
      </w:r>
      <w:r>
        <w:rPr>
          <w:rFonts w:hint="default" w:ascii="Times New Roman" w:hAnsi="Times New Roman" w:cs="Times New Roman"/>
          <w:b/>
          <w:bCs/>
          <w:color w:val="auto"/>
          <w:u w:val="none" w:color="auto"/>
          <w:lang w:eastAsia="zh-CN"/>
        </w:rPr>
        <w:t>范围</w:t>
      </w:r>
    </w:p>
    <w:p w14:paraId="173F34F8">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根据《环境影响评价技术导则-地表水环境》(HJ 2.3-2018)</w:t>
      </w:r>
      <w:r>
        <w:rPr>
          <w:rFonts w:hint="eastAsia" w:ascii="Times New Roman" w:hAnsi="Times New Roman" w:cs="Times New Roman"/>
          <w:color w:val="auto"/>
          <w:u w:val="none" w:color="auto"/>
          <w:lang w:val="en-US" w:eastAsia="zh-CN"/>
        </w:rPr>
        <w:t>相关要求</w:t>
      </w:r>
      <w:r>
        <w:rPr>
          <w:rFonts w:hint="default" w:ascii="Times New Roman" w:hAnsi="Times New Roman" w:cs="Times New Roman"/>
          <w:color w:val="auto"/>
          <w:u w:val="none" w:color="auto"/>
          <w:lang w:val="en-US" w:eastAsia="zh-CN"/>
        </w:rPr>
        <w:t>，</w:t>
      </w:r>
      <w:r>
        <w:rPr>
          <w:rFonts w:hint="default" w:ascii="Times New Roman" w:hAnsi="Times New Roman" w:eastAsia="宋体" w:cs="Times New Roman"/>
          <w:color w:val="auto"/>
          <w:u w:val="none" w:color="auto"/>
        </w:rPr>
        <w:t>水污染影响型三级B评价可不进行水环境影响预测。但水污染影响三级B评价主要内容应包括：水污染控制和水环境影响减缓措施有效性评价；依托污水处理设施的环境可行性评价。</w:t>
      </w:r>
    </w:p>
    <w:p w14:paraId="2D5A8B91">
      <w:pPr>
        <w:pStyle w:val="4"/>
        <w:rPr>
          <w:rFonts w:hint="default" w:ascii="Times New Roman" w:hAnsi="Times New Roman" w:eastAsia="宋体" w:cs="Times New Roman"/>
          <w:color w:val="auto"/>
          <w:u w:val="none" w:color="auto"/>
          <w:lang w:eastAsia="zh-CN"/>
        </w:rPr>
      </w:pPr>
      <w:bookmarkStart w:id="449" w:name="_Toc15941"/>
      <w:bookmarkStart w:id="450" w:name="_Toc7751"/>
      <w:bookmarkStart w:id="451" w:name="_Toc22398"/>
      <w:bookmarkStart w:id="452" w:name="_Toc27291"/>
      <w:bookmarkStart w:id="453" w:name="_Toc302936688"/>
      <w:bookmarkStart w:id="454" w:name="_Toc269630446"/>
      <w:bookmarkStart w:id="455" w:name="_Toc273462037"/>
      <w:bookmarkStart w:id="456" w:name="_Toc458169526"/>
      <w:bookmarkStart w:id="457" w:name="_Toc274984434"/>
      <w:bookmarkStart w:id="458" w:name="_Toc6240"/>
      <w:bookmarkStart w:id="459" w:name="OLE_LINK73"/>
      <w:bookmarkStart w:id="460" w:name="_Toc269630364"/>
      <w:bookmarkStart w:id="461" w:name="_Toc270622559"/>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eastAsia="zh-CN"/>
        </w:rPr>
        <w:t>地下水</w:t>
      </w:r>
      <w:r>
        <w:rPr>
          <w:rFonts w:hint="default" w:ascii="Times New Roman" w:hAnsi="Times New Roman" w:cs="Times New Roman"/>
          <w:color w:val="auto"/>
          <w:u w:val="none" w:color="auto"/>
        </w:rPr>
        <w:t>环境影响评价工作等级</w:t>
      </w:r>
      <w:r>
        <w:rPr>
          <w:rFonts w:hint="default" w:ascii="Times New Roman" w:hAnsi="Times New Roman" w:cs="Times New Roman"/>
          <w:color w:val="auto"/>
          <w:u w:val="none" w:color="auto"/>
          <w:lang w:eastAsia="zh-CN"/>
        </w:rPr>
        <w:t>及评价范围</w:t>
      </w:r>
      <w:bookmarkEnd w:id="449"/>
      <w:bookmarkEnd w:id="450"/>
      <w:bookmarkEnd w:id="451"/>
      <w:bookmarkEnd w:id="452"/>
    </w:p>
    <w:p w14:paraId="434164A0">
      <w:pPr>
        <w:pStyle w:val="20"/>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lang w:val="en-US" w:eastAsia="zh-CN"/>
        </w:rPr>
        <w:t>1</w:t>
      </w:r>
      <w:r>
        <w:rPr>
          <w:rFonts w:hint="default" w:ascii="Times New Roman" w:hAnsi="Times New Roman" w:cs="Times New Roman"/>
          <w:b/>
          <w:bCs/>
          <w:color w:val="auto"/>
          <w:u w:val="none" w:color="auto"/>
        </w:rPr>
        <w:t>、地下水环境影响评价等级</w:t>
      </w:r>
    </w:p>
    <w:p w14:paraId="790BBDD1">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根据《环境影响评价技术导则 地下水环境》（HJ610-2016）中附录A地下水环境影响评价行业分类表，本项目属于</w:t>
      </w:r>
      <w:r>
        <w:rPr>
          <w:rFonts w:hint="eastAsia" w:ascii="宋体" w:hAnsi="宋体" w:eastAsia="宋体" w:cs="宋体"/>
          <w:color w:val="auto"/>
          <w:u w:val="none" w:color="auto"/>
        </w:rPr>
        <w:t>“</w:t>
      </w:r>
      <w:r>
        <w:rPr>
          <w:rFonts w:hint="default" w:ascii="Times New Roman" w:hAnsi="Times New Roman" w:cs="Times New Roman"/>
          <w:color w:val="auto"/>
          <w:u w:val="none" w:color="auto"/>
        </w:rPr>
        <w:t>第116项塑料制品制造-</w:t>
      </w:r>
      <w:r>
        <w:rPr>
          <w:rFonts w:hint="eastAsia" w:ascii="Times New Roman" w:hAnsi="Times New Roman" w:cs="Times New Roman"/>
          <w:color w:val="auto"/>
          <w:u w:val="none" w:color="auto"/>
          <w:lang w:val="en-US" w:eastAsia="zh-CN"/>
        </w:rPr>
        <w:t>其他</w:t>
      </w:r>
      <w:r>
        <w:rPr>
          <w:rFonts w:hint="eastAsia" w:ascii="宋体" w:hAnsi="宋体" w:eastAsia="宋体" w:cs="宋体"/>
          <w:color w:val="auto"/>
          <w:u w:val="none" w:color="auto"/>
        </w:rPr>
        <w:t>”</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II类项目</w:t>
      </w:r>
      <w:r>
        <w:rPr>
          <w:rFonts w:hint="default" w:ascii="Times New Roman" w:hAnsi="Times New Roman" w:cs="Times New Roman"/>
          <w:color w:val="auto"/>
          <w:u w:val="none" w:color="auto"/>
        </w:rPr>
        <w:t>，本项目位于</w:t>
      </w:r>
      <w:r>
        <w:rPr>
          <w:rFonts w:hint="eastAsia" w:ascii="Times New Roman" w:hAnsi="Times New Roman" w:cs="Times New Roman"/>
          <w:color w:val="auto"/>
          <w:u w:val="none" w:color="auto"/>
          <w:lang w:val="en-US" w:eastAsia="zh-CN"/>
        </w:rPr>
        <w:t>湖南</w:t>
      </w:r>
      <w:r>
        <w:rPr>
          <w:rFonts w:hint="eastAsia"/>
          <w:color w:val="auto"/>
          <w:u w:val="none" w:color="auto"/>
          <w:lang w:val="en-US" w:eastAsia="zh-CN"/>
        </w:rPr>
        <w:t>汨罗高新技术产业开发区新市片区</w:t>
      </w:r>
      <w:r>
        <w:rPr>
          <w:rFonts w:hint="eastAsia" w:ascii="Times New Roman" w:hAnsi="Times New Roman" w:cs="Times New Roman"/>
          <w:color w:val="auto"/>
          <w:u w:val="none" w:color="auto"/>
          <w:lang w:val="en-US" w:eastAsia="zh-CN"/>
        </w:rPr>
        <w:t>西片区</w:t>
      </w:r>
      <w:r>
        <w:rPr>
          <w:rFonts w:hint="eastAsia" w:ascii="Times New Roman" w:hAnsi="Times New Roman" w:eastAsia="宋体" w:cs="Times New Roman"/>
          <w:kern w:val="0"/>
          <w:sz w:val="24"/>
          <w:lang w:val="en-US" w:eastAsia="zh-CN"/>
        </w:rPr>
        <w:t>龙舟路东侧合心路北侧</w:t>
      </w:r>
      <w:r>
        <w:rPr>
          <w:rFonts w:hint="default" w:ascii="Times New Roman" w:hAnsi="Times New Roman" w:cs="Times New Roman"/>
          <w:color w:val="auto"/>
          <w:u w:val="none" w:color="auto"/>
        </w:rPr>
        <w:t>，</w:t>
      </w:r>
      <w:r>
        <w:rPr>
          <w:rFonts w:hint="eastAsia"/>
          <w:color w:val="auto"/>
          <w:u w:val="none" w:color="auto"/>
        </w:rPr>
        <w:t>生产、生活用水来源为新市镇给水管网</w:t>
      </w:r>
      <w:r>
        <w:rPr>
          <w:rFonts w:hint="default" w:ascii="Times New Roman" w:hAnsi="Times New Roman" w:cs="Times New Roman"/>
          <w:color w:val="auto"/>
          <w:u w:val="none" w:color="auto"/>
          <w:lang w:eastAsia="zh-CN"/>
        </w:rPr>
        <w:t>，</w:t>
      </w:r>
      <w:r>
        <w:rPr>
          <w:rFonts w:hint="eastAsia"/>
          <w:color w:val="auto"/>
          <w:u w:val="none" w:color="auto"/>
        </w:rPr>
        <w:t>本项目所在区域居民生活用水由汨罗市二水厂提供，其水源为地表水，项目区域地下水环境敏感程度为不敏感</w:t>
      </w:r>
      <w:r>
        <w:rPr>
          <w:color w:val="auto"/>
          <w:u w:val="none" w:color="auto"/>
        </w:rPr>
        <w:t>。</w:t>
      </w:r>
    </w:p>
    <w:p w14:paraId="6D7C681A">
      <w:pPr>
        <w:pStyle w:val="20"/>
        <w:bidi w:val="0"/>
        <w:rPr>
          <w:rFonts w:hint="default" w:ascii="Times New Roman" w:hAnsi="Times New Roman" w:cs="Times New Roman"/>
          <w:bCs/>
          <w:color w:val="auto"/>
          <w:highlight w:val="none"/>
          <w:u w:val="none" w:color="auto"/>
        </w:rPr>
      </w:pPr>
      <w:r>
        <w:rPr>
          <w:rFonts w:hint="default"/>
          <w:color w:val="auto"/>
          <w:u w:val="none" w:color="auto"/>
        </w:rPr>
        <w:t>地下水环境敏感程度分级见表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4</w:t>
      </w:r>
      <w:r>
        <w:rPr>
          <w:rFonts w:hint="default"/>
          <w:color w:val="auto"/>
          <w:u w:val="none" w:color="auto"/>
        </w:rPr>
        <w:t>。</w:t>
      </w:r>
    </w:p>
    <w:p w14:paraId="6F611185">
      <w:pPr>
        <w:pStyle w:val="22"/>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4</w:t>
      </w:r>
      <w:r>
        <w:rPr>
          <w:rFonts w:hint="default"/>
          <w:color w:val="auto"/>
          <w:u w:val="none" w:color="auto"/>
        </w:rPr>
        <w:t xml:space="preserve"> 地下水环境敏感程度分级表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0"/>
        <w:gridCol w:w="7304"/>
      </w:tblGrid>
      <w:tr w14:paraId="13FE24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0" w:type="dxa"/>
            <w:noWrap w:val="0"/>
            <w:vAlign w:val="center"/>
          </w:tcPr>
          <w:p w14:paraId="61F9E003">
            <w:pPr>
              <w:pStyle w:val="24"/>
              <w:bidi w:val="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敏感程度</w:t>
            </w:r>
          </w:p>
        </w:tc>
        <w:tc>
          <w:tcPr>
            <w:tcW w:w="7304" w:type="dxa"/>
            <w:noWrap w:val="0"/>
            <w:vAlign w:val="center"/>
          </w:tcPr>
          <w:p w14:paraId="423913E2">
            <w:pPr>
              <w:pStyle w:val="24"/>
              <w:bidi w:val="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地下水环境敏感特征</w:t>
            </w:r>
          </w:p>
        </w:tc>
      </w:tr>
      <w:tr w14:paraId="630A95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0" w:type="dxa"/>
            <w:noWrap w:val="0"/>
            <w:vAlign w:val="center"/>
          </w:tcPr>
          <w:p w14:paraId="0144BBE9">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敏感</w:t>
            </w:r>
          </w:p>
        </w:tc>
        <w:tc>
          <w:tcPr>
            <w:tcW w:w="7304" w:type="dxa"/>
            <w:noWrap w:val="0"/>
            <w:vAlign w:val="center"/>
          </w:tcPr>
          <w:p w14:paraId="56F812DB">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14:paraId="56E28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0" w:type="dxa"/>
            <w:noWrap w:val="0"/>
            <w:vAlign w:val="center"/>
          </w:tcPr>
          <w:p w14:paraId="541F4495">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较敏感</w:t>
            </w:r>
          </w:p>
        </w:tc>
        <w:tc>
          <w:tcPr>
            <w:tcW w:w="7304" w:type="dxa"/>
            <w:noWrap w:val="0"/>
            <w:vAlign w:val="center"/>
          </w:tcPr>
          <w:p w14:paraId="2547BC6D">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集中式饮用水水源（包括已建成的在用、备用、应急水源，在建和规划的饮用水水源）准保护区以外的补给径流区；未划定准保护区的集中式饮用水源，其保护区以外的补给径流区；分散式饮用水水源地；特殊地下水资源（如矿泉水、温泉等）保护区以外的分布区等其他未列入上述敏感分级的环境敏感区。</w:t>
            </w:r>
          </w:p>
        </w:tc>
      </w:tr>
      <w:tr w14:paraId="3C8E2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00" w:type="dxa"/>
            <w:noWrap w:val="0"/>
            <w:vAlign w:val="center"/>
          </w:tcPr>
          <w:p w14:paraId="0877148B">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不敏感</w:t>
            </w:r>
          </w:p>
        </w:tc>
        <w:tc>
          <w:tcPr>
            <w:tcW w:w="7304" w:type="dxa"/>
            <w:noWrap w:val="0"/>
            <w:vAlign w:val="center"/>
          </w:tcPr>
          <w:p w14:paraId="52A4EB8C">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上述地区之外的其它地区。</w:t>
            </w:r>
          </w:p>
        </w:tc>
      </w:tr>
      <w:tr w14:paraId="4FB1D4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4" w:type="dxa"/>
            <w:gridSpan w:val="2"/>
            <w:noWrap w:val="0"/>
            <w:vAlign w:val="center"/>
          </w:tcPr>
          <w:p w14:paraId="46D6C43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注：“环境敏感区”是指《建设项目环境影响评价分类管理名录》中界定的涉及地下水的环境敏感区</w:t>
            </w:r>
          </w:p>
        </w:tc>
      </w:tr>
    </w:tbl>
    <w:p w14:paraId="46C6EE28">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根据《环境影响评价技术导则 地下水环境》（HJ 610-2016），项目地下水环境评价工作等级为</w:t>
      </w:r>
      <w:r>
        <w:rPr>
          <w:rFonts w:hint="eastAsia" w:ascii="Times New Roman" w:hAnsi="Times New Roman" w:cs="Times New Roman"/>
          <w:color w:val="auto"/>
          <w:u w:val="none" w:color="auto"/>
          <w:lang w:val="en-US" w:eastAsia="zh-CN"/>
        </w:rPr>
        <w:t>三</w:t>
      </w:r>
      <w:r>
        <w:rPr>
          <w:rFonts w:hint="default" w:ascii="Times New Roman" w:hAnsi="Times New Roman" w:cs="Times New Roman"/>
          <w:color w:val="auto"/>
          <w:u w:val="none" w:color="auto"/>
        </w:rPr>
        <w:t>级评价，具体工作等级判断见表</w:t>
      </w:r>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w:t>
      </w:r>
      <w:r>
        <w:rPr>
          <w:rFonts w:hint="eastAsia" w:cs="Times New Roman"/>
          <w:color w:val="auto"/>
          <w:u w:val="none" w:color="auto"/>
          <w:lang w:val="en-US" w:eastAsia="zh-CN"/>
        </w:rPr>
        <w:t>5</w:t>
      </w:r>
      <w:r>
        <w:rPr>
          <w:rFonts w:hint="default" w:ascii="Times New Roman" w:hAnsi="Times New Roman" w:cs="Times New Roman"/>
          <w:color w:val="auto"/>
          <w:u w:val="none" w:color="auto"/>
        </w:rPr>
        <w:t>。</w:t>
      </w:r>
    </w:p>
    <w:p w14:paraId="79E33C92">
      <w:pPr>
        <w:pStyle w:val="22"/>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5</w:t>
      </w:r>
      <w:r>
        <w:rPr>
          <w:rFonts w:hint="default"/>
          <w:color w:val="auto"/>
          <w:u w:val="none" w:color="auto"/>
        </w:rPr>
        <w:t xml:space="preserve"> 项目地下水环境影响评价工作等级判据</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35"/>
        <w:gridCol w:w="1923"/>
        <w:gridCol w:w="1923"/>
        <w:gridCol w:w="1923"/>
      </w:tblGrid>
      <w:tr w14:paraId="6791E4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tcBorders>
              <w:tl2br w:val="single" w:color="auto" w:sz="12" w:space="0"/>
            </w:tcBorders>
            <w:noWrap w:val="0"/>
            <w:vAlign w:val="center"/>
          </w:tcPr>
          <w:p w14:paraId="69ECA793">
            <w:pPr>
              <w:pStyle w:val="24"/>
              <w:jc w:val="right"/>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项目类别</w:t>
            </w:r>
          </w:p>
          <w:p w14:paraId="08AC27F4">
            <w:pPr>
              <w:pStyle w:val="24"/>
              <w:jc w:val="both"/>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环境敏感程度</w:t>
            </w:r>
          </w:p>
        </w:tc>
        <w:tc>
          <w:tcPr>
            <w:tcW w:w="1923" w:type="dxa"/>
            <w:noWrap w:val="0"/>
            <w:vAlign w:val="center"/>
          </w:tcPr>
          <w:p w14:paraId="06D6F45B">
            <w:pPr>
              <w:pStyle w:val="24"/>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Ⅰ类项目</w:t>
            </w:r>
          </w:p>
        </w:tc>
        <w:tc>
          <w:tcPr>
            <w:tcW w:w="1923" w:type="dxa"/>
            <w:noWrap w:val="0"/>
            <w:vAlign w:val="center"/>
          </w:tcPr>
          <w:p w14:paraId="4F56677C">
            <w:pPr>
              <w:pStyle w:val="24"/>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Ⅱ类项目</w:t>
            </w:r>
          </w:p>
        </w:tc>
        <w:tc>
          <w:tcPr>
            <w:tcW w:w="1923" w:type="dxa"/>
            <w:noWrap w:val="0"/>
            <w:vAlign w:val="center"/>
          </w:tcPr>
          <w:p w14:paraId="5301BE9B">
            <w:pPr>
              <w:pStyle w:val="24"/>
              <w:rPr>
                <w:rFonts w:hint="default" w:ascii="Times New Roman" w:hAnsi="Times New Roman" w:cs="Times New Roman"/>
                <w:b/>
                <w:bCs/>
                <w:color w:val="auto"/>
                <w:kern w:val="2"/>
                <w:szCs w:val="24"/>
                <w:u w:val="none" w:color="auto"/>
                <w:lang w:val="en-US" w:eastAsia="zh-CN"/>
              </w:rPr>
            </w:pPr>
            <w:r>
              <w:rPr>
                <w:rFonts w:hint="default" w:ascii="Times New Roman" w:hAnsi="Times New Roman" w:cs="Times New Roman"/>
                <w:b/>
                <w:bCs/>
                <w:color w:val="auto"/>
                <w:kern w:val="2"/>
                <w:szCs w:val="24"/>
                <w:u w:val="none" w:color="auto"/>
                <w:lang w:val="en-US" w:eastAsia="zh-CN"/>
              </w:rPr>
              <w:t>Ⅲ类项目</w:t>
            </w:r>
          </w:p>
        </w:tc>
      </w:tr>
      <w:tr w14:paraId="71105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0EB4B49F">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敏感</w:t>
            </w:r>
          </w:p>
        </w:tc>
        <w:tc>
          <w:tcPr>
            <w:tcW w:w="1923" w:type="dxa"/>
            <w:noWrap w:val="0"/>
            <w:vAlign w:val="center"/>
          </w:tcPr>
          <w:p w14:paraId="41138BE0">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w:t>
            </w:r>
          </w:p>
        </w:tc>
        <w:tc>
          <w:tcPr>
            <w:tcW w:w="1923" w:type="dxa"/>
            <w:noWrap w:val="0"/>
            <w:vAlign w:val="center"/>
          </w:tcPr>
          <w:p w14:paraId="213B4C56">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w:t>
            </w:r>
          </w:p>
        </w:tc>
        <w:tc>
          <w:tcPr>
            <w:tcW w:w="1923" w:type="dxa"/>
            <w:noWrap w:val="0"/>
            <w:vAlign w:val="center"/>
          </w:tcPr>
          <w:p w14:paraId="2BD9B486">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w:t>
            </w:r>
          </w:p>
        </w:tc>
      </w:tr>
      <w:tr w14:paraId="7C35D7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572770BB">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较敏感</w:t>
            </w:r>
          </w:p>
        </w:tc>
        <w:tc>
          <w:tcPr>
            <w:tcW w:w="1923" w:type="dxa"/>
            <w:noWrap w:val="0"/>
            <w:vAlign w:val="center"/>
          </w:tcPr>
          <w:p w14:paraId="4D3D0639">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w:t>
            </w:r>
          </w:p>
        </w:tc>
        <w:tc>
          <w:tcPr>
            <w:tcW w:w="1923" w:type="dxa"/>
            <w:noWrap w:val="0"/>
            <w:vAlign w:val="center"/>
          </w:tcPr>
          <w:p w14:paraId="08917292">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highlight w:val="none"/>
                <w:u w:val="none" w:color="auto"/>
                <w:lang w:val="en-US" w:eastAsia="zh-CN"/>
              </w:rPr>
              <w:t>二</w:t>
            </w:r>
          </w:p>
        </w:tc>
        <w:tc>
          <w:tcPr>
            <w:tcW w:w="1923" w:type="dxa"/>
            <w:noWrap w:val="0"/>
            <w:vAlign w:val="center"/>
          </w:tcPr>
          <w:p w14:paraId="33190DE9">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w:t>
            </w:r>
          </w:p>
        </w:tc>
      </w:tr>
      <w:tr w14:paraId="6FB667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6E8B2005">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u w:val="none" w:color="auto"/>
                <w:lang w:val="en-US" w:eastAsia="zh-CN"/>
              </w:rPr>
              <w:t>不敏感</w:t>
            </w:r>
          </w:p>
        </w:tc>
        <w:tc>
          <w:tcPr>
            <w:tcW w:w="1923" w:type="dxa"/>
            <w:noWrap w:val="0"/>
            <w:vAlign w:val="center"/>
          </w:tcPr>
          <w:p w14:paraId="0A1891F3">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u w:val="none" w:color="auto"/>
                <w:lang w:val="en-US" w:eastAsia="zh-CN"/>
              </w:rPr>
              <w:t>二</w:t>
            </w:r>
          </w:p>
        </w:tc>
        <w:tc>
          <w:tcPr>
            <w:tcW w:w="1923" w:type="dxa"/>
            <w:noWrap w:val="0"/>
            <w:vAlign w:val="center"/>
          </w:tcPr>
          <w:p w14:paraId="27A98D9A">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highlight w:val="lightGray"/>
                <w:u w:val="none" w:color="auto"/>
                <w:lang w:val="en-US" w:eastAsia="zh-CN"/>
              </w:rPr>
              <w:t>三</w:t>
            </w:r>
          </w:p>
        </w:tc>
        <w:tc>
          <w:tcPr>
            <w:tcW w:w="1923" w:type="dxa"/>
            <w:noWrap w:val="0"/>
            <w:vAlign w:val="center"/>
          </w:tcPr>
          <w:p w14:paraId="54C3DAD4">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u w:val="none" w:color="auto"/>
                <w:lang w:val="en-US" w:eastAsia="zh-CN"/>
              </w:rPr>
              <w:t>三</w:t>
            </w:r>
          </w:p>
        </w:tc>
      </w:tr>
      <w:bookmarkEnd w:id="453"/>
      <w:bookmarkEnd w:id="454"/>
      <w:bookmarkEnd w:id="455"/>
      <w:bookmarkEnd w:id="456"/>
      <w:bookmarkEnd w:id="457"/>
      <w:bookmarkEnd w:id="458"/>
      <w:bookmarkEnd w:id="459"/>
      <w:bookmarkEnd w:id="460"/>
      <w:bookmarkEnd w:id="461"/>
    </w:tbl>
    <w:p w14:paraId="7ED4A0CC">
      <w:pPr>
        <w:pStyle w:val="20"/>
        <w:ind w:firstLine="482"/>
        <w:rPr>
          <w:rFonts w:hint="default" w:ascii="Times New Roman" w:hAnsi="Times New Roman" w:eastAsia="宋体" w:cs="Times New Roman"/>
          <w:b/>
          <w:bCs/>
          <w:color w:val="auto"/>
          <w:u w:val="none" w:color="auto"/>
          <w:lang w:eastAsia="zh-CN"/>
        </w:rPr>
      </w:pPr>
      <w:bookmarkStart w:id="462" w:name="_Toc8613"/>
      <w:r>
        <w:rPr>
          <w:rFonts w:hint="default" w:ascii="Times New Roman" w:hAnsi="Times New Roman" w:cs="Times New Roman"/>
          <w:b/>
          <w:bCs/>
          <w:color w:val="auto"/>
          <w:u w:val="none" w:color="auto"/>
          <w:lang w:val="en-US" w:eastAsia="zh-CN"/>
        </w:rPr>
        <w:t>2</w:t>
      </w:r>
      <w:r>
        <w:rPr>
          <w:rFonts w:hint="default" w:ascii="Times New Roman" w:hAnsi="Times New Roman" w:cs="Times New Roman"/>
          <w:b/>
          <w:bCs/>
          <w:color w:val="auto"/>
          <w:u w:val="none" w:color="auto"/>
        </w:rPr>
        <w:t>、地下水环境影响评价</w:t>
      </w:r>
      <w:r>
        <w:rPr>
          <w:rFonts w:hint="default" w:ascii="Times New Roman" w:hAnsi="Times New Roman" w:cs="Times New Roman"/>
          <w:b/>
          <w:bCs/>
          <w:color w:val="auto"/>
          <w:u w:val="none" w:color="auto"/>
          <w:lang w:eastAsia="zh-CN"/>
        </w:rPr>
        <w:t>范围</w:t>
      </w:r>
    </w:p>
    <w:p w14:paraId="5E384BFB">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根据《环境影响评价技术导则地下水环境》（HJ610-2016），地下水环境现状调查评价范围应包括与建设项目相关的地下水环境保护目标，以能说明地下水环境的现状，反映调查评价区地下水基本流场特征，满足地下水环境影响预测和评价为基本原则。建设项目地下水环境调查评价范围的确定可采用公式计算法、查表法及自定义法。</w:t>
      </w:r>
    </w:p>
    <w:p w14:paraId="5B0B5C40">
      <w:pPr>
        <w:pStyle w:val="20"/>
        <w:bidi w:val="0"/>
        <w:rPr>
          <w:rFonts w:hint="default" w:ascii="Times New Roman" w:hAnsi="Times New Roman" w:eastAsia="宋体" w:cs="Times New Roman"/>
          <w:color w:val="auto"/>
          <w:highlight w:val="green"/>
          <w:u w:val="none" w:color="auto"/>
          <w:lang w:val="en-US" w:eastAsia="zh-CN"/>
        </w:rPr>
      </w:pPr>
      <w:r>
        <w:rPr>
          <w:rFonts w:hint="default" w:ascii="Times New Roman" w:hAnsi="Times New Roman" w:eastAsia="宋体" w:cs="Times New Roman"/>
          <w:color w:val="auto"/>
          <w:u w:val="none" w:color="auto"/>
        </w:rPr>
        <w:t>项目建设地点位于</w:t>
      </w:r>
      <w:r>
        <w:rPr>
          <w:rFonts w:hint="default" w:ascii="Times New Roman" w:hAnsi="Times New Roman" w:eastAsia="宋体" w:cs="Times New Roman"/>
          <w:color w:val="auto"/>
          <w:u w:val="none" w:color="auto"/>
          <w:lang w:eastAsia="zh-CN"/>
        </w:rPr>
        <w:t>湖南汨罗高新技术产业开发区新市片区</w:t>
      </w:r>
      <w:r>
        <w:rPr>
          <w:rFonts w:hint="default" w:ascii="Times New Roman" w:hAnsi="Times New Roman" w:eastAsia="宋体" w:cs="Times New Roman"/>
          <w:color w:val="auto"/>
          <w:u w:val="none" w:color="auto"/>
        </w:rPr>
        <w:t>范围内，属于工业园区，</w:t>
      </w:r>
      <w:r>
        <w:rPr>
          <w:rFonts w:hint="default" w:ascii="Times New Roman" w:hAnsi="Times New Roman" w:eastAsia="宋体" w:cs="Times New Roman"/>
          <w:color w:val="auto"/>
          <w:u w:val="none" w:color="auto"/>
          <w:lang w:eastAsia="zh-CN"/>
        </w:rPr>
        <w:t>根据区域水文地质情况，项目区域地下水从南往北，从</w:t>
      </w:r>
      <w:r>
        <w:rPr>
          <w:rFonts w:hint="default" w:ascii="Times New Roman" w:hAnsi="Times New Roman" w:eastAsia="宋体" w:cs="Times New Roman"/>
          <w:color w:val="auto"/>
          <w:u w:val="none" w:color="auto"/>
        </w:rPr>
        <w:t>东</w:t>
      </w:r>
      <w:r>
        <w:rPr>
          <w:rFonts w:hint="default" w:ascii="Times New Roman" w:hAnsi="Times New Roman" w:eastAsia="宋体" w:cs="Times New Roman"/>
          <w:color w:val="auto"/>
          <w:u w:val="none" w:color="auto"/>
          <w:lang w:eastAsia="zh-CN"/>
        </w:rPr>
        <w:t>往</w:t>
      </w:r>
      <w:r>
        <w:rPr>
          <w:rFonts w:hint="default" w:ascii="Times New Roman" w:hAnsi="Times New Roman" w:eastAsia="宋体" w:cs="Times New Roman"/>
          <w:color w:val="auto"/>
          <w:u w:val="none" w:color="auto"/>
        </w:rPr>
        <w:t>西</w:t>
      </w:r>
      <w:r>
        <w:rPr>
          <w:rFonts w:hint="default" w:ascii="Times New Roman" w:hAnsi="Times New Roman" w:eastAsia="宋体" w:cs="Times New Roman"/>
          <w:color w:val="auto"/>
          <w:u w:val="none" w:color="auto"/>
          <w:lang w:eastAsia="zh-CN"/>
        </w:rPr>
        <w:t>流入汨罗江</w:t>
      </w:r>
      <w:r>
        <w:rPr>
          <w:rFonts w:hint="default" w:ascii="Times New Roman" w:hAnsi="Times New Roman" w:eastAsia="宋体" w:cs="Times New Roman"/>
          <w:color w:val="auto"/>
          <w:u w:val="none" w:color="auto"/>
        </w:rPr>
        <w:t>。本次</w:t>
      </w:r>
      <w:r>
        <w:rPr>
          <w:rFonts w:hint="default" w:ascii="Times New Roman" w:hAnsi="Times New Roman" w:eastAsia="宋体" w:cs="Times New Roman"/>
          <w:color w:val="auto"/>
          <w:u w:val="none" w:color="auto"/>
          <w:lang w:eastAsia="zh-CN"/>
        </w:rPr>
        <w:t>地下水</w:t>
      </w:r>
      <w:r>
        <w:rPr>
          <w:rFonts w:hint="default" w:ascii="Times New Roman" w:hAnsi="Times New Roman" w:eastAsia="宋体" w:cs="Times New Roman"/>
          <w:color w:val="auto"/>
          <w:u w:val="none" w:color="auto"/>
        </w:rPr>
        <w:t>评价</w:t>
      </w:r>
      <w:r>
        <w:rPr>
          <w:rFonts w:hint="default" w:ascii="Times New Roman" w:hAnsi="Times New Roman" w:eastAsia="宋体" w:cs="Times New Roman"/>
          <w:color w:val="auto"/>
          <w:u w:val="none" w:color="auto"/>
          <w:lang w:eastAsia="zh-CN"/>
        </w:rPr>
        <w:t>范围</w:t>
      </w:r>
      <w:r>
        <w:rPr>
          <w:rFonts w:hint="default" w:ascii="Times New Roman" w:hAnsi="Times New Roman" w:eastAsia="宋体" w:cs="Times New Roman"/>
          <w:color w:val="auto"/>
          <w:u w:val="none" w:color="auto"/>
        </w:rPr>
        <w:t>采用</w:t>
      </w:r>
      <w:r>
        <w:rPr>
          <w:rFonts w:hint="eastAsia" w:ascii="Times New Roman" w:hAnsi="Times New Roman" w:eastAsia="宋体" w:cs="Times New Roman"/>
          <w:color w:val="auto"/>
          <w:u w:val="none" w:color="auto"/>
          <w:lang w:val="en-US" w:eastAsia="zh-CN"/>
        </w:rPr>
        <w:t>自定义</w:t>
      </w:r>
      <w:r>
        <w:rPr>
          <w:rFonts w:hint="default" w:ascii="Times New Roman" w:hAnsi="Times New Roman" w:eastAsia="宋体" w:cs="Times New Roman"/>
          <w:color w:val="auto"/>
          <w:u w:val="none" w:color="auto"/>
        </w:rPr>
        <w:t>法确定</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highlight w:val="none"/>
          <w:u w:val="none" w:color="auto"/>
          <w:lang w:eastAsia="zh-CN"/>
        </w:rPr>
        <w:t>结合项目区域水文地质情况，确定</w:t>
      </w:r>
      <w:r>
        <w:rPr>
          <w:rFonts w:hint="default" w:ascii="Times New Roman" w:hAnsi="Times New Roman" w:eastAsia="宋体" w:cs="Times New Roman"/>
          <w:color w:val="auto"/>
          <w:u w:val="none" w:color="auto"/>
        </w:rPr>
        <w:t>本项目地下水环境影响评价范围为：</w:t>
      </w:r>
      <w:r>
        <w:rPr>
          <w:rFonts w:hint="default" w:ascii="Times New Roman" w:hAnsi="Times New Roman" w:eastAsia="宋体" w:cs="Times New Roman"/>
          <w:color w:val="auto"/>
          <w:u w:val="none" w:color="auto"/>
          <w:lang w:eastAsia="zh-CN"/>
        </w:rPr>
        <w:t>向东侧</w:t>
      </w:r>
      <w:r>
        <w:rPr>
          <w:rFonts w:hint="eastAsia" w:ascii="Times New Roman" w:hAnsi="Times New Roman" w:eastAsia="宋体" w:cs="Times New Roman"/>
          <w:color w:val="auto"/>
          <w:u w:val="none" w:color="auto"/>
          <w:lang w:val="en-US" w:eastAsia="zh-CN"/>
        </w:rPr>
        <w:t>至厂界外1200m，北侧至厂界外1200m，西侧至厂界外1160m，南侧至厂界外1000m</w:t>
      </w:r>
      <w:r>
        <w:rPr>
          <w:rFonts w:hint="default" w:ascii="Times New Roman" w:hAnsi="Times New Roman" w:eastAsia="宋体" w:cs="Times New Roman"/>
          <w:color w:val="auto"/>
          <w:highlight w:val="none"/>
          <w:u w:val="none" w:color="auto"/>
          <w:lang w:eastAsia="zh-CN"/>
        </w:rPr>
        <w:t>的水文地质区域，面积约</w:t>
      </w:r>
      <w:r>
        <w:rPr>
          <w:rFonts w:hint="eastAsia" w:ascii="Times New Roman" w:hAnsi="Times New Roman" w:eastAsia="宋体" w:cs="Times New Roman"/>
          <w:color w:val="auto"/>
          <w:highlight w:val="none"/>
          <w:u w:val="none" w:color="auto"/>
          <w:lang w:val="en-US" w:eastAsia="zh-CN"/>
        </w:rPr>
        <w:t>5.8</w:t>
      </w:r>
      <w:r>
        <w:rPr>
          <w:rFonts w:hint="default" w:ascii="Times New Roman" w:hAnsi="Times New Roman" w:eastAsia="宋体" w:cs="Times New Roman"/>
          <w:color w:val="auto"/>
          <w:highlight w:val="none"/>
          <w:u w:val="none" w:color="auto"/>
          <w:lang w:eastAsia="zh-CN"/>
        </w:rPr>
        <w:t>km</w:t>
      </w:r>
      <w:r>
        <w:rPr>
          <w:rFonts w:hint="default" w:ascii="Times New Roman" w:hAnsi="Times New Roman" w:eastAsia="宋体" w:cs="Times New Roman"/>
          <w:color w:val="auto"/>
          <w:highlight w:val="none"/>
          <w:u w:val="none" w:color="auto"/>
          <w:vertAlign w:val="superscript"/>
          <w:lang w:eastAsia="zh-CN"/>
        </w:rPr>
        <w:t>2</w:t>
      </w:r>
      <w:r>
        <w:rPr>
          <w:color w:val="auto"/>
          <w:highlight w:val="none"/>
          <w:u w:val="none" w:color="auto"/>
        </w:rPr>
        <w:t>。</w:t>
      </w:r>
    </w:p>
    <w:p w14:paraId="34C9776A">
      <w:pPr>
        <w:pStyle w:val="4"/>
        <w:rPr>
          <w:rFonts w:hint="default" w:ascii="Times New Roman" w:hAnsi="Times New Roman" w:eastAsia="宋体" w:cs="Times New Roman"/>
          <w:color w:val="auto"/>
          <w:u w:val="none" w:color="auto"/>
          <w:lang w:eastAsia="zh-CN"/>
        </w:rPr>
      </w:pPr>
      <w:bookmarkStart w:id="463" w:name="_Toc304"/>
      <w:bookmarkStart w:id="464" w:name="_Toc9242"/>
      <w:bookmarkStart w:id="465" w:name="_Toc32523"/>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eastAsia="zh-CN"/>
        </w:rPr>
        <w:t>声</w:t>
      </w:r>
      <w:r>
        <w:rPr>
          <w:rFonts w:hint="default" w:ascii="Times New Roman" w:hAnsi="Times New Roman" w:cs="Times New Roman"/>
          <w:color w:val="auto"/>
          <w:u w:val="none" w:color="auto"/>
        </w:rPr>
        <w:t>环境影响评价工作等级</w:t>
      </w:r>
      <w:r>
        <w:rPr>
          <w:rFonts w:hint="default" w:ascii="Times New Roman" w:hAnsi="Times New Roman" w:cs="Times New Roman"/>
          <w:color w:val="auto"/>
          <w:u w:val="none" w:color="auto"/>
          <w:lang w:eastAsia="zh-CN"/>
        </w:rPr>
        <w:t>及评价范围</w:t>
      </w:r>
      <w:bookmarkEnd w:id="462"/>
      <w:bookmarkEnd w:id="463"/>
      <w:bookmarkEnd w:id="464"/>
      <w:bookmarkEnd w:id="465"/>
    </w:p>
    <w:p w14:paraId="67718FD1">
      <w:pPr>
        <w:pStyle w:val="20"/>
        <w:ind w:firstLine="482"/>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lang w:val="en-US" w:eastAsia="zh-CN"/>
        </w:rPr>
        <w:t>1</w:t>
      </w:r>
      <w:r>
        <w:rPr>
          <w:rFonts w:hint="default" w:ascii="Times New Roman" w:hAnsi="Times New Roman" w:cs="Times New Roman"/>
          <w:b/>
          <w:bCs/>
          <w:color w:val="auto"/>
          <w:u w:val="none" w:color="auto"/>
        </w:rPr>
        <w:t>、声环境评价等级</w:t>
      </w:r>
    </w:p>
    <w:p w14:paraId="4C2621E5">
      <w:pPr>
        <w:pStyle w:val="20"/>
        <w:ind w:firstLine="480"/>
        <w:rPr>
          <w:rFonts w:hint="default" w:ascii="Times New Roman" w:hAnsi="Times New Roman" w:cs="Times New Roman"/>
          <w:color w:val="auto"/>
          <w:u w:val="none" w:color="auto"/>
        </w:rPr>
      </w:pPr>
      <w:r>
        <w:rPr>
          <w:rFonts w:hint="eastAsia"/>
          <w:color w:val="auto"/>
          <w:u w:val="none" w:color="auto"/>
        </w:rPr>
        <w:t>本项目位于工业聚集区，声环境功能</w:t>
      </w:r>
      <w:r>
        <w:rPr>
          <w:rFonts w:hint="eastAsia"/>
          <w:color w:val="auto"/>
          <w:u w:val="none" w:color="auto"/>
          <w:lang w:val="en-US" w:eastAsia="zh-CN"/>
        </w:rPr>
        <w:t>以</w:t>
      </w:r>
      <w:r>
        <w:rPr>
          <w:rFonts w:hint="eastAsia"/>
          <w:color w:val="auto"/>
          <w:u w:val="none" w:color="auto"/>
        </w:rPr>
        <w:t>3类区</w:t>
      </w:r>
      <w:r>
        <w:rPr>
          <w:rFonts w:hint="eastAsia"/>
          <w:color w:val="auto"/>
          <w:u w:val="none" w:color="auto"/>
          <w:lang w:val="en-US" w:eastAsia="zh-CN"/>
        </w:rPr>
        <w:t>为主</w:t>
      </w:r>
      <w:r>
        <w:rPr>
          <w:rFonts w:hint="eastAsia"/>
          <w:color w:val="auto"/>
          <w:u w:val="none" w:color="auto"/>
        </w:rPr>
        <w:t>，项目各类噪声设备在经过减振、隔声、消音等降噪措施后，建设前后环境保护目标处噪声级最大增量不超过3dB（A），且受本项目噪声影响人口变化不大。根据《环境影响评价技术导则 声环境》（HJ/T2.4-2021）中声环境影响评价工作等级划分的判据，本项目声环境影响评价等级定为三级。</w:t>
      </w:r>
    </w:p>
    <w:p w14:paraId="70CC1CF4">
      <w:pPr>
        <w:pStyle w:val="20"/>
        <w:bidi w:val="0"/>
        <w:rPr>
          <w:rFonts w:hint="default" w:ascii="Times New Roman" w:hAnsi="Times New Roman" w:eastAsia="宋体" w:cs="Times New Roman"/>
          <w:color w:val="auto"/>
          <w:u w:val="none" w:color="auto"/>
          <w:lang w:eastAsia="zh-CN"/>
        </w:rPr>
      </w:pPr>
      <w:r>
        <w:rPr>
          <w:rFonts w:hint="default" w:ascii="Times New Roman" w:hAnsi="Times New Roman" w:cs="Times New Roman"/>
          <w:b/>
          <w:bCs/>
          <w:color w:val="auto"/>
          <w:u w:val="none" w:color="auto"/>
          <w:lang w:val="en-US" w:eastAsia="zh-CN"/>
        </w:rPr>
        <w:t>2</w:t>
      </w:r>
      <w:r>
        <w:rPr>
          <w:rFonts w:hint="default" w:ascii="Times New Roman" w:hAnsi="Times New Roman" w:cs="Times New Roman"/>
          <w:b/>
          <w:bCs/>
          <w:color w:val="auto"/>
          <w:u w:val="none" w:color="auto"/>
        </w:rPr>
        <w:t>、声环境评价</w:t>
      </w:r>
      <w:r>
        <w:rPr>
          <w:rFonts w:hint="default" w:ascii="Times New Roman" w:hAnsi="Times New Roman" w:cs="Times New Roman"/>
          <w:b/>
          <w:bCs/>
          <w:color w:val="auto"/>
          <w:u w:val="none" w:color="auto"/>
          <w:lang w:eastAsia="zh-CN"/>
        </w:rPr>
        <w:t>范围</w:t>
      </w:r>
    </w:p>
    <w:p w14:paraId="237B25DB">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kern w:val="24"/>
          <w:sz w:val="24"/>
          <w:u w:val="none" w:color="auto"/>
        </w:rPr>
        <w:t>根据《环境影响评价技术导则 声环境》（</w:t>
      </w:r>
      <w:r>
        <w:rPr>
          <w:rFonts w:hint="eastAsia" w:ascii="Times New Roman" w:hAnsi="Times New Roman" w:cs="Times New Roman"/>
          <w:color w:val="auto"/>
          <w:kern w:val="24"/>
          <w:sz w:val="24"/>
          <w:u w:val="none" w:color="auto"/>
          <w:lang w:eastAsia="zh-CN"/>
        </w:rPr>
        <w:t>HJ2.4-2021</w:t>
      </w:r>
      <w:r>
        <w:rPr>
          <w:rFonts w:hint="default" w:ascii="Times New Roman" w:hAnsi="Times New Roman" w:cs="Times New Roman"/>
          <w:color w:val="auto"/>
          <w:kern w:val="24"/>
          <w:sz w:val="24"/>
          <w:u w:val="none" w:color="auto"/>
        </w:rPr>
        <w:t>）中的有关规定，确定本项目声环境评价范围为以项目边界向外200m范围。</w:t>
      </w:r>
    </w:p>
    <w:p w14:paraId="7FD842E2">
      <w:pPr>
        <w:pStyle w:val="4"/>
        <w:rPr>
          <w:rFonts w:hint="default" w:ascii="Times New Roman" w:hAnsi="Times New Roman" w:eastAsia="宋体" w:cs="Times New Roman"/>
          <w:color w:val="auto"/>
          <w:u w:val="none" w:color="auto"/>
          <w:lang w:eastAsia="zh-CN"/>
        </w:rPr>
      </w:pPr>
      <w:bookmarkStart w:id="466" w:name="_Toc11359"/>
      <w:bookmarkStart w:id="467" w:name="_Toc5647"/>
      <w:bookmarkStart w:id="468" w:name="_Toc567"/>
      <w:bookmarkStart w:id="469" w:name="_Toc12600"/>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eastAsia="zh-CN"/>
        </w:rPr>
        <w:t>土壤</w:t>
      </w:r>
      <w:r>
        <w:rPr>
          <w:rFonts w:hint="default" w:ascii="Times New Roman" w:hAnsi="Times New Roman" w:cs="Times New Roman"/>
          <w:color w:val="auto"/>
          <w:u w:val="none" w:color="auto"/>
        </w:rPr>
        <w:t>环境影响评价工作等级</w:t>
      </w:r>
      <w:bookmarkEnd w:id="466"/>
      <w:bookmarkEnd w:id="467"/>
      <w:bookmarkEnd w:id="468"/>
      <w:bookmarkEnd w:id="469"/>
    </w:p>
    <w:p w14:paraId="4168EB88">
      <w:pPr>
        <w:pStyle w:val="20"/>
        <w:ind w:firstLine="480"/>
        <w:rPr>
          <w:rFonts w:hint="default" w:ascii="Times New Roman" w:hAnsi="Times New Roman" w:eastAsia="宋体" w:cs="Times New Roman"/>
          <w:color w:val="auto"/>
          <w:kern w:val="2"/>
          <w:sz w:val="24"/>
          <w:szCs w:val="24"/>
          <w:u w:val="none" w:color="auto"/>
          <w:lang w:val="en-US" w:eastAsia="zh-CN" w:bidi="ar-SA"/>
        </w:rPr>
      </w:pPr>
      <w:bookmarkStart w:id="470" w:name="_Toc24730"/>
      <w:r>
        <w:rPr>
          <w:rFonts w:hint="default" w:ascii="Times New Roman" w:hAnsi="Times New Roman" w:eastAsia="宋体" w:cs="Times New Roman"/>
          <w:color w:val="auto"/>
          <w:kern w:val="2"/>
          <w:sz w:val="24"/>
          <w:szCs w:val="24"/>
          <w:u w:val="none" w:color="auto"/>
          <w:lang w:val="en-US" w:eastAsia="zh-CN" w:bidi="ar-SA"/>
        </w:rPr>
        <w:t>（1）项目类型判定</w:t>
      </w:r>
    </w:p>
    <w:p w14:paraId="1D8A2045">
      <w:pPr>
        <w:pStyle w:val="20"/>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根据《环境影响评价技术导则-土壤环境》(HJ964-2018)中附录A（规范性附录）土壤环境影响评价行业项目类别表，可知本项目属</w:t>
      </w:r>
      <w:r>
        <w:rPr>
          <w:rFonts w:hint="eastAsia" w:ascii="宋体" w:hAnsi="宋体" w:eastAsia="宋体" w:cs="宋体"/>
          <w:color w:val="auto"/>
          <w:kern w:val="2"/>
          <w:sz w:val="24"/>
          <w:szCs w:val="24"/>
          <w:u w:val="none" w:color="auto"/>
          <w:lang w:val="en-US" w:eastAsia="zh-CN" w:bidi="ar-SA"/>
        </w:rPr>
        <w:t>于“环</w:t>
      </w:r>
      <w:r>
        <w:rPr>
          <w:rFonts w:hint="eastAsia" w:ascii="Times New Roman" w:hAnsi="Times New Roman" w:eastAsia="宋体" w:cs="Times New Roman"/>
          <w:color w:val="auto"/>
          <w:kern w:val="2"/>
          <w:sz w:val="24"/>
          <w:szCs w:val="24"/>
          <w:u w:val="none" w:color="auto"/>
          <w:lang w:val="en-US" w:eastAsia="zh-CN" w:bidi="ar-SA"/>
        </w:rPr>
        <w:t>境和公共设施管理业</w:t>
      </w:r>
      <w:r>
        <w:rPr>
          <w:rFonts w:hint="eastAsia" w:ascii="宋体" w:hAnsi="宋体" w:eastAsia="宋体" w:cs="宋体"/>
          <w:color w:val="auto"/>
          <w:kern w:val="2"/>
          <w:sz w:val="24"/>
          <w:szCs w:val="24"/>
          <w:u w:val="none" w:color="auto"/>
          <w:lang w:val="en-US" w:eastAsia="zh-CN" w:bidi="ar-SA"/>
        </w:rPr>
        <w:t>”中的“废旧资源加工、再生利用”</w:t>
      </w:r>
      <w:r>
        <w:rPr>
          <w:rFonts w:hint="default" w:ascii="Times New Roman" w:hAnsi="Times New Roman" w:eastAsia="宋体" w:cs="Times New Roman"/>
          <w:color w:val="auto"/>
          <w:kern w:val="2"/>
          <w:sz w:val="24"/>
          <w:szCs w:val="24"/>
          <w:u w:val="none" w:color="auto"/>
          <w:lang w:val="en-US" w:eastAsia="zh-CN" w:bidi="ar-SA"/>
        </w:rPr>
        <w:t>，类别为Ⅲ类</w:t>
      </w:r>
      <w:r>
        <w:rPr>
          <w:rFonts w:hint="eastAsia" w:ascii="Times New Roman" w:hAnsi="Times New Roman" w:eastAsia="宋体" w:cs="Times New Roman"/>
          <w:color w:val="auto"/>
          <w:kern w:val="2"/>
          <w:sz w:val="24"/>
          <w:szCs w:val="24"/>
          <w:u w:val="none" w:color="auto"/>
          <w:lang w:val="en-US" w:eastAsia="zh-CN" w:bidi="ar-SA"/>
        </w:rPr>
        <w:t>。</w:t>
      </w:r>
    </w:p>
    <w:p w14:paraId="5CF3E3AD">
      <w:pPr>
        <w:pStyle w:val="20"/>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（2）项目占地规模判定</w:t>
      </w:r>
    </w:p>
    <w:p w14:paraId="72B6F30B">
      <w:pPr>
        <w:pStyle w:val="20"/>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本项目占地面积约为</w:t>
      </w:r>
      <w:r>
        <w:rPr>
          <w:rFonts w:hint="eastAsia"/>
          <w:b w:val="0"/>
          <w:bCs w:val="0"/>
          <w:color w:val="auto"/>
          <w:u w:val="none" w:color="auto"/>
          <w:lang w:val="en-US" w:eastAsia="zh-CN"/>
        </w:rPr>
        <w:t>37749.6</w:t>
      </w:r>
      <w:r>
        <w:rPr>
          <w:rFonts w:hint="default" w:ascii="Times New Roman" w:hAnsi="Times New Roman" w:eastAsia="宋体" w:cs="Times New Roman"/>
          <w:color w:val="auto"/>
          <w:kern w:val="2"/>
          <w:sz w:val="24"/>
          <w:szCs w:val="24"/>
          <w:highlight w:val="none"/>
          <w:u w:val="none" w:color="auto"/>
          <w:lang w:val="en-US" w:eastAsia="zh-CN" w:bidi="ar-SA"/>
        </w:rPr>
        <w:t>m</w:t>
      </w:r>
      <w:r>
        <w:rPr>
          <w:rFonts w:hint="default" w:ascii="Times New Roman" w:hAnsi="Times New Roman" w:eastAsia="宋体" w:cs="Times New Roman"/>
          <w:color w:val="auto"/>
          <w:kern w:val="2"/>
          <w:sz w:val="24"/>
          <w:szCs w:val="24"/>
          <w:highlight w:val="none"/>
          <w:u w:val="none" w:color="auto"/>
          <w:vertAlign w:val="superscript"/>
          <w:lang w:val="en-US" w:eastAsia="zh-CN" w:bidi="ar-SA"/>
        </w:rPr>
        <w:t>2</w:t>
      </w:r>
      <w:r>
        <w:rPr>
          <w:rFonts w:hint="default" w:ascii="Times New Roman" w:hAnsi="Times New Roman" w:eastAsia="宋体" w:cs="Times New Roman"/>
          <w:color w:val="auto"/>
          <w:kern w:val="2"/>
          <w:sz w:val="24"/>
          <w:szCs w:val="24"/>
          <w:u w:val="none" w:color="auto"/>
          <w:lang w:val="en-US" w:eastAsia="zh-CN" w:bidi="ar-SA"/>
        </w:rPr>
        <w:t>≤5hm</w:t>
      </w:r>
      <w:r>
        <w:rPr>
          <w:rFonts w:hint="default" w:ascii="Times New Roman" w:hAnsi="Times New Roman" w:eastAsia="宋体" w:cs="Times New Roman"/>
          <w:color w:val="auto"/>
          <w:kern w:val="2"/>
          <w:sz w:val="24"/>
          <w:szCs w:val="24"/>
          <w:u w:val="none" w:color="auto"/>
          <w:vertAlign w:val="superscript"/>
          <w:lang w:val="en-US" w:eastAsia="zh-CN" w:bidi="ar-SA"/>
        </w:rPr>
        <w:t>2</w:t>
      </w:r>
      <w:r>
        <w:rPr>
          <w:rFonts w:hint="default" w:ascii="Times New Roman" w:hAnsi="Times New Roman" w:eastAsia="宋体" w:cs="Times New Roman"/>
          <w:color w:val="auto"/>
          <w:kern w:val="2"/>
          <w:sz w:val="24"/>
          <w:szCs w:val="24"/>
          <w:u w:val="none" w:color="auto"/>
          <w:lang w:val="en-US" w:eastAsia="zh-CN" w:bidi="ar-SA"/>
        </w:rPr>
        <w:t>，占地规模属于小型。</w:t>
      </w:r>
    </w:p>
    <w:p w14:paraId="3DA27FF0">
      <w:pPr>
        <w:pStyle w:val="20"/>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（3）项目用地敏感程度分析</w:t>
      </w:r>
    </w:p>
    <w:p w14:paraId="6C8D379E">
      <w:pPr>
        <w:pStyle w:val="20"/>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根据现场调查，</w:t>
      </w:r>
      <w:r>
        <w:rPr>
          <w:rFonts w:hint="default" w:ascii="Times New Roman" w:hAnsi="Times New Roman" w:cs="Times New Roman"/>
          <w:color w:val="auto"/>
          <w:kern w:val="2"/>
          <w:sz w:val="24"/>
          <w:szCs w:val="24"/>
          <w:u w:val="none" w:color="auto"/>
          <w:lang w:val="en-US" w:eastAsia="zh-CN" w:bidi="ar-SA"/>
        </w:rPr>
        <w:t>项目</w:t>
      </w:r>
      <w:r>
        <w:rPr>
          <w:rFonts w:hint="eastAsia" w:ascii="Times New Roman" w:hAnsi="Times New Roman" w:cs="Times New Roman"/>
          <w:color w:val="auto"/>
          <w:kern w:val="2"/>
          <w:sz w:val="24"/>
          <w:szCs w:val="24"/>
          <w:u w:val="none" w:color="auto"/>
          <w:lang w:val="en-US" w:eastAsia="zh-CN" w:bidi="ar-SA"/>
        </w:rPr>
        <w:t>位于工业园区</w:t>
      </w:r>
      <w:r>
        <w:rPr>
          <w:rFonts w:hint="default" w:ascii="Times New Roman" w:hAnsi="Times New Roman" w:cs="Times New Roman"/>
          <w:color w:val="auto"/>
          <w:kern w:val="2"/>
          <w:sz w:val="24"/>
          <w:szCs w:val="24"/>
          <w:u w:val="none" w:color="auto"/>
          <w:lang w:val="en-US" w:eastAsia="zh-CN" w:bidi="ar-SA"/>
        </w:rPr>
        <w:t>，</w:t>
      </w:r>
      <w:r>
        <w:rPr>
          <w:rFonts w:hint="default" w:ascii="Times New Roman" w:hAnsi="Times New Roman" w:eastAsia="宋体" w:cs="Times New Roman"/>
          <w:color w:val="auto"/>
          <w:kern w:val="2"/>
          <w:sz w:val="24"/>
          <w:szCs w:val="24"/>
          <w:u w:val="none" w:color="auto"/>
          <w:lang w:val="en-US" w:eastAsia="zh-CN" w:bidi="ar-SA"/>
        </w:rPr>
        <w:t>根据《环境影响评价技术导则-土壤环境》中表3污染影响型敏感程度分级表，敏感程度为</w:t>
      </w:r>
      <w:r>
        <w:rPr>
          <w:rFonts w:hint="eastAsia" w:ascii="Times New Roman" w:hAnsi="Times New Roman" w:eastAsia="宋体" w:cs="Times New Roman"/>
          <w:color w:val="auto"/>
          <w:kern w:val="2"/>
          <w:sz w:val="24"/>
          <w:szCs w:val="24"/>
          <w:u w:val="none" w:color="auto"/>
          <w:lang w:val="en-US" w:eastAsia="zh-CN" w:bidi="ar-SA"/>
        </w:rPr>
        <w:t>不</w:t>
      </w:r>
      <w:r>
        <w:rPr>
          <w:rFonts w:hint="default" w:ascii="Times New Roman" w:hAnsi="Times New Roman" w:eastAsia="宋体" w:cs="Times New Roman"/>
          <w:color w:val="auto"/>
          <w:kern w:val="2"/>
          <w:sz w:val="24"/>
          <w:szCs w:val="24"/>
          <w:u w:val="none" w:color="auto"/>
          <w:lang w:val="en-US" w:eastAsia="zh-CN" w:bidi="ar-SA"/>
        </w:rPr>
        <w:t>敏感。</w:t>
      </w:r>
    </w:p>
    <w:p w14:paraId="3E74CE40">
      <w:pPr>
        <w:pStyle w:val="20"/>
        <w:ind w:firstLine="480"/>
        <w:rPr>
          <w:rFonts w:hint="default" w:ascii="Times New Roman" w:hAnsi="Times New Roman" w:eastAsia="宋体"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（4）土壤环境评价等级</w:t>
      </w:r>
    </w:p>
    <w:p w14:paraId="4D5D4788">
      <w:pPr>
        <w:pStyle w:val="20"/>
        <w:ind w:firstLine="480"/>
        <w:rPr>
          <w:rFonts w:hint="default" w:ascii="Times New Roman" w:hAnsi="Times New Roman" w:cs="Times New Roman"/>
          <w:color w:val="auto"/>
          <w:kern w:val="2"/>
          <w:sz w:val="24"/>
          <w:szCs w:val="24"/>
          <w:u w:val="none" w:color="auto"/>
          <w:lang w:val="en-US" w:eastAsia="zh-CN" w:bidi="ar-SA"/>
        </w:rPr>
      </w:pPr>
      <w:r>
        <w:rPr>
          <w:rFonts w:hint="default" w:ascii="Times New Roman" w:hAnsi="Times New Roman" w:eastAsia="宋体" w:cs="Times New Roman"/>
          <w:color w:val="auto"/>
          <w:kern w:val="2"/>
          <w:sz w:val="24"/>
          <w:szCs w:val="24"/>
          <w:u w:val="none" w:color="auto"/>
          <w:lang w:val="en-US" w:eastAsia="zh-CN" w:bidi="ar-SA"/>
        </w:rPr>
        <w:t>本项目属于Ⅲ类项目，占地面积为小型，占地类型为</w:t>
      </w:r>
      <w:r>
        <w:rPr>
          <w:rFonts w:hint="eastAsia" w:ascii="Times New Roman" w:hAnsi="Times New Roman" w:eastAsia="宋体" w:cs="Times New Roman"/>
          <w:color w:val="auto"/>
          <w:kern w:val="2"/>
          <w:sz w:val="24"/>
          <w:szCs w:val="24"/>
          <w:u w:val="none" w:color="auto"/>
          <w:lang w:val="en-US" w:eastAsia="zh-CN" w:bidi="ar-SA"/>
        </w:rPr>
        <w:t>不</w:t>
      </w:r>
      <w:r>
        <w:rPr>
          <w:rFonts w:hint="default" w:ascii="Times New Roman" w:hAnsi="Times New Roman" w:eastAsia="宋体" w:cs="Times New Roman"/>
          <w:color w:val="auto"/>
          <w:kern w:val="2"/>
          <w:sz w:val="24"/>
          <w:szCs w:val="24"/>
          <w:u w:val="none" w:color="auto"/>
          <w:lang w:val="en-US" w:eastAsia="zh-CN" w:bidi="ar-SA"/>
        </w:rPr>
        <w:t>敏感类型，</w:t>
      </w:r>
      <w:r>
        <w:rPr>
          <w:rFonts w:hint="eastAsia"/>
          <w:color w:val="auto"/>
          <w:u w:val="none" w:color="auto"/>
        </w:rPr>
        <w:t>故本项目可以不开展土壤环评影响评价工作。</w:t>
      </w:r>
    </w:p>
    <w:p w14:paraId="6494364F">
      <w:pPr>
        <w:pStyle w:val="22"/>
        <w:bidi w:val="0"/>
        <w:rPr>
          <w:rFonts w:hint="default"/>
          <w:color w:val="auto"/>
          <w:u w:val="none" w:color="auto"/>
        </w:rPr>
      </w:pPr>
      <w:r>
        <w:rPr>
          <w:rFonts w:hint="default"/>
          <w:color w:val="auto"/>
          <w:u w:val="none" w:color="auto"/>
        </w:rPr>
        <w:t>表2.3-</w:t>
      </w:r>
      <w:r>
        <w:rPr>
          <w:rFonts w:hint="default"/>
          <w:color w:val="auto"/>
          <w:u w:val="none" w:color="auto"/>
          <w:lang w:val="en-US" w:eastAsia="zh-CN"/>
        </w:rPr>
        <w:t>6</w:t>
      </w:r>
      <w:r>
        <w:rPr>
          <w:rFonts w:hint="default"/>
          <w:color w:val="auto"/>
          <w:u w:val="none" w:color="auto"/>
        </w:rPr>
        <w:t xml:space="preserve">  项目</w:t>
      </w:r>
      <w:r>
        <w:rPr>
          <w:rFonts w:hint="default"/>
          <w:color w:val="auto"/>
          <w:u w:val="none" w:color="auto"/>
          <w:lang w:val="en-US" w:eastAsia="zh-CN"/>
        </w:rPr>
        <w:t>土壤</w:t>
      </w:r>
      <w:r>
        <w:rPr>
          <w:rFonts w:hint="default"/>
          <w:color w:val="auto"/>
          <w:u w:val="none" w:color="auto"/>
        </w:rPr>
        <w:t>环境影响评价工作等级判据</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35"/>
        <w:gridCol w:w="641"/>
        <w:gridCol w:w="641"/>
        <w:gridCol w:w="641"/>
        <w:gridCol w:w="641"/>
        <w:gridCol w:w="641"/>
        <w:gridCol w:w="641"/>
        <w:gridCol w:w="641"/>
        <w:gridCol w:w="641"/>
        <w:gridCol w:w="641"/>
      </w:tblGrid>
      <w:tr w14:paraId="0C1CB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atLeast"/>
          <w:jc w:val="center"/>
        </w:trPr>
        <w:tc>
          <w:tcPr>
            <w:tcW w:w="2735" w:type="dxa"/>
            <w:vMerge w:val="restart"/>
            <w:noWrap w:val="0"/>
            <w:vAlign w:val="center"/>
            <mc:AlternateContent>
              <mc:Choice Requires="wpsCustomData">
                <wpsCustomData:diagonals>
                  <wpsCustomData:diagonal from="5000" to="30000">
                    <wpsCustomData:border w:val="single" w:color="auto" w:sz="12" w:space="0"/>
                  </wpsCustomData:diagonal>
                  <wpsCustomData:diagonal from="15000" to="30000">
                    <wpsCustomData:border w:val="single" w:color="auto" w:sz="12" w:space="0"/>
                  </wpsCustomData:diagonal>
                </wpsCustomData:diagonals>
              </mc:Choice>
            </mc:AlternateContent>
          </w:tcPr>
          <w:p w14:paraId="0866ECC6">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 xml:space="preserve">         项目类别</w:t>
            </w:r>
          </w:p>
          <w:p w14:paraId="199EBD75">
            <w:pPr>
              <w:pStyle w:val="24"/>
              <w:snapToGrid w:val="0"/>
              <w:jc w:val="both"/>
              <mc:AlternateContent>
                <mc:Choice Requires="wpsCustomData">
                  <wpsCustomData:diagonalParaType/>
                </mc:Choice>
              </mc:AlternateContent>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环境敏感程度</w:t>
            </w:r>
          </w:p>
          <w:p w14:paraId="5CE96A0E">
            <w:pPr>
              <w:pStyle w:val="24"/>
              <w:snapToGrid w:val="0"/>
              <w:jc w:val="both"/>
              <mc:AlternateContent>
                <mc:Choice Requires="wpsCustomData">
                  <wpsCustomData:diagonalParaType/>
                </mc:Choice>
              </mc:AlternateContent>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评价工作等级</w:t>
            </w:r>
          </w:p>
          <w:p w14:paraId="100E660D">
            <w:pPr>
              <w:pStyle w:val="24"/>
              <w:jc w:val="both"/>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占地规模</w:t>
            </w:r>
          </w:p>
        </w:tc>
        <w:tc>
          <w:tcPr>
            <w:tcW w:w="1923" w:type="dxa"/>
            <w:gridSpan w:val="3"/>
            <w:noWrap w:val="0"/>
            <w:vAlign w:val="center"/>
          </w:tcPr>
          <w:p w14:paraId="558E7420">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Ⅰ类项目</w:t>
            </w:r>
          </w:p>
        </w:tc>
        <w:tc>
          <w:tcPr>
            <w:tcW w:w="1923" w:type="dxa"/>
            <w:gridSpan w:val="3"/>
            <w:noWrap w:val="0"/>
            <w:vAlign w:val="center"/>
          </w:tcPr>
          <w:p w14:paraId="2117F07F">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Ⅱ类项目</w:t>
            </w:r>
          </w:p>
        </w:tc>
        <w:tc>
          <w:tcPr>
            <w:tcW w:w="1923" w:type="dxa"/>
            <w:gridSpan w:val="3"/>
            <w:noWrap w:val="0"/>
            <w:vAlign w:val="center"/>
          </w:tcPr>
          <w:p w14:paraId="1F27E5DA">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Ⅲ类项目</w:t>
            </w:r>
          </w:p>
        </w:tc>
      </w:tr>
      <w:tr w14:paraId="0BC6E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vMerge w:val="continue"/>
            <w:tcBorders>
              <w:tl2br w:val="single" w:color="auto" w:sz="12" w:space="0"/>
            </w:tcBorders>
            <w:noWrap w:val="0"/>
            <w:vAlign w:val="center"/>
          </w:tcPr>
          <w:p w14:paraId="15DD381D">
            <w:pPr>
              <w:pStyle w:val="24"/>
              <w:jc w:val="both"/>
              <w:rPr>
                <w:rFonts w:hint="default" w:ascii="Times New Roman" w:hAnsi="Times New Roman" w:cs="Times New Roman"/>
                <w:color w:val="auto"/>
                <w:kern w:val="2"/>
                <w:szCs w:val="24"/>
                <w:u w:val="none" w:color="auto"/>
                <w:lang w:val="en-US" w:eastAsia="zh-CN"/>
              </w:rPr>
            </w:pPr>
          </w:p>
        </w:tc>
        <w:tc>
          <w:tcPr>
            <w:tcW w:w="641" w:type="dxa"/>
            <w:noWrap w:val="0"/>
            <w:vAlign w:val="center"/>
          </w:tcPr>
          <w:p w14:paraId="6CE41E5C">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大</w:t>
            </w:r>
          </w:p>
        </w:tc>
        <w:tc>
          <w:tcPr>
            <w:tcW w:w="641" w:type="dxa"/>
            <w:noWrap w:val="0"/>
            <w:vAlign w:val="center"/>
          </w:tcPr>
          <w:p w14:paraId="721B728A">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中</w:t>
            </w:r>
          </w:p>
        </w:tc>
        <w:tc>
          <w:tcPr>
            <w:tcW w:w="641" w:type="dxa"/>
            <w:noWrap w:val="0"/>
            <w:vAlign w:val="center"/>
          </w:tcPr>
          <w:p w14:paraId="1891B028">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小</w:t>
            </w:r>
          </w:p>
        </w:tc>
        <w:tc>
          <w:tcPr>
            <w:tcW w:w="641" w:type="dxa"/>
            <w:noWrap w:val="0"/>
            <w:vAlign w:val="center"/>
          </w:tcPr>
          <w:p w14:paraId="675DB95D">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大</w:t>
            </w:r>
          </w:p>
        </w:tc>
        <w:tc>
          <w:tcPr>
            <w:tcW w:w="641" w:type="dxa"/>
            <w:noWrap w:val="0"/>
            <w:vAlign w:val="center"/>
          </w:tcPr>
          <w:p w14:paraId="54A2B5C7">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中</w:t>
            </w:r>
          </w:p>
        </w:tc>
        <w:tc>
          <w:tcPr>
            <w:tcW w:w="641" w:type="dxa"/>
            <w:noWrap w:val="0"/>
            <w:vAlign w:val="center"/>
          </w:tcPr>
          <w:p w14:paraId="3729D773">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小</w:t>
            </w:r>
          </w:p>
        </w:tc>
        <w:tc>
          <w:tcPr>
            <w:tcW w:w="641" w:type="dxa"/>
            <w:noWrap w:val="0"/>
            <w:vAlign w:val="center"/>
          </w:tcPr>
          <w:p w14:paraId="10087621">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大</w:t>
            </w:r>
          </w:p>
        </w:tc>
        <w:tc>
          <w:tcPr>
            <w:tcW w:w="641" w:type="dxa"/>
            <w:noWrap w:val="0"/>
            <w:vAlign w:val="center"/>
          </w:tcPr>
          <w:p w14:paraId="1E7610F6">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中</w:t>
            </w:r>
          </w:p>
        </w:tc>
        <w:tc>
          <w:tcPr>
            <w:tcW w:w="641" w:type="dxa"/>
            <w:noWrap w:val="0"/>
            <w:vAlign w:val="center"/>
          </w:tcPr>
          <w:p w14:paraId="4D387D6A">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小</w:t>
            </w:r>
          </w:p>
        </w:tc>
      </w:tr>
      <w:tr w14:paraId="292AD7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1F06CD2D">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敏感</w:t>
            </w:r>
          </w:p>
        </w:tc>
        <w:tc>
          <w:tcPr>
            <w:tcW w:w="641" w:type="dxa"/>
            <w:noWrap w:val="0"/>
            <w:vAlign w:val="center"/>
          </w:tcPr>
          <w:p w14:paraId="03FAA536">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4EC7B1EC">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2732CB03">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368016F4">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6CFF4C17">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68BA2A79">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2BB6F74D">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328C8ABE">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72220B12">
            <w:pPr>
              <w:rPr>
                <w:rFonts w:hint="default" w:ascii="Times New Roman" w:hAnsi="Times New Roman" w:cs="Times New Roman"/>
                <w:color w:val="auto"/>
                <w:kern w:val="2"/>
                <w:szCs w:val="24"/>
                <w:highlight w:val="none"/>
                <w:u w:val="none" w:color="auto"/>
                <w:lang w:val="en-US" w:eastAsia="zh-CN"/>
              </w:rPr>
            </w:pPr>
            <w:r>
              <w:rPr>
                <w:rFonts w:hint="default" w:ascii="Times New Roman" w:hAnsi="Times New Roman" w:cs="Times New Roman"/>
                <w:color w:val="auto"/>
                <w:kern w:val="2"/>
                <w:szCs w:val="24"/>
                <w:highlight w:val="none"/>
                <w:u w:val="none" w:color="auto"/>
                <w:lang w:val="en-US" w:eastAsia="zh-CN"/>
              </w:rPr>
              <w:t>三级</w:t>
            </w:r>
          </w:p>
        </w:tc>
      </w:tr>
      <w:tr w14:paraId="4E4E28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646E15F2">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较敏感</w:t>
            </w:r>
          </w:p>
        </w:tc>
        <w:tc>
          <w:tcPr>
            <w:tcW w:w="641" w:type="dxa"/>
            <w:noWrap w:val="0"/>
            <w:vAlign w:val="center"/>
          </w:tcPr>
          <w:p w14:paraId="52FF9E47">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5F9576F5">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64F8FD8A">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4AA297A0">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7D564B57">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6F2759D4">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129845AA">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63D8414A">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7F0B3EC5">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w:t>
            </w:r>
          </w:p>
        </w:tc>
      </w:tr>
      <w:tr w14:paraId="71039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735" w:type="dxa"/>
            <w:noWrap w:val="0"/>
            <w:vAlign w:val="center"/>
          </w:tcPr>
          <w:p w14:paraId="514A0D33">
            <w:pPr>
              <w:pStyle w:val="24"/>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u w:val="none" w:color="auto"/>
                <w:lang w:val="en-US" w:eastAsia="zh-CN"/>
              </w:rPr>
              <w:t>不敏感</w:t>
            </w:r>
          </w:p>
        </w:tc>
        <w:tc>
          <w:tcPr>
            <w:tcW w:w="641" w:type="dxa"/>
            <w:noWrap w:val="0"/>
            <w:vAlign w:val="center"/>
          </w:tcPr>
          <w:p w14:paraId="109FD010">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一级</w:t>
            </w:r>
          </w:p>
        </w:tc>
        <w:tc>
          <w:tcPr>
            <w:tcW w:w="641" w:type="dxa"/>
            <w:noWrap w:val="0"/>
            <w:vAlign w:val="center"/>
          </w:tcPr>
          <w:p w14:paraId="204C2EF4">
            <w:pPr>
              <w:rPr>
                <w:rFonts w:hint="default" w:ascii="Times New Roman" w:hAnsi="Times New Roman" w:cs="Times New Roman"/>
                <w:color w:val="auto"/>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7FF75304">
            <w:pPr>
              <w:rPr>
                <w:rFonts w:hint="default" w:ascii="Times New Roman" w:hAnsi="Times New Roman" w:cs="Times New Roman"/>
                <w:color w:val="auto"/>
                <w:u w:val="none" w:color="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64621FC1">
            <w:pPr>
              <w:rPr>
                <w:rFonts w:hint="default" w:ascii="Times New Roman" w:hAnsi="Times New Roman" w:cs="Times New Roman"/>
                <w:color w:val="auto"/>
                <w:kern w:val="2"/>
                <w:szCs w:val="24"/>
                <w:u w:val="none" w:color="auto"/>
                <w:shd w:val="clear" w:color="auto" w:fill="auto"/>
                <w:lang w:val="en-US" w:eastAsia="zh-CN"/>
              </w:rPr>
            </w:pPr>
            <w:r>
              <w:rPr>
                <w:rFonts w:hint="default" w:ascii="Times New Roman" w:hAnsi="Times New Roman" w:cs="Times New Roman"/>
                <w:color w:val="auto"/>
                <w:kern w:val="2"/>
                <w:szCs w:val="24"/>
                <w:u w:val="none" w:color="auto"/>
                <w:lang w:val="en-US" w:eastAsia="zh-CN"/>
              </w:rPr>
              <w:t>二级</w:t>
            </w:r>
          </w:p>
        </w:tc>
        <w:tc>
          <w:tcPr>
            <w:tcW w:w="641" w:type="dxa"/>
            <w:noWrap w:val="0"/>
            <w:vAlign w:val="center"/>
          </w:tcPr>
          <w:p w14:paraId="653BD59E">
            <w:pPr>
              <w:rPr>
                <w:rFonts w:hint="default" w:ascii="Times New Roman" w:hAnsi="Times New Roman" w:cs="Times New Roman"/>
                <w:color w:val="auto"/>
                <w:u w:val="none" w:color="auto"/>
                <w:shd w:val="clear" w:color="auto" w:fill="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289E7958">
            <w:pPr>
              <w:rPr>
                <w:rFonts w:hint="default" w:ascii="Times New Roman" w:hAnsi="Times New Roman" w:cs="Times New Roman"/>
                <w:color w:val="auto"/>
                <w:u w:val="none" w:color="auto"/>
                <w:shd w:val="clear" w:color="auto" w:fill="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46DD2C07">
            <w:pPr>
              <w:rPr>
                <w:rFonts w:hint="default" w:ascii="Times New Roman" w:hAnsi="Times New Roman" w:cs="Times New Roman"/>
                <w:color w:val="auto"/>
                <w:kern w:val="2"/>
                <w:szCs w:val="24"/>
                <w:u w:val="none" w:color="auto"/>
                <w:lang w:val="en-US" w:eastAsia="zh-CN"/>
              </w:rPr>
            </w:pPr>
            <w:r>
              <w:rPr>
                <w:rFonts w:hint="default" w:ascii="Times New Roman" w:hAnsi="Times New Roman" w:cs="Times New Roman"/>
                <w:color w:val="auto"/>
                <w:kern w:val="2"/>
                <w:szCs w:val="24"/>
                <w:u w:val="none" w:color="auto"/>
                <w:lang w:val="en-US" w:eastAsia="zh-CN"/>
              </w:rPr>
              <w:t>三级</w:t>
            </w:r>
          </w:p>
        </w:tc>
        <w:tc>
          <w:tcPr>
            <w:tcW w:w="641" w:type="dxa"/>
            <w:noWrap w:val="0"/>
            <w:vAlign w:val="center"/>
          </w:tcPr>
          <w:p w14:paraId="5FB6D9FF">
            <w:pPr>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kern w:val="2"/>
                <w:szCs w:val="24"/>
                <w:u w:val="none" w:color="auto"/>
                <w:lang w:val="en-US" w:eastAsia="zh-CN"/>
              </w:rPr>
              <w:t>-</w:t>
            </w:r>
          </w:p>
        </w:tc>
        <w:tc>
          <w:tcPr>
            <w:tcW w:w="641" w:type="dxa"/>
            <w:noWrap w:val="0"/>
            <w:vAlign w:val="center"/>
          </w:tcPr>
          <w:p w14:paraId="54161D04">
            <w:pPr>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kern w:val="2"/>
                <w:szCs w:val="24"/>
                <w:highlight w:val="lightGray"/>
                <w:u w:val="none" w:color="auto"/>
                <w:lang w:val="en-US" w:eastAsia="zh-CN"/>
              </w:rPr>
              <w:t>-</w:t>
            </w:r>
          </w:p>
        </w:tc>
      </w:tr>
      <w:tr w14:paraId="64D3E5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04" w:type="dxa"/>
            <w:gridSpan w:val="10"/>
            <w:noWrap w:val="0"/>
            <w:vAlign w:val="center"/>
          </w:tcPr>
          <w:p w14:paraId="32C03931">
            <w:pPr>
              <w:pStyle w:val="24"/>
              <w:jc w:val="left"/>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注：“-”表示可不开展土壤环境影响评价工作。</w:t>
            </w:r>
          </w:p>
        </w:tc>
      </w:tr>
    </w:tbl>
    <w:p w14:paraId="60D627BA">
      <w:pPr>
        <w:pStyle w:val="4"/>
        <w:bidi w:val="0"/>
        <w:rPr>
          <w:rFonts w:hint="default"/>
          <w:color w:val="auto"/>
          <w:u w:val="none" w:color="auto"/>
          <w:lang w:eastAsia="zh-CN"/>
        </w:rPr>
      </w:pPr>
      <w:bookmarkStart w:id="471" w:name="_Toc16585"/>
      <w:bookmarkStart w:id="472" w:name="_Toc28487"/>
      <w:bookmarkStart w:id="473" w:name="_Toc19955"/>
      <w:r>
        <w:rPr>
          <w:rFonts w:hint="default"/>
          <w:color w:val="auto"/>
          <w:u w:val="none" w:color="auto"/>
        </w:rPr>
        <w:t>2.3.</w:t>
      </w:r>
      <w:r>
        <w:rPr>
          <w:rFonts w:hint="default"/>
          <w:color w:val="auto"/>
          <w:u w:val="none" w:color="auto"/>
          <w:lang w:val="en-US" w:eastAsia="zh-CN"/>
        </w:rPr>
        <w:t>6</w:t>
      </w:r>
      <w:r>
        <w:rPr>
          <w:rFonts w:hint="default"/>
          <w:color w:val="auto"/>
          <w:u w:val="none" w:color="auto"/>
          <w:lang w:eastAsia="zh-CN"/>
        </w:rPr>
        <w:t>生态</w:t>
      </w:r>
      <w:r>
        <w:rPr>
          <w:rFonts w:hint="default"/>
          <w:color w:val="auto"/>
          <w:u w:val="none" w:color="auto"/>
        </w:rPr>
        <w:t>环境影响评价工作等级</w:t>
      </w:r>
      <w:bookmarkEnd w:id="470"/>
      <w:bookmarkEnd w:id="471"/>
      <w:bookmarkEnd w:id="472"/>
      <w:bookmarkEnd w:id="473"/>
    </w:p>
    <w:p w14:paraId="3AB7F19B">
      <w:pPr>
        <w:pStyle w:val="20"/>
        <w:bidi w:val="0"/>
        <w:rPr>
          <w:rFonts w:hint="eastAsia"/>
          <w:color w:val="auto"/>
          <w:u w:val="none" w:color="auto"/>
          <w:lang w:val="en-US" w:eastAsia="zh-CN"/>
        </w:rPr>
      </w:pPr>
      <w:r>
        <w:rPr>
          <w:rFonts w:hint="default" w:ascii="Times New Roman" w:hAnsi="Times New Roman" w:cs="Times New Roman"/>
          <w:color w:val="auto"/>
          <w:u w:val="none" w:color="auto"/>
        </w:rPr>
        <w:t>《环境影响评价技术导则 生态影响》（HJ 19-2022）6.1.8“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本项目位于已批准规划环评的产业园区内且符合规划环评要求、不涉及生态敏感区的污染影响类建设项目，按规定可不确定评价等级，直接进行生态影响简单分析</w:t>
      </w:r>
      <w:r>
        <w:rPr>
          <w:rFonts w:hint="eastAsia"/>
          <w:color w:val="auto"/>
          <w:u w:val="none" w:color="auto"/>
          <w:lang w:val="en-US" w:eastAsia="zh-CN"/>
        </w:rPr>
        <w:t>。</w:t>
      </w:r>
    </w:p>
    <w:p w14:paraId="405C95ED">
      <w:pPr>
        <w:pStyle w:val="20"/>
        <w:bidi w:val="0"/>
        <w:rPr>
          <w:rFonts w:hint="default" w:ascii="Times New Roman" w:hAnsi="Times New Roman" w:eastAsia="宋体" w:cs="Times New Roman"/>
          <w:color w:val="auto"/>
          <w:u w:val="none" w:color="auto"/>
          <w:lang w:val="en-US" w:eastAsia="zh-CN"/>
        </w:rPr>
      </w:pPr>
      <w:r>
        <w:rPr>
          <w:rFonts w:hint="eastAsia"/>
          <w:color w:val="auto"/>
          <w:u w:val="none" w:color="auto"/>
          <w:lang w:val="en-US" w:eastAsia="zh-CN"/>
        </w:rPr>
        <w:t>本项目生态环境影响评价不设置评价范围。</w:t>
      </w:r>
    </w:p>
    <w:p w14:paraId="0E34FB47">
      <w:pPr>
        <w:pStyle w:val="4"/>
        <w:rPr>
          <w:rFonts w:hint="default" w:ascii="Times New Roman" w:hAnsi="Times New Roman" w:eastAsia="宋体" w:cs="Times New Roman"/>
          <w:color w:val="auto"/>
          <w:u w:val="none" w:color="auto"/>
          <w:lang w:eastAsia="zh-CN"/>
        </w:rPr>
      </w:pPr>
      <w:bookmarkStart w:id="474" w:name="_Toc911"/>
      <w:bookmarkStart w:id="475" w:name="_Toc27645"/>
      <w:bookmarkStart w:id="476" w:name="_Toc17232"/>
      <w:bookmarkStart w:id="477" w:name="_Toc73"/>
      <w:bookmarkStart w:id="478" w:name="_Toc10986"/>
      <w:bookmarkStart w:id="479" w:name="_Toc31636_WPSOffice_Level3"/>
      <w:bookmarkStart w:id="480" w:name="_Toc13736"/>
      <w:bookmarkStart w:id="481" w:name="_Toc22375"/>
      <w:bookmarkStart w:id="482" w:name="_Toc31436"/>
      <w:bookmarkStart w:id="483" w:name="_Toc15277"/>
      <w:bookmarkStart w:id="484" w:name="_Toc16014"/>
      <w:bookmarkStart w:id="485" w:name="_Toc1169"/>
      <w:bookmarkStart w:id="486" w:name="_Toc14100_WPSOffice_Level3"/>
      <w:bookmarkStart w:id="487" w:name="_Toc12190"/>
      <w:bookmarkStart w:id="488" w:name="_Toc2606"/>
      <w:r>
        <w:rPr>
          <w:rFonts w:hint="default" w:ascii="Times New Roman" w:hAnsi="Times New Roman" w:cs="Times New Roman"/>
          <w:color w:val="auto"/>
          <w:u w:val="none" w:color="auto"/>
        </w:rPr>
        <w:t>2.3.</w:t>
      </w:r>
      <w:r>
        <w:rPr>
          <w:rFonts w:hint="default"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eastAsia="zh-CN"/>
        </w:rPr>
        <w:t>环境风险</w:t>
      </w:r>
      <w:r>
        <w:rPr>
          <w:rFonts w:hint="default" w:ascii="Times New Roman" w:hAnsi="Times New Roman" w:cs="Times New Roman"/>
          <w:color w:val="auto"/>
          <w:u w:val="none" w:color="auto"/>
        </w:rPr>
        <w:t>影响评价工作等级</w:t>
      </w:r>
      <w:bookmarkEnd w:id="474"/>
      <w:bookmarkEnd w:id="475"/>
      <w:bookmarkEnd w:id="476"/>
      <w:bookmarkEnd w:id="477"/>
    </w:p>
    <w:p w14:paraId="3A8C0C9A">
      <w:pPr>
        <w:pStyle w:val="22"/>
        <w:bidi w:val="0"/>
        <w:rPr>
          <w:rFonts w:hint="default"/>
          <w:color w:val="auto"/>
          <w:u w:val="none" w:color="auto"/>
        </w:rPr>
      </w:pPr>
      <w:r>
        <w:rPr>
          <w:rFonts w:hint="default"/>
          <w:color w:val="auto"/>
          <w:u w:val="none" w:color="auto"/>
        </w:rPr>
        <w:t>表</w:t>
      </w:r>
      <w:r>
        <w:rPr>
          <w:rFonts w:hint="default"/>
          <w:color w:val="auto"/>
          <w:u w:val="none" w:color="auto"/>
          <w:lang w:val="en-US" w:eastAsia="zh-CN"/>
        </w:rPr>
        <w:t>2.3-</w:t>
      </w:r>
      <w:r>
        <w:rPr>
          <w:rFonts w:hint="eastAsia"/>
          <w:color w:val="auto"/>
          <w:u w:val="none" w:color="auto"/>
          <w:lang w:val="en-US" w:eastAsia="zh-CN"/>
        </w:rPr>
        <w:t>7</w:t>
      </w:r>
      <w:r>
        <w:rPr>
          <w:rFonts w:hint="default"/>
          <w:color w:val="auto"/>
          <w:u w:val="none" w:color="auto"/>
          <w:lang w:val="en-US" w:eastAsia="zh-CN"/>
        </w:rPr>
        <w:t xml:space="preserve">  </w:t>
      </w:r>
      <w:r>
        <w:rPr>
          <w:rFonts w:hint="default"/>
          <w:color w:val="auto"/>
          <w:u w:val="none" w:color="auto"/>
        </w:rPr>
        <w:t>涉及的风险物质及Q值计算一览表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523"/>
        <w:gridCol w:w="1241"/>
        <w:gridCol w:w="1065"/>
        <w:gridCol w:w="1320"/>
        <w:gridCol w:w="1333"/>
        <w:gridCol w:w="1071"/>
        <w:gridCol w:w="1019"/>
        <w:gridCol w:w="932"/>
      </w:tblGrid>
      <w:tr w14:paraId="5CAC65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04625C60">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1241" w:type="dxa"/>
            <w:noWrap w:val="0"/>
            <w:vAlign w:val="center"/>
          </w:tcPr>
          <w:p w14:paraId="30345BA5">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名称</w:t>
            </w:r>
          </w:p>
        </w:tc>
        <w:tc>
          <w:tcPr>
            <w:tcW w:w="1065" w:type="dxa"/>
            <w:noWrap w:val="0"/>
            <w:vAlign w:val="center"/>
          </w:tcPr>
          <w:p w14:paraId="64A1E89E">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理化性质</w:t>
            </w:r>
          </w:p>
        </w:tc>
        <w:tc>
          <w:tcPr>
            <w:tcW w:w="1320" w:type="dxa"/>
            <w:noWrap w:val="0"/>
            <w:vAlign w:val="center"/>
          </w:tcPr>
          <w:p w14:paraId="3E91FA27">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危害特性</w:t>
            </w:r>
          </w:p>
        </w:tc>
        <w:tc>
          <w:tcPr>
            <w:tcW w:w="1333" w:type="dxa"/>
            <w:noWrap w:val="0"/>
            <w:vAlign w:val="center"/>
          </w:tcPr>
          <w:p w14:paraId="25F6F9AC">
            <w:pPr>
              <w:pStyle w:val="24"/>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val="en-US" w:eastAsia="zh-CN"/>
              </w:rPr>
              <w:t>贮存方式</w:t>
            </w:r>
          </w:p>
        </w:tc>
        <w:tc>
          <w:tcPr>
            <w:tcW w:w="1071" w:type="dxa"/>
            <w:noWrap w:val="0"/>
            <w:vAlign w:val="center"/>
          </w:tcPr>
          <w:p w14:paraId="1EFB3489">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最大贮存量qi</w:t>
            </w:r>
          </w:p>
        </w:tc>
        <w:tc>
          <w:tcPr>
            <w:tcW w:w="1019" w:type="dxa"/>
            <w:noWrap w:val="0"/>
            <w:vAlign w:val="center"/>
          </w:tcPr>
          <w:p w14:paraId="32207CE4">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导则</w:t>
            </w:r>
            <w:r>
              <w:rPr>
                <w:rFonts w:hint="default" w:ascii="Times New Roman" w:hAnsi="Times New Roman" w:cs="Times New Roman"/>
                <w:color w:val="auto"/>
                <w:u w:val="none" w:color="auto"/>
                <w:lang w:val="en-US" w:eastAsia="zh-CN"/>
              </w:rPr>
              <w:t>》中规定的临界量Qi</w:t>
            </w:r>
          </w:p>
        </w:tc>
        <w:tc>
          <w:tcPr>
            <w:tcW w:w="932" w:type="dxa"/>
            <w:noWrap w:val="0"/>
            <w:vAlign w:val="center"/>
          </w:tcPr>
          <w:p w14:paraId="10F89B59">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qi/Qi</w:t>
            </w:r>
          </w:p>
        </w:tc>
      </w:tr>
      <w:tr w14:paraId="19B90D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4CB45129">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1241" w:type="dxa"/>
            <w:noWrap w:val="0"/>
            <w:vAlign w:val="center"/>
          </w:tcPr>
          <w:p w14:paraId="270A5553">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矿物油</w:t>
            </w:r>
          </w:p>
        </w:tc>
        <w:tc>
          <w:tcPr>
            <w:tcW w:w="1065" w:type="dxa"/>
            <w:noWrap w:val="0"/>
            <w:vAlign w:val="center"/>
          </w:tcPr>
          <w:p w14:paraId="01E24ED9">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液态</w:t>
            </w:r>
          </w:p>
        </w:tc>
        <w:tc>
          <w:tcPr>
            <w:tcW w:w="1320" w:type="dxa"/>
            <w:noWrap w:val="0"/>
            <w:vAlign w:val="center"/>
          </w:tcPr>
          <w:p w14:paraId="454130F5">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易燃</w:t>
            </w:r>
          </w:p>
        </w:tc>
        <w:tc>
          <w:tcPr>
            <w:tcW w:w="1333" w:type="dxa"/>
            <w:noWrap w:val="0"/>
            <w:vAlign w:val="center"/>
          </w:tcPr>
          <w:p w14:paraId="5419A620">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仓库</w:t>
            </w:r>
          </w:p>
        </w:tc>
        <w:tc>
          <w:tcPr>
            <w:tcW w:w="1071" w:type="dxa"/>
            <w:noWrap w:val="0"/>
            <w:vAlign w:val="center"/>
          </w:tcPr>
          <w:p w14:paraId="6C6FEA14">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0.1t</w:t>
            </w:r>
          </w:p>
        </w:tc>
        <w:tc>
          <w:tcPr>
            <w:tcW w:w="1019" w:type="dxa"/>
            <w:noWrap w:val="0"/>
            <w:vAlign w:val="center"/>
          </w:tcPr>
          <w:p w14:paraId="34DED68B">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2500t</w:t>
            </w:r>
          </w:p>
        </w:tc>
        <w:tc>
          <w:tcPr>
            <w:tcW w:w="932" w:type="dxa"/>
            <w:noWrap w:val="0"/>
            <w:vAlign w:val="center"/>
          </w:tcPr>
          <w:p w14:paraId="0C22C084">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0.00004</w:t>
            </w:r>
          </w:p>
        </w:tc>
      </w:tr>
      <w:tr w14:paraId="6157FE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66A46863">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2</w:t>
            </w:r>
          </w:p>
        </w:tc>
        <w:tc>
          <w:tcPr>
            <w:tcW w:w="1241" w:type="dxa"/>
            <w:noWrap w:val="0"/>
            <w:vAlign w:val="center"/>
          </w:tcPr>
          <w:p w14:paraId="7B995D4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废矿物油</w:t>
            </w:r>
          </w:p>
        </w:tc>
        <w:tc>
          <w:tcPr>
            <w:tcW w:w="1065" w:type="dxa"/>
            <w:noWrap w:val="0"/>
            <w:vAlign w:val="center"/>
          </w:tcPr>
          <w:p w14:paraId="1CDC2DD8">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液态</w:t>
            </w:r>
          </w:p>
        </w:tc>
        <w:tc>
          <w:tcPr>
            <w:tcW w:w="1320" w:type="dxa"/>
            <w:noWrap w:val="0"/>
            <w:vAlign w:val="center"/>
          </w:tcPr>
          <w:p w14:paraId="25CBEB83">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易燃、毒性</w:t>
            </w:r>
          </w:p>
        </w:tc>
        <w:tc>
          <w:tcPr>
            <w:tcW w:w="1333" w:type="dxa"/>
            <w:noWrap w:val="0"/>
            <w:vAlign w:val="center"/>
          </w:tcPr>
          <w:p w14:paraId="6805C1C8">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141F3727">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0.1t</w:t>
            </w:r>
          </w:p>
        </w:tc>
        <w:tc>
          <w:tcPr>
            <w:tcW w:w="1019" w:type="dxa"/>
            <w:noWrap w:val="0"/>
            <w:vAlign w:val="center"/>
          </w:tcPr>
          <w:p w14:paraId="28335236">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54991BEC">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0.002</w:t>
            </w:r>
          </w:p>
        </w:tc>
      </w:tr>
      <w:tr w14:paraId="510F5E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31C1CFC6">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3</w:t>
            </w:r>
          </w:p>
        </w:tc>
        <w:tc>
          <w:tcPr>
            <w:tcW w:w="1241" w:type="dxa"/>
            <w:noWrap w:val="0"/>
            <w:vAlign w:val="center"/>
          </w:tcPr>
          <w:p w14:paraId="7EF51E4B">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废活性炭</w:t>
            </w:r>
          </w:p>
        </w:tc>
        <w:tc>
          <w:tcPr>
            <w:tcW w:w="1065" w:type="dxa"/>
            <w:noWrap w:val="0"/>
            <w:vAlign w:val="center"/>
          </w:tcPr>
          <w:p w14:paraId="1DA0468C">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固态</w:t>
            </w:r>
          </w:p>
        </w:tc>
        <w:tc>
          <w:tcPr>
            <w:tcW w:w="1320" w:type="dxa"/>
            <w:noWrap w:val="0"/>
            <w:vAlign w:val="center"/>
          </w:tcPr>
          <w:p w14:paraId="69807147">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1C865CD1">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44D5087E">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4.3t</w:t>
            </w:r>
          </w:p>
        </w:tc>
        <w:tc>
          <w:tcPr>
            <w:tcW w:w="1019" w:type="dxa"/>
            <w:noWrap w:val="0"/>
            <w:vAlign w:val="center"/>
          </w:tcPr>
          <w:p w14:paraId="58447A5C">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52CF2ADF">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0.086</w:t>
            </w:r>
          </w:p>
        </w:tc>
      </w:tr>
      <w:tr w14:paraId="45B647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3BB11F7D">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4</w:t>
            </w:r>
          </w:p>
        </w:tc>
        <w:tc>
          <w:tcPr>
            <w:tcW w:w="1241" w:type="dxa"/>
            <w:noWrap w:val="0"/>
            <w:vAlign w:val="center"/>
          </w:tcPr>
          <w:p w14:paraId="30F2374F">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溶剂型</w:t>
            </w:r>
            <w:r>
              <w:rPr>
                <w:rFonts w:hint="default" w:ascii="Times New Roman" w:hAnsi="Times New Roman" w:cs="Times New Roman"/>
                <w:color w:val="auto"/>
                <w:u w:val="none" w:color="auto"/>
              </w:rPr>
              <w:t>胶粘剂包装桶</w:t>
            </w:r>
          </w:p>
        </w:tc>
        <w:tc>
          <w:tcPr>
            <w:tcW w:w="1065" w:type="dxa"/>
            <w:noWrap w:val="0"/>
            <w:vAlign w:val="center"/>
          </w:tcPr>
          <w:p w14:paraId="2F3DA821">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固体</w:t>
            </w:r>
          </w:p>
        </w:tc>
        <w:tc>
          <w:tcPr>
            <w:tcW w:w="1320" w:type="dxa"/>
            <w:noWrap w:val="0"/>
            <w:vAlign w:val="center"/>
          </w:tcPr>
          <w:p w14:paraId="45ECC3F2">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49071747">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危废暂存间</w:t>
            </w:r>
          </w:p>
        </w:tc>
        <w:tc>
          <w:tcPr>
            <w:tcW w:w="1071" w:type="dxa"/>
            <w:noWrap w:val="0"/>
            <w:vAlign w:val="center"/>
          </w:tcPr>
          <w:p w14:paraId="32EC19A1">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0.152t</w:t>
            </w:r>
          </w:p>
        </w:tc>
        <w:tc>
          <w:tcPr>
            <w:tcW w:w="1019" w:type="dxa"/>
            <w:noWrap w:val="0"/>
            <w:vAlign w:val="center"/>
          </w:tcPr>
          <w:p w14:paraId="66817DB0">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50t</w:t>
            </w:r>
          </w:p>
        </w:tc>
        <w:tc>
          <w:tcPr>
            <w:tcW w:w="932" w:type="dxa"/>
            <w:noWrap w:val="0"/>
            <w:vAlign w:val="center"/>
          </w:tcPr>
          <w:p w14:paraId="291448F9">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0.00304</w:t>
            </w:r>
          </w:p>
        </w:tc>
      </w:tr>
      <w:tr w14:paraId="71710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16A676CA">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5</w:t>
            </w:r>
          </w:p>
        </w:tc>
        <w:tc>
          <w:tcPr>
            <w:tcW w:w="1241" w:type="dxa"/>
            <w:noWrap w:val="0"/>
            <w:vAlign w:val="center"/>
          </w:tcPr>
          <w:p w14:paraId="4D78923C">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二甲苯</w:t>
            </w:r>
          </w:p>
        </w:tc>
        <w:tc>
          <w:tcPr>
            <w:tcW w:w="1065" w:type="dxa"/>
            <w:noWrap w:val="0"/>
            <w:vAlign w:val="center"/>
          </w:tcPr>
          <w:p w14:paraId="494310F5">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液态</w:t>
            </w:r>
          </w:p>
        </w:tc>
        <w:tc>
          <w:tcPr>
            <w:tcW w:w="1320" w:type="dxa"/>
            <w:noWrap w:val="0"/>
            <w:vAlign w:val="center"/>
          </w:tcPr>
          <w:p w14:paraId="6056AFE6">
            <w:pPr>
              <w:pStyle w:val="24"/>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536FC39C">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仓库</w:t>
            </w:r>
          </w:p>
        </w:tc>
        <w:tc>
          <w:tcPr>
            <w:tcW w:w="1071" w:type="dxa"/>
            <w:noWrap w:val="0"/>
            <w:vAlign w:val="center"/>
          </w:tcPr>
          <w:p w14:paraId="79182D4A">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0.1t</w:t>
            </w:r>
          </w:p>
        </w:tc>
        <w:tc>
          <w:tcPr>
            <w:tcW w:w="1019" w:type="dxa"/>
            <w:noWrap w:val="0"/>
            <w:vAlign w:val="center"/>
          </w:tcPr>
          <w:p w14:paraId="32750073">
            <w:pPr>
              <w:pStyle w:val="24"/>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10t</w:t>
            </w:r>
          </w:p>
        </w:tc>
        <w:tc>
          <w:tcPr>
            <w:tcW w:w="932" w:type="dxa"/>
            <w:noWrap w:val="0"/>
            <w:vAlign w:val="center"/>
          </w:tcPr>
          <w:p w14:paraId="19A28CED">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0.01</w:t>
            </w:r>
          </w:p>
        </w:tc>
      </w:tr>
      <w:tr w14:paraId="1313FE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7B058BB9">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6</w:t>
            </w:r>
          </w:p>
        </w:tc>
        <w:tc>
          <w:tcPr>
            <w:tcW w:w="1241" w:type="dxa"/>
            <w:noWrap w:val="0"/>
            <w:vAlign w:val="center"/>
          </w:tcPr>
          <w:p w14:paraId="4C4C2731">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乙酸乙酯</w:t>
            </w:r>
          </w:p>
        </w:tc>
        <w:tc>
          <w:tcPr>
            <w:tcW w:w="1065" w:type="dxa"/>
            <w:noWrap w:val="0"/>
            <w:vAlign w:val="center"/>
          </w:tcPr>
          <w:p w14:paraId="1F87ED8D">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液态</w:t>
            </w:r>
          </w:p>
        </w:tc>
        <w:tc>
          <w:tcPr>
            <w:tcW w:w="1320" w:type="dxa"/>
            <w:noWrap w:val="0"/>
            <w:vAlign w:val="center"/>
          </w:tcPr>
          <w:p w14:paraId="5D3F77F2">
            <w:pPr>
              <w:pStyle w:val="24"/>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027EA516">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仓库</w:t>
            </w:r>
          </w:p>
        </w:tc>
        <w:tc>
          <w:tcPr>
            <w:tcW w:w="1071" w:type="dxa"/>
            <w:noWrap w:val="0"/>
            <w:vAlign w:val="center"/>
          </w:tcPr>
          <w:p w14:paraId="34906E90">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0.1t</w:t>
            </w:r>
          </w:p>
        </w:tc>
        <w:tc>
          <w:tcPr>
            <w:tcW w:w="1019" w:type="dxa"/>
            <w:noWrap w:val="0"/>
            <w:vAlign w:val="center"/>
          </w:tcPr>
          <w:p w14:paraId="2EBA78B5">
            <w:pPr>
              <w:pStyle w:val="24"/>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10t</w:t>
            </w:r>
          </w:p>
        </w:tc>
        <w:tc>
          <w:tcPr>
            <w:tcW w:w="932" w:type="dxa"/>
            <w:noWrap w:val="0"/>
            <w:vAlign w:val="center"/>
          </w:tcPr>
          <w:p w14:paraId="6736157B">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0.01</w:t>
            </w:r>
          </w:p>
        </w:tc>
      </w:tr>
      <w:tr w14:paraId="4B0F6E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7572" w:type="dxa"/>
            <w:gridSpan w:val="7"/>
            <w:noWrap w:val="0"/>
            <w:vAlign w:val="center"/>
          </w:tcPr>
          <w:p w14:paraId="238348B2">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合计</w:t>
            </w:r>
          </w:p>
        </w:tc>
        <w:tc>
          <w:tcPr>
            <w:tcW w:w="932" w:type="dxa"/>
            <w:noWrap w:val="0"/>
            <w:vAlign w:val="center"/>
          </w:tcPr>
          <w:p w14:paraId="546E649E">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0.11108</w:t>
            </w:r>
          </w:p>
        </w:tc>
      </w:tr>
      <w:tr w14:paraId="13D43B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8504" w:type="dxa"/>
            <w:gridSpan w:val="8"/>
            <w:noWrap w:val="0"/>
            <w:vAlign w:val="center"/>
          </w:tcPr>
          <w:p w14:paraId="208D5931">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注：临界量Q</w:t>
            </w:r>
            <w:r>
              <w:rPr>
                <w:rFonts w:hint="default" w:ascii="Times New Roman" w:hAnsi="Times New Roman" w:cs="Times New Roman"/>
                <w:color w:val="auto"/>
                <w:u w:val="none" w:color="auto"/>
                <w:lang w:val="en-US" w:eastAsia="zh-CN"/>
              </w:rPr>
              <w:t>i</w:t>
            </w:r>
            <w:r>
              <w:rPr>
                <w:rFonts w:hint="default" w:ascii="Times New Roman" w:hAnsi="Times New Roman" w:cs="Times New Roman"/>
                <w:color w:val="auto"/>
                <w:u w:val="none" w:color="auto"/>
              </w:rPr>
              <w:t>参照《建设项目环境风险评价技术导则》（HJ169-2018）附录B里所列的临界值，均以纯物质来计。</w:t>
            </w:r>
          </w:p>
        </w:tc>
      </w:tr>
    </w:tbl>
    <w:p w14:paraId="1F3E49DF">
      <w:pPr>
        <w:pStyle w:val="20"/>
        <w:bidi w:val="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rPr>
        <w:t>按《建设项目环境风险评价技术导则》（</w:t>
      </w:r>
      <w:r>
        <w:rPr>
          <w:rFonts w:hint="default" w:ascii="Times New Roman" w:hAnsi="Times New Roman" w:cs="Times New Roman"/>
          <w:color w:val="auto"/>
          <w:highlight w:val="none"/>
          <w:u w:val="none" w:color="auto"/>
          <w:lang w:eastAsia="zh-CN"/>
        </w:rPr>
        <w:t>HJ169</w:t>
      </w:r>
      <w:r>
        <w:rPr>
          <w:rFonts w:hint="default" w:ascii="Times New Roman" w:hAnsi="Times New Roman" w:cs="Times New Roman"/>
          <w:color w:val="auto"/>
          <w:highlight w:val="none"/>
          <w:u w:val="none" w:color="auto"/>
        </w:rPr>
        <w:t>-20</w:t>
      </w:r>
      <w:r>
        <w:rPr>
          <w:rFonts w:hint="default" w:ascii="Times New Roman" w:hAnsi="Times New Roman" w:cs="Times New Roman"/>
          <w:color w:val="auto"/>
          <w:highlight w:val="none"/>
          <w:u w:val="none" w:color="auto"/>
          <w:lang w:val="en-US" w:eastAsia="zh-CN"/>
        </w:rPr>
        <w:t>18</w:t>
      </w:r>
      <w:r>
        <w:rPr>
          <w:rFonts w:hint="default" w:ascii="Times New Roman" w:hAnsi="Times New Roman" w:cs="Times New Roman"/>
          <w:color w:val="auto"/>
          <w:highlight w:val="none"/>
          <w:u w:val="none" w:color="auto"/>
        </w:rPr>
        <w:t>）中的相关内容确定，所以本项目危险物质数量与临界量比值Q=</w:t>
      </w:r>
      <w:r>
        <w:rPr>
          <w:rFonts w:hint="eastAsia" w:cs="Times New Roman"/>
          <w:color w:val="auto"/>
          <w:highlight w:val="none"/>
          <w:u w:val="none" w:color="auto"/>
          <w:lang w:val="en-US" w:eastAsia="zh-CN"/>
        </w:rPr>
        <w:t>0.11108</w:t>
      </w:r>
      <w:r>
        <w:rPr>
          <w:rFonts w:hint="default" w:ascii="Times New Roman" w:hAnsi="Times New Roman" w:cs="Times New Roman"/>
          <w:color w:val="auto"/>
          <w:highlight w:val="none"/>
          <w:u w:val="none" w:color="auto"/>
        </w:rPr>
        <w:t>＜1，风险潜势为</w:t>
      </w:r>
      <w:r>
        <w:rPr>
          <w:rFonts w:hint="default" w:ascii="Times New Roman" w:hAnsi="Times New Roman" w:cs="Times New Roman"/>
          <w:color w:val="auto"/>
          <w:highlight w:val="none"/>
          <w:u w:val="none" w:color="auto"/>
        </w:rPr>
        <w:fldChar w:fldCharType="begin"/>
      </w:r>
      <w:r>
        <w:rPr>
          <w:rFonts w:hint="default" w:ascii="Times New Roman" w:hAnsi="Times New Roman" w:cs="Times New Roman"/>
          <w:color w:val="auto"/>
          <w:highlight w:val="none"/>
          <w:u w:val="none" w:color="auto"/>
        </w:rPr>
        <w:instrText xml:space="preserve"> = 1 \* ROMAN </w:instrText>
      </w:r>
      <w:r>
        <w:rPr>
          <w:rFonts w:hint="default" w:ascii="Times New Roman" w:hAnsi="Times New Roman" w:cs="Times New Roman"/>
          <w:color w:val="auto"/>
          <w:highlight w:val="none"/>
          <w:u w:val="none" w:color="auto"/>
        </w:rPr>
        <w:fldChar w:fldCharType="separate"/>
      </w:r>
      <w:r>
        <w:rPr>
          <w:rFonts w:hint="default" w:ascii="Times New Roman" w:hAnsi="Times New Roman" w:cs="Times New Roman"/>
          <w:color w:val="auto"/>
          <w:highlight w:val="none"/>
          <w:u w:val="none" w:color="auto"/>
        </w:rPr>
        <w:t>I</w:t>
      </w:r>
      <w:r>
        <w:rPr>
          <w:rFonts w:hint="default" w:ascii="Times New Roman" w:hAnsi="Times New Roman" w:cs="Times New Roman"/>
          <w:color w:val="auto"/>
          <w:highlight w:val="none"/>
          <w:u w:val="none" w:color="auto"/>
        </w:rPr>
        <w:fldChar w:fldCharType="end"/>
      </w:r>
      <w:r>
        <w:rPr>
          <w:rFonts w:hint="default" w:ascii="Times New Roman" w:hAnsi="Times New Roman" w:cs="Times New Roman"/>
          <w:color w:val="auto"/>
          <w:highlight w:val="none"/>
          <w:u w:val="none" w:color="auto"/>
        </w:rPr>
        <w:t>。</w:t>
      </w:r>
      <w:r>
        <w:rPr>
          <w:rFonts w:hint="default" w:ascii="Times New Roman" w:hAnsi="Times New Roman" w:cs="Times New Roman"/>
          <w:color w:val="auto"/>
          <w:sz w:val="24"/>
          <w:highlight w:val="none"/>
          <w:u w:val="none" w:color="auto"/>
        </w:rPr>
        <w:t>本项目评价工作等级为简单分析。</w:t>
      </w:r>
    </w:p>
    <w:p w14:paraId="5C84FE25">
      <w:pPr>
        <w:pStyle w:val="22"/>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8</w:t>
      </w:r>
      <w:r>
        <w:rPr>
          <w:rFonts w:hint="default"/>
          <w:color w:val="auto"/>
          <w:u w:val="none" w:color="auto"/>
        </w:rPr>
        <w:t xml:space="preserve"> 风险评价等级划分</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28"/>
        <w:gridCol w:w="1828"/>
        <w:gridCol w:w="831"/>
        <w:gridCol w:w="829"/>
        <w:gridCol w:w="2088"/>
      </w:tblGrid>
      <w:tr w14:paraId="76F50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2928" w:type="dxa"/>
            <w:noWrap w:val="0"/>
            <w:vAlign w:val="center"/>
          </w:tcPr>
          <w:p w14:paraId="66526717">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环境风险潜势</w:t>
            </w:r>
          </w:p>
        </w:tc>
        <w:tc>
          <w:tcPr>
            <w:tcW w:w="1828" w:type="dxa"/>
            <w:noWrap w:val="0"/>
            <w:vAlign w:val="center"/>
          </w:tcPr>
          <w:p w14:paraId="5687ACE3">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4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IV</w:t>
            </w:r>
            <w:r>
              <w:rPr>
                <w:rFonts w:hint="default" w:ascii="Times New Roman" w:hAnsi="Times New Roman" w:cs="Times New Roman"/>
                <w:color w:val="auto"/>
                <w:u w:val="none" w:color="auto"/>
                <w:lang w:val="en-US" w:eastAsia="zh-CN"/>
              </w:rPr>
              <w:fldChar w:fldCharType="end"/>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4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IV</w:t>
            </w:r>
            <w:r>
              <w:rPr>
                <w:rFonts w:hint="default" w:ascii="Times New Roman" w:hAnsi="Times New Roman" w:cs="Times New Roman"/>
                <w:color w:val="auto"/>
                <w:u w:val="none" w:color="auto"/>
                <w:lang w:val="en-US" w:eastAsia="zh-CN"/>
              </w:rPr>
              <w:fldChar w:fldCharType="end"/>
            </w:r>
            <w:r>
              <w:rPr>
                <w:rFonts w:hint="default" w:ascii="Times New Roman" w:hAnsi="Times New Roman" w:cs="Times New Roman"/>
                <w:color w:val="auto"/>
                <w:u w:val="none" w:color="auto"/>
                <w:vertAlign w:val="superscript"/>
                <w:lang w:val="en-US" w:eastAsia="zh-CN"/>
              </w:rPr>
              <w:t>+</w:t>
            </w:r>
          </w:p>
        </w:tc>
        <w:tc>
          <w:tcPr>
            <w:tcW w:w="831" w:type="dxa"/>
            <w:noWrap w:val="0"/>
            <w:vAlign w:val="center"/>
          </w:tcPr>
          <w:p w14:paraId="5D1ED7B5">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3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III</w:t>
            </w:r>
            <w:r>
              <w:rPr>
                <w:rFonts w:hint="default" w:ascii="Times New Roman" w:hAnsi="Times New Roman" w:cs="Times New Roman"/>
                <w:color w:val="auto"/>
                <w:u w:val="none" w:color="auto"/>
                <w:lang w:val="en-US" w:eastAsia="zh-CN"/>
              </w:rPr>
              <w:fldChar w:fldCharType="end"/>
            </w:r>
          </w:p>
        </w:tc>
        <w:tc>
          <w:tcPr>
            <w:tcW w:w="829" w:type="dxa"/>
            <w:noWrap w:val="0"/>
            <w:vAlign w:val="center"/>
          </w:tcPr>
          <w:p w14:paraId="4D021844">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2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II</w:t>
            </w:r>
            <w:r>
              <w:rPr>
                <w:rFonts w:hint="default" w:ascii="Times New Roman" w:hAnsi="Times New Roman" w:cs="Times New Roman"/>
                <w:color w:val="auto"/>
                <w:u w:val="none" w:color="auto"/>
                <w:lang w:val="en-US" w:eastAsia="zh-CN"/>
              </w:rPr>
              <w:fldChar w:fldCharType="end"/>
            </w:r>
          </w:p>
        </w:tc>
        <w:tc>
          <w:tcPr>
            <w:tcW w:w="2088" w:type="dxa"/>
            <w:noWrap w:val="0"/>
            <w:vAlign w:val="center"/>
          </w:tcPr>
          <w:p w14:paraId="2BA1FCDA">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fldChar w:fldCharType="begin"/>
            </w:r>
            <w:r>
              <w:rPr>
                <w:rFonts w:hint="default" w:ascii="Times New Roman" w:hAnsi="Times New Roman" w:cs="Times New Roman"/>
                <w:color w:val="auto"/>
                <w:u w:val="none" w:color="auto"/>
                <w:lang w:val="en-US" w:eastAsia="zh-CN"/>
              </w:rPr>
              <w:instrText xml:space="preserve"> = 1 \* ROMAN </w:instrText>
            </w:r>
            <w:r>
              <w:rPr>
                <w:rFonts w:hint="default" w:ascii="Times New Roman" w:hAnsi="Times New Roman" w:cs="Times New Roman"/>
                <w:color w:val="auto"/>
                <w:u w:val="none" w:color="auto"/>
                <w:lang w:val="en-US" w:eastAsia="zh-CN"/>
              </w:rPr>
              <w:fldChar w:fldCharType="separate"/>
            </w:r>
            <w:r>
              <w:rPr>
                <w:rFonts w:hint="default" w:ascii="Times New Roman" w:hAnsi="Times New Roman" w:cs="Times New Roman"/>
                <w:color w:val="auto"/>
                <w:u w:val="none" w:color="auto"/>
                <w:lang w:val="en-US" w:eastAsia="zh-CN"/>
              </w:rPr>
              <w:t>I</w:t>
            </w:r>
            <w:r>
              <w:rPr>
                <w:rFonts w:hint="default" w:ascii="Times New Roman" w:hAnsi="Times New Roman" w:cs="Times New Roman"/>
                <w:color w:val="auto"/>
                <w:u w:val="none" w:color="auto"/>
                <w:lang w:val="en-US" w:eastAsia="zh-CN"/>
              </w:rPr>
              <w:fldChar w:fldCharType="end"/>
            </w:r>
          </w:p>
        </w:tc>
      </w:tr>
      <w:tr w14:paraId="754C3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928" w:type="dxa"/>
            <w:noWrap w:val="0"/>
            <w:vAlign w:val="center"/>
          </w:tcPr>
          <w:p w14:paraId="1B24653D">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评价工作等级</w:t>
            </w:r>
          </w:p>
        </w:tc>
        <w:tc>
          <w:tcPr>
            <w:tcW w:w="1828" w:type="dxa"/>
            <w:noWrap w:val="0"/>
            <w:vAlign w:val="center"/>
          </w:tcPr>
          <w:p w14:paraId="32292C1F">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一</w:t>
            </w:r>
          </w:p>
        </w:tc>
        <w:tc>
          <w:tcPr>
            <w:tcW w:w="831" w:type="dxa"/>
            <w:noWrap w:val="0"/>
            <w:vAlign w:val="center"/>
          </w:tcPr>
          <w:p w14:paraId="1640607F">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二</w:t>
            </w:r>
          </w:p>
        </w:tc>
        <w:tc>
          <w:tcPr>
            <w:tcW w:w="829" w:type="dxa"/>
            <w:noWrap w:val="0"/>
            <w:vAlign w:val="center"/>
          </w:tcPr>
          <w:p w14:paraId="58C4C8C4">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三</w:t>
            </w:r>
          </w:p>
        </w:tc>
        <w:tc>
          <w:tcPr>
            <w:tcW w:w="2088" w:type="dxa"/>
            <w:noWrap w:val="0"/>
            <w:vAlign w:val="center"/>
          </w:tcPr>
          <w:p w14:paraId="0BCAAC8B">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简单分析</w:t>
            </w:r>
          </w:p>
        </w:tc>
      </w:tr>
      <w:bookmarkEnd w:id="478"/>
      <w:bookmarkEnd w:id="479"/>
      <w:bookmarkEnd w:id="480"/>
      <w:bookmarkEnd w:id="481"/>
      <w:bookmarkEnd w:id="482"/>
      <w:bookmarkEnd w:id="483"/>
      <w:bookmarkEnd w:id="484"/>
      <w:bookmarkEnd w:id="485"/>
      <w:bookmarkEnd w:id="486"/>
      <w:bookmarkEnd w:id="487"/>
      <w:bookmarkEnd w:id="488"/>
    </w:tbl>
    <w:p w14:paraId="5665D4EE">
      <w:pPr>
        <w:pStyle w:val="3"/>
        <w:bidi w:val="0"/>
        <w:rPr>
          <w:rFonts w:hint="default"/>
          <w:color w:val="auto"/>
          <w:u w:val="none" w:color="auto"/>
        </w:rPr>
      </w:pPr>
      <w:bookmarkStart w:id="489" w:name="_Toc372124932"/>
      <w:bookmarkStart w:id="490" w:name="_Toc353549401"/>
      <w:bookmarkStart w:id="491" w:name="_Toc331351315"/>
      <w:bookmarkStart w:id="492" w:name="_Toc336615588"/>
      <w:bookmarkStart w:id="493" w:name="_Toc14202"/>
      <w:bookmarkStart w:id="494" w:name="_Toc19537_WPSOffice_Level2"/>
      <w:bookmarkStart w:id="495" w:name="_Toc26027"/>
      <w:bookmarkStart w:id="496" w:name="_Toc10605_WPSOffice_Level2"/>
      <w:bookmarkStart w:id="497" w:name="_Toc13247"/>
      <w:bookmarkStart w:id="498" w:name="_Toc17614"/>
      <w:bookmarkStart w:id="499" w:name="_Toc1901"/>
      <w:bookmarkStart w:id="500" w:name="_Toc8373_WPSOffice_Level2"/>
      <w:bookmarkStart w:id="501" w:name="_Toc20892"/>
      <w:bookmarkStart w:id="502" w:name="_Toc28994_WPSOffice_Level2"/>
      <w:bookmarkStart w:id="503" w:name="_Toc20551_WPSOffice_Level2"/>
      <w:bookmarkStart w:id="504" w:name="_Toc28408_WPSOffice_Level2"/>
      <w:bookmarkStart w:id="505" w:name="_Toc24604"/>
      <w:bookmarkStart w:id="506" w:name="_Toc8452_WPSOffice_Level2"/>
      <w:r>
        <w:rPr>
          <w:rFonts w:hint="default"/>
          <w:color w:val="auto"/>
          <w:u w:val="none" w:color="auto"/>
          <w:lang w:eastAsia="zh-CN"/>
        </w:rPr>
        <w:t>2.</w:t>
      </w:r>
      <w:r>
        <w:rPr>
          <w:rFonts w:hint="default"/>
          <w:color w:val="auto"/>
          <w:u w:val="none" w:color="auto"/>
          <w:lang w:val="en-US" w:eastAsia="zh-CN"/>
        </w:rPr>
        <w:t>4</w:t>
      </w:r>
      <w:r>
        <w:rPr>
          <w:rFonts w:hint="default"/>
          <w:color w:val="auto"/>
          <w:u w:val="none" w:color="auto"/>
        </w:rPr>
        <w:t>评价范围及环境敏感</w:t>
      </w:r>
      <w:bookmarkEnd w:id="489"/>
      <w:bookmarkEnd w:id="490"/>
      <w:bookmarkEnd w:id="491"/>
      <w:bookmarkEnd w:id="492"/>
      <w:r>
        <w:rPr>
          <w:rFonts w:hint="default"/>
          <w:color w:val="auto"/>
          <w:u w:val="none" w:color="auto"/>
        </w:rPr>
        <w:t>目标</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070C535C">
      <w:pPr>
        <w:pStyle w:val="4"/>
        <w:rPr>
          <w:rFonts w:hint="default" w:ascii="Times New Roman" w:hAnsi="Times New Roman" w:cs="Times New Roman"/>
          <w:color w:val="auto"/>
          <w:u w:val="none" w:color="auto"/>
        </w:rPr>
      </w:pPr>
      <w:bookmarkStart w:id="507" w:name="_Toc9974"/>
      <w:bookmarkStart w:id="508" w:name="_Toc14164_WPSOffice_Level3"/>
      <w:bookmarkStart w:id="509" w:name="_Toc4143"/>
      <w:bookmarkStart w:id="510" w:name="_Toc16655"/>
      <w:bookmarkStart w:id="511" w:name="_Toc11454"/>
      <w:bookmarkStart w:id="512" w:name="_Toc22145"/>
      <w:bookmarkStart w:id="513" w:name="_Toc15321"/>
      <w:bookmarkStart w:id="514" w:name="_Toc15828"/>
      <w:bookmarkStart w:id="515" w:name="_Toc8479"/>
      <w:bookmarkStart w:id="516" w:name="_Toc17533"/>
      <w:bookmarkStart w:id="517" w:name="_Toc6619"/>
      <w:bookmarkStart w:id="518" w:name="_Toc14404"/>
      <w:bookmarkStart w:id="519" w:name="_Toc31814"/>
      <w:bookmarkStart w:id="520" w:name="_Toc31381"/>
      <w:bookmarkStart w:id="521" w:name="_Toc18972"/>
      <w:bookmarkStart w:id="522" w:name="_Toc5870"/>
      <w:bookmarkStart w:id="523" w:name="_Toc15585"/>
      <w:bookmarkStart w:id="524" w:name="_Toc12729"/>
      <w:bookmarkStart w:id="525" w:name="_Toc29557_WPSOffice_Level3"/>
      <w:bookmarkStart w:id="526" w:name="_Toc14128"/>
      <w:bookmarkStart w:id="527" w:name="_Toc1134"/>
      <w:bookmarkStart w:id="528" w:name="_Toc10195"/>
      <w:bookmarkStart w:id="529" w:name="_Toc12397"/>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.1评价范围</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0D5454B8">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根据项目环境影响评价工作等级，评价范围见表</w:t>
      </w:r>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-1。</w:t>
      </w:r>
    </w:p>
    <w:p w14:paraId="35522686">
      <w:pPr>
        <w:pStyle w:val="22"/>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4</w:t>
      </w:r>
      <w:r>
        <w:rPr>
          <w:rFonts w:hint="default"/>
          <w:color w:val="auto"/>
          <w:u w:val="none" w:color="auto"/>
        </w:rPr>
        <w:t>-1 项目评价范围一览表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7"/>
        <w:gridCol w:w="7137"/>
      </w:tblGrid>
      <w:tr w14:paraId="69E6ED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25025171">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评价因子</w:t>
            </w:r>
          </w:p>
        </w:tc>
        <w:tc>
          <w:tcPr>
            <w:tcW w:w="7137" w:type="dxa"/>
            <w:tcBorders>
              <w:tl2br w:val="nil"/>
              <w:tr2bl w:val="nil"/>
            </w:tcBorders>
            <w:noWrap w:val="0"/>
            <w:vAlign w:val="center"/>
          </w:tcPr>
          <w:p w14:paraId="2B330C93">
            <w:pPr>
              <w:pStyle w:val="24"/>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评  价  范  围</w:t>
            </w:r>
          </w:p>
        </w:tc>
      </w:tr>
      <w:tr w14:paraId="01DFDC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2BCEE950">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地表水环境</w:t>
            </w:r>
          </w:p>
        </w:tc>
        <w:tc>
          <w:tcPr>
            <w:tcW w:w="7137" w:type="dxa"/>
            <w:tcBorders>
              <w:tl2br w:val="nil"/>
              <w:tr2bl w:val="nil"/>
            </w:tcBorders>
            <w:noWrap w:val="0"/>
            <w:vAlign w:val="center"/>
          </w:tcPr>
          <w:p w14:paraId="0770B017">
            <w:pPr>
              <w:pStyle w:val="24"/>
              <w:rPr>
                <w:rFonts w:hint="default" w:ascii="Times New Roman" w:hAnsi="Times New Roman" w:cs="Times New Roman"/>
                <w:color w:val="auto"/>
                <w:u w:val="none" w:color="auto"/>
              </w:rPr>
            </w:pPr>
            <w:r>
              <w:rPr>
                <w:color w:val="auto"/>
                <w:u w:val="none" w:color="auto"/>
              </w:rPr>
              <w:t>核实废水处理的可行性和处理后污水处理厂接纳的可行性分析</w:t>
            </w:r>
          </w:p>
        </w:tc>
      </w:tr>
      <w:tr w14:paraId="1E244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58DC0B5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地下水环境</w:t>
            </w:r>
          </w:p>
        </w:tc>
        <w:tc>
          <w:tcPr>
            <w:tcW w:w="7137" w:type="dxa"/>
            <w:tcBorders>
              <w:tl2br w:val="nil"/>
              <w:tr2bl w:val="nil"/>
            </w:tcBorders>
            <w:noWrap w:val="0"/>
            <w:vAlign w:val="center"/>
          </w:tcPr>
          <w:p w14:paraId="3CABCF40">
            <w:pPr>
              <w:pStyle w:val="24"/>
              <w:rPr>
                <w:rFonts w:hint="default" w:ascii="Times New Roman" w:hAnsi="Times New Roman" w:cs="Times New Roman"/>
                <w:color w:val="auto"/>
                <w:u w:val="none" w:color="auto"/>
              </w:rPr>
            </w:pPr>
            <w:r>
              <w:rPr>
                <w:rFonts w:hint="default" w:ascii="Times New Roman" w:hAnsi="Times New Roman" w:eastAsia="宋体" w:cs="Times New Roman"/>
                <w:color w:val="auto"/>
                <w:u w:val="none" w:color="auto"/>
                <w:lang w:eastAsia="zh-CN"/>
              </w:rPr>
              <w:t>向东侧至厂界外1200m，北侧至厂界外1200m，西侧至厂界外1160m，南侧至厂界外1000m的水文地质区域，面积约5.8km</w:t>
            </w:r>
            <w:r>
              <w:rPr>
                <w:rFonts w:hint="default" w:ascii="Times New Roman" w:hAnsi="Times New Roman" w:eastAsia="宋体" w:cs="Times New Roman"/>
                <w:color w:val="auto"/>
                <w:u w:val="none" w:color="auto"/>
                <w:vertAlign w:val="superscript"/>
                <w:lang w:eastAsia="zh-CN"/>
              </w:rPr>
              <w:t>2</w:t>
            </w:r>
            <w:r>
              <w:rPr>
                <w:color w:val="auto"/>
                <w:highlight w:val="none"/>
                <w:u w:val="none" w:color="auto"/>
              </w:rPr>
              <w:t>。</w:t>
            </w:r>
          </w:p>
        </w:tc>
      </w:tr>
      <w:tr w14:paraId="505F89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2C7766A2">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环境空气</w:t>
            </w:r>
          </w:p>
        </w:tc>
        <w:tc>
          <w:tcPr>
            <w:tcW w:w="7137" w:type="dxa"/>
            <w:tcBorders>
              <w:tl2br w:val="nil"/>
              <w:tr2bl w:val="nil"/>
            </w:tcBorders>
            <w:noWrap w:val="0"/>
            <w:vAlign w:val="center"/>
          </w:tcPr>
          <w:p w14:paraId="39EF3EB8">
            <w:pPr>
              <w:pStyle w:val="24"/>
              <w:rPr>
                <w:rFonts w:hint="default" w:ascii="Times New Roman" w:hAnsi="Times New Roman" w:cs="Times New Roman"/>
                <w:color w:val="auto"/>
                <w:u w:val="none" w:color="auto"/>
              </w:rPr>
            </w:pPr>
            <w:r>
              <w:rPr>
                <w:rFonts w:hint="default" w:ascii="Times New Roman" w:hAnsi="Times New Roman" w:cs="Times New Roman"/>
                <w:color w:val="auto"/>
                <w:kern w:val="2"/>
                <w:szCs w:val="24"/>
                <w:u w:val="none" w:color="auto"/>
                <w:lang w:val="en-US" w:eastAsia="zh-CN"/>
              </w:rPr>
              <w:t>以项目厂址为中心区域，边长为5km的矩形范围</w:t>
            </w:r>
          </w:p>
        </w:tc>
      </w:tr>
      <w:tr w14:paraId="555B4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23D9DD4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噪    声</w:t>
            </w:r>
          </w:p>
        </w:tc>
        <w:tc>
          <w:tcPr>
            <w:tcW w:w="7137" w:type="dxa"/>
            <w:tcBorders>
              <w:tl2br w:val="nil"/>
              <w:tr2bl w:val="nil"/>
            </w:tcBorders>
            <w:noWrap w:val="0"/>
            <w:vAlign w:val="center"/>
          </w:tcPr>
          <w:p w14:paraId="46BBE394">
            <w:pPr>
              <w:pStyle w:val="24"/>
              <w:rPr>
                <w:rFonts w:hint="default" w:ascii="Times New Roman" w:hAnsi="Times New Roman" w:cs="Times New Roman"/>
                <w:color w:val="auto"/>
                <w:u w:val="none" w:color="auto"/>
              </w:rPr>
            </w:pPr>
            <w:r>
              <w:rPr>
                <w:rFonts w:hint="default" w:ascii="Times New Roman" w:hAnsi="Times New Roman"/>
                <w:color w:val="auto"/>
                <w:szCs w:val="24"/>
                <w:u w:val="none" w:color="auto"/>
              </w:rPr>
              <w:t>以项目边界向外200m范围</w:t>
            </w:r>
          </w:p>
        </w:tc>
      </w:tr>
      <w:tr w14:paraId="2A3F9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49EBF171">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生态环境</w:t>
            </w:r>
          </w:p>
        </w:tc>
        <w:tc>
          <w:tcPr>
            <w:tcW w:w="7137" w:type="dxa"/>
            <w:tcBorders>
              <w:tl2br w:val="nil"/>
              <w:tr2bl w:val="nil"/>
            </w:tcBorders>
            <w:noWrap w:val="0"/>
            <w:vAlign w:val="center"/>
          </w:tcPr>
          <w:p w14:paraId="37B350CE">
            <w:pPr>
              <w:pStyle w:val="24"/>
              <w:rPr>
                <w:rFonts w:hint="default" w:ascii="Times New Roman" w:hAnsi="Times New Roman" w:cs="Times New Roman"/>
                <w:color w:val="auto"/>
                <w:u w:val="none" w:color="auto"/>
              </w:rPr>
            </w:pPr>
            <w:r>
              <w:rPr>
                <w:rFonts w:hint="eastAsia" w:ascii="Times New Roman" w:hAnsi="Times New Roman" w:cs="Times New Roman"/>
                <w:color w:val="auto"/>
                <w:kern w:val="2"/>
                <w:szCs w:val="24"/>
                <w:u w:val="none" w:color="auto"/>
                <w:lang w:val="en-US" w:eastAsia="zh-CN"/>
              </w:rPr>
              <w:t>/</w:t>
            </w:r>
          </w:p>
        </w:tc>
      </w:tr>
      <w:tr w14:paraId="77DF44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0AE9AB5D">
            <w:pPr>
              <w:pStyle w:val="24"/>
              <w:rPr>
                <w:rFonts w:hint="default" w:ascii="Times New Roman" w:hAnsi="Times New Roman" w:eastAsia="宋体" w:cs="Times New Roman"/>
                <w:color w:val="auto"/>
                <w:u w:val="none" w:color="auto"/>
                <w:lang w:val="en-US" w:eastAsia="zh-CN"/>
              </w:rPr>
            </w:pPr>
            <w:bookmarkStart w:id="530" w:name="_Toc10661"/>
            <w:bookmarkStart w:id="531" w:name="_Toc8963"/>
            <w:bookmarkStart w:id="532" w:name="_Toc2046"/>
            <w:bookmarkStart w:id="533" w:name="_Toc28930"/>
            <w:bookmarkStart w:id="534" w:name="_Toc9880"/>
            <w:bookmarkStart w:id="535" w:name="_Toc9293"/>
            <w:bookmarkStart w:id="536" w:name="_Toc12799"/>
            <w:bookmarkStart w:id="537" w:name="_Toc1265"/>
            <w:bookmarkStart w:id="538" w:name="_Toc3161"/>
            <w:bookmarkStart w:id="539" w:name="_Toc5181"/>
            <w:bookmarkStart w:id="540" w:name="_Toc28059"/>
            <w:bookmarkStart w:id="541" w:name="_Toc28937"/>
            <w:bookmarkStart w:id="542" w:name="_Toc24616_WPSOffice_Level3"/>
            <w:bookmarkStart w:id="543" w:name="_Toc22430"/>
            <w:bookmarkStart w:id="544" w:name="_Toc29824"/>
            <w:bookmarkStart w:id="545" w:name="_Toc6917"/>
            <w:bookmarkStart w:id="546" w:name="_Toc20139"/>
            <w:bookmarkStart w:id="547" w:name="_Toc23839"/>
            <w:bookmarkStart w:id="548" w:name="_Toc16169_WPSOffice_Level3"/>
            <w:bookmarkStart w:id="549" w:name="_Toc26523"/>
            <w:r>
              <w:rPr>
                <w:rFonts w:hint="eastAsia" w:ascii="Times New Roman" w:hAnsi="Times New Roman" w:cs="Times New Roman"/>
                <w:color w:val="auto"/>
                <w:u w:val="none" w:color="auto"/>
                <w:lang w:val="en-US" w:eastAsia="zh-CN"/>
              </w:rPr>
              <w:t>环境风险</w:t>
            </w:r>
          </w:p>
        </w:tc>
        <w:tc>
          <w:tcPr>
            <w:tcW w:w="7137" w:type="dxa"/>
            <w:tcBorders>
              <w:tl2br w:val="nil"/>
              <w:tr2bl w:val="nil"/>
            </w:tcBorders>
            <w:noWrap w:val="0"/>
            <w:vAlign w:val="center"/>
          </w:tcPr>
          <w:p w14:paraId="7E26BC31">
            <w:pPr>
              <w:pStyle w:val="24"/>
              <w:rPr>
                <w:rFonts w:hint="default" w:ascii="Times New Roman" w:hAnsi="Times New Roman" w:cs="Times New Roman"/>
                <w:color w:val="auto"/>
                <w:kern w:val="2"/>
                <w:szCs w:val="24"/>
                <w:u w:val="none" w:color="auto"/>
                <w:lang w:val="en-US" w:eastAsia="zh-CN"/>
              </w:rPr>
            </w:pPr>
            <w:r>
              <w:rPr>
                <w:rFonts w:hint="eastAsia" w:ascii="Times New Roman" w:hAnsi="Times New Roman" w:cs="Times New Roman"/>
                <w:color w:val="auto"/>
                <w:kern w:val="2"/>
                <w:szCs w:val="24"/>
                <w:u w:val="none" w:color="auto"/>
                <w:lang w:val="en-US" w:eastAsia="zh-CN"/>
              </w:rPr>
              <w:t>/</w:t>
            </w:r>
          </w:p>
        </w:tc>
      </w:tr>
      <w:tr w14:paraId="611132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7" w:type="dxa"/>
            <w:tcBorders>
              <w:tl2br w:val="nil"/>
              <w:tr2bl w:val="nil"/>
            </w:tcBorders>
            <w:noWrap w:val="0"/>
            <w:vAlign w:val="center"/>
          </w:tcPr>
          <w:p w14:paraId="3983E055">
            <w:pPr>
              <w:pStyle w:val="24"/>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土壤</w:t>
            </w:r>
          </w:p>
        </w:tc>
        <w:tc>
          <w:tcPr>
            <w:tcW w:w="7137" w:type="dxa"/>
            <w:tcBorders>
              <w:tl2br w:val="nil"/>
              <w:tr2bl w:val="nil"/>
            </w:tcBorders>
            <w:noWrap w:val="0"/>
            <w:vAlign w:val="center"/>
          </w:tcPr>
          <w:p w14:paraId="4759DED2">
            <w:pPr>
              <w:pStyle w:val="24"/>
              <w:rPr>
                <w:rFonts w:hint="default" w:ascii="Times New Roman" w:hAnsi="Times New Roman" w:cs="Times New Roman"/>
                <w:color w:val="auto"/>
                <w:kern w:val="2"/>
                <w:szCs w:val="24"/>
                <w:highlight w:val="none"/>
                <w:u w:val="none" w:color="auto"/>
                <w:lang w:val="en-US" w:eastAsia="zh-CN"/>
              </w:rPr>
            </w:pPr>
            <w:r>
              <w:rPr>
                <w:rFonts w:hint="eastAsia"/>
                <w:color w:val="auto"/>
                <w:u w:val="none" w:color="auto"/>
              </w:rPr>
              <w:t>不开展土壤环评影响评价工作</w:t>
            </w:r>
          </w:p>
        </w:tc>
      </w:tr>
    </w:tbl>
    <w:p w14:paraId="7847D7D9">
      <w:pPr>
        <w:pStyle w:val="4"/>
        <w:rPr>
          <w:rFonts w:hint="default" w:ascii="Times New Roman" w:hAnsi="Times New Roman" w:cs="Times New Roman"/>
          <w:color w:val="auto"/>
          <w:u w:val="none" w:color="auto"/>
        </w:rPr>
      </w:pPr>
      <w:bookmarkStart w:id="550" w:name="_Toc2860"/>
      <w:bookmarkStart w:id="551" w:name="_Toc4869"/>
      <w:bookmarkStart w:id="552" w:name="_Toc2739"/>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.2环境敏感目标</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14:paraId="276D99C0">
      <w:pPr>
        <w:pStyle w:val="20"/>
        <w:ind w:firstLine="48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根据现场勘查，项目评价范围内的主要环境敏感保护目标有：人口集中的居民区、村庄、河流等，具体见表</w:t>
      </w:r>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-2和表</w:t>
      </w:r>
      <w:r>
        <w:rPr>
          <w:rFonts w:hint="default" w:ascii="Times New Roman" w:hAnsi="Times New Roman" w:cs="Times New Roman"/>
          <w:color w:val="auto"/>
          <w:u w:val="none" w:color="auto"/>
          <w:lang w:eastAsia="zh-CN"/>
        </w:rPr>
        <w:t>2.</w:t>
      </w:r>
      <w:r>
        <w:rPr>
          <w:rFonts w:hint="default"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-3</w:t>
      </w:r>
      <w:r>
        <w:rPr>
          <w:rFonts w:hint="default" w:ascii="Times New Roman" w:hAnsi="Times New Roman" w:cs="Times New Roman"/>
          <w:color w:val="auto"/>
          <w:u w:val="none" w:color="auto"/>
          <w:lang w:eastAsia="zh-CN"/>
        </w:rPr>
        <w:t>。</w:t>
      </w:r>
    </w:p>
    <w:p w14:paraId="77466143">
      <w:pPr>
        <w:pStyle w:val="22"/>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4</w:t>
      </w:r>
      <w:r>
        <w:rPr>
          <w:rFonts w:hint="default"/>
          <w:color w:val="auto"/>
          <w:u w:val="none" w:color="auto"/>
        </w:rPr>
        <w:t>-2 项目环境空气保护目标</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1"/>
        <w:gridCol w:w="1091"/>
        <w:gridCol w:w="835"/>
        <w:gridCol w:w="750"/>
        <w:gridCol w:w="1155"/>
        <w:gridCol w:w="1275"/>
        <w:gridCol w:w="1020"/>
        <w:gridCol w:w="915"/>
        <w:gridCol w:w="982"/>
      </w:tblGrid>
      <w:tr w14:paraId="00109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vMerge w:val="restart"/>
            <w:noWrap w:val="0"/>
            <w:vAlign w:val="center"/>
          </w:tcPr>
          <w:p w14:paraId="66A48EB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序号</w:t>
            </w:r>
          </w:p>
        </w:tc>
        <w:tc>
          <w:tcPr>
            <w:tcW w:w="1091" w:type="dxa"/>
            <w:vMerge w:val="restart"/>
            <w:noWrap w:val="0"/>
            <w:vAlign w:val="center"/>
          </w:tcPr>
          <w:p w14:paraId="4603D12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名称</w:t>
            </w:r>
          </w:p>
        </w:tc>
        <w:tc>
          <w:tcPr>
            <w:tcW w:w="1585" w:type="dxa"/>
            <w:gridSpan w:val="2"/>
            <w:noWrap w:val="0"/>
            <w:vAlign w:val="center"/>
          </w:tcPr>
          <w:p w14:paraId="6BB6D97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rPr>
              <w:t>坐标</w:t>
            </w:r>
          </w:p>
        </w:tc>
        <w:tc>
          <w:tcPr>
            <w:tcW w:w="1155" w:type="dxa"/>
            <w:vMerge w:val="restart"/>
            <w:noWrap w:val="0"/>
            <w:vAlign w:val="center"/>
          </w:tcPr>
          <w:p w14:paraId="6891402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保护对象</w:t>
            </w:r>
          </w:p>
        </w:tc>
        <w:tc>
          <w:tcPr>
            <w:tcW w:w="1275" w:type="dxa"/>
            <w:vMerge w:val="restart"/>
            <w:noWrap w:val="0"/>
            <w:vAlign w:val="center"/>
          </w:tcPr>
          <w:p w14:paraId="37E35D9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保护内容</w:t>
            </w:r>
          </w:p>
        </w:tc>
        <w:tc>
          <w:tcPr>
            <w:tcW w:w="1020" w:type="dxa"/>
            <w:vMerge w:val="restart"/>
            <w:noWrap w:val="0"/>
            <w:vAlign w:val="center"/>
          </w:tcPr>
          <w:p w14:paraId="5AFE165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保护功能区</w:t>
            </w:r>
            <w:r>
              <w:rPr>
                <w:rFonts w:hint="default"/>
                <w:color w:val="auto"/>
                <w:highlight w:val="none"/>
                <w:u w:val="none" w:color="auto"/>
                <w:lang w:eastAsia="zh-CN"/>
              </w:rPr>
              <w:t>二类区</w:t>
            </w:r>
          </w:p>
          <w:p w14:paraId="1DD2003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915" w:type="dxa"/>
            <w:vMerge w:val="restart"/>
            <w:noWrap w:val="0"/>
            <w:vAlign w:val="center"/>
          </w:tcPr>
          <w:p w14:paraId="0CA95BD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相对厂址方位</w:t>
            </w:r>
          </w:p>
        </w:tc>
        <w:tc>
          <w:tcPr>
            <w:tcW w:w="982" w:type="dxa"/>
            <w:vMerge w:val="restart"/>
            <w:noWrap w:val="0"/>
            <w:vAlign w:val="center"/>
          </w:tcPr>
          <w:p w14:paraId="2E373F4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相对厂界距离/m</w:t>
            </w:r>
          </w:p>
        </w:tc>
      </w:tr>
      <w:tr w14:paraId="5D8C8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vMerge w:val="continue"/>
            <w:noWrap w:val="0"/>
            <w:vAlign w:val="center"/>
          </w:tcPr>
          <w:p w14:paraId="09D2CE3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1091" w:type="dxa"/>
            <w:vMerge w:val="continue"/>
            <w:noWrap w:val="0"/>
            <w:vAlign w:val="center"/>
          </w:tcPr>
          <w:p w14:paraId="3B14EC6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835" w:type="dxa"/>
            <w:noWrap w:val="0"/>
            <w:vAlign w:val="center"/>
          </w:tcPr>
          <w:p w14:paraId="020B35F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X</w:t>
            </w:r>
          </w:p>
        </w:tc>
        <w:tc>
          <w:tcPr>
            <w:tcW w:w="750" w:type="dxa"/>
            <w:noWrap w:val="0"/>
            <w:vAlign w:val="center"/>
          </w:tcPr>
          <w:p w14:paraId="3174724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r>
              <w:rPr>
                <w:rFonts w:hint="default"/>
                <w:color w:val="auto"/>
                <w:highlight w:val="none"/>
                <w:u w:val="none" w:color="auto"/>
              </w:rPr>
              <w:t>Y</w:t>
            </w:r>
          </w:p>
        </w:tc>
        <w:tc>
          <w:tcPr>
            <w:tcW w:w="1155" w:type="dxa"/>
            <w:vMerge w:val="continue"/>
            <w:noWrap w:val="0"/>
            <w:vAlign w:val="center"/>
          </w:tcPr>
          <w:p w14:paraId="08D2792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1275" w:type="dxa"/>
            <w:vMerge w:val="continue"/>
            <w:noWrap w:val="0"/>
            <w:vAlign w:val="center"/>
          </w:tcPr>
          <w:p w14:paraId="163A16E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1020" w:type="dxa"/>
            <w:vMerge w:val="continue"/>
            <w:noWrap w:val="0"/>
            <w:vAlign w:val="center"/>
          </w:tcPr>
          <w:p w14:paraId="116033C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915" w:type="dxa"/>
            <w:vMerge w:val="continue"/>
            <w:noWrap w:val="0"/>
            <w:vAlign w:val="center"/>
          </w:tcPr>
          <w:p w14:paraId="4FE99E4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c>
          <w:tcPr>
            <w:tcW w:w="982" w:type="dxa"/>
            <w:vMerge w:val="continue"/>
            <w:noWrap w:val="0"/>
            <w:vAlign w:val="center"/>
          </w:tcPr>
          <w:p w14:paraId="5D013FB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rPr>
            </w:pPr>
          </w:p>
        </w:tc>
      </w:tr>
      <w:tr w14:paraId="43F30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3688B1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1</w:t>
            </w:r>
          </w:p>
        </w:tc>
        <w:tc>
          <w:tcPr>
            <w:tcW w:w="1091" w:type="dxa"/>
            <w:noWrap w:val="0"/>
            <w:vAlign w:val="center"/>
          </w:tcPr>
          <w:p w14:paraId="4456E3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上马社区</w:t>
            </w:r>
          </w:p>
        </w:tc>
        <w:tc>
          <w:tcPr>
            <w:tcW w:w="835" w:type="dxa"/>
            <w:noWrap w:val="0"/>
            <w:vAlign w:val="center"/>
          </w:tcPr>
          <w:p w14:paraId="5A897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-2291</w:t>
            </w:r>
          </w:p>
        </w:tc>
        <w:tc>
          <w:tcPr>
            <w:tcW w:w="750" w:type="dxa"/>
            <w:noWrap w:val="0"/>
            <w:vAlign w:val="center"/>
          </w:tcPr>
          <w:p w14:paraId="156DBB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2198</w:t>
            </w:r>
          </w:p>
        </w:tc>
        <w:tc>
          <w:tcPr>
            <w:tcW w:w="1155" w:type="dxa"/>
            <w:noWrap w:val="0"/>
            <w:vAlign w:val="center"/>
          </w:tcPr>
          <w:p w14:paraId="58DF47F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居民</w:t>
            </w:r>
          </w:p>
        </w:tc>
        <w:tc>
          <w:tcPr>
            <w:tcW w:w="1275" w:type="dxa"/>
            <w:noWrap w:val="0"/>
            <w:vAlign w:val="center"/>
          </w:tcPr>
          <w:p w14:paraId="6ABD1CA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450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1500人</w:t>
            </w:r>
          </w:p>
        </w:tc>
        <w:tc>
          <w:tcPr>
            <w:tcW w:w="1020" w:type="dxa"/>
            <w:vMerge w:val="restart"/>
            <w:noWrap w:val="0"/>
            <w:vAlign w:val="center"/>
          </w:tcPr>
          <w:p w14:paraId="3372C00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二类区</w:t>
            </w:r>
          </w:p>
        </w:tc>
        <w:tc>
          <w:tcPr>
            <w:tcW w:w="915" w:type="dxa"/>
            <w:noWrap w:val="0"/>
            <w:vAlign w:val="center"/>
          </w:tcPr>
          <w:p w14:paraId="05C21D8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982" w:type="dxa"/>
            <w:noWrap w:val="0"/>
            <w:vAlign w:val="center"/>
          </w:tcPr>
          <w:p w14:paraId="654BB85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2765-3240</w:t>
            </w:r>
          </w:p>
        </w:tc>
      </w:tr>
      <w:tr w14:paraId="3C6571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16CFDB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2</w:t>
            </w:r>
          </w:p>
        </w:tc>
        <w:tc>
          <w:tcPr>
            <w:tcW w:w="1091" w:type="dxa"/>
            <w:noWrap w:val="0"/>
            <w:vAlign w:val="center"/>
          </w:tcPr>
          <w:p w14:paraId="38243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上马学校</w:t>
            </w:r>
          </w:p>
        </w:tc>
        <w:tc>
          <w:tcPr>
            <w:tcW w:w="835" w:type="dxa"/>
            <w:noWrap w:val="0"/>
            <w:vAlign w:val="center"/>
          </w:tcPr>
          <w:p w14:paraId="1E5DEE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-2291</w:t>
            </w:r>
          </w:p>
        </w:tc>
        <w:tc>
          <w:tcPr>
            <w:tcW w:w="750" w:type="dxa"/>
            <w:noWrap w:val="0"/>
            <w:vAlign w:val="center"/>
          </w:tcPr>
          <w:p w14:paraId="0D67F7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2098</w:t>
            </w:r>
          </w:p>
        </w:tc>
        <w:tc>
          <w:tcPr>
            <w:tcW w:w="1155" w:type="dxa"/>
            <w:noWrap w:val="0"/>
            <w:vAlign w:val="center"/>
          </w:tcPr>
          <w:p w14:paraId="2A000F92">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学校</w:t>
            </w:r>
          </w:p>
        </w:tc>
        <w:tc>
          <w:tcPr>
            <w:tcW w:w="1275" w:type="dxa"/>
            <w:noWrap w:val="0"/>
            <w:vAlign w:val="center"/>
          </w:tcPr>
          <w:p w14:paraId="62A774EA">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师生约500</w:t>
            </w:r>
            <w:r>
              <w:rPr>
                <w:rFonts w:hint="default" w:ascii="Times New Roman" w:hAnsi="Times New Roman" w:eastAsia="宋体" w:cs="Times New Roman"/>
                <w:color w:val="auto"/>
                <w:sz w:val="21"/>
                <w:szCs w:val="21"/>
                <w:highlight w:val="none"/>
                <w:u w:val="none" w:color="auto"/>
              </w:rPr>
              <w:t>人</w:t>
            </w:r>
          </w:p>
        </w:tc>
        <w:tc>
          <w:tcPr>
            <w:tcW w:w="1020" w:type="dxa"/>
            <w:vMerge w:val="continue"/>
            <w:noWrap w:val="0"/>
            <w:vAlign w:val="center"/>
          </w:tcPr>
          <w:p w14:paraId="68F5FF0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0072D15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982" w:type="dxa"/>
            <w:noWrap w:val="0"/>
            <w:vAlign w:val="center"/>
          </w:tcPr>
          <w:p w14:paraId="1A6F4CF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2980-3080</w:t>
            </w:r>
          </w:p>
        </w:tc>
      </w:tr>
      <w:tr w14:paraId="1073D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8A9A1B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3</w:t>
            </w:r>
          </w:p>
        </w:tc>
        <w:tc>
          <w:tcPr>
            <w:tcW w:w="1091" w:type="dxa"/>
            <w:noWrap w:val="0"/>
            <w:vAlign w:val="center"/>
          </w:tcPr>
          <w:p w14:paraId="137CCB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咀背骆</w:t>
            </w:r>
          </w:p>
        </w:tc>
        <w:tc>
          <w:tcPr>
            <w:tcW w:w="835" w:type="dxa"/>
            <w:noWrap w:val="0"/>
            <w:vAlign w:val="center"/>
          </w:tcPr>
          <w:p w14:paraId="17DE4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-1914</w:t>
            </w:r>
          </w:p>
        </w:tc>
        <w:tc>
          <w:tcPr>
            <w:tcW w:w="750" w:type="dxa"/>
            <w:noWrap w:val="0"/>
            <w:vAlign w:val="center"/>
          </w:tcPr>
          <w:p w14:paraId="036887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1646</w:t>
            </w:r>
          </w:p>
        </w:tc>
        <w:tc>
          <w:tcPr>
            <w:tcW w:w="1155" w:type="dxa"/>
            <w:noWrap w:val="0"/>
            <w:vAlign w:val="center"/>
          </w:tcPr>
          <w:p w14:paraId="2C56553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居民</w:t>
            </w:r>
          </w:p>
        </w:tc>
        <w:tc>
          <w:tcPr>
            <w:tcW w:w="1275" w:type="dxa"/>
            <w:noWrap w:val="0"/>
            <w:vAlign w:val="center"/>
          </w:tcPr>
          <w:p w14:paraId="1954F50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60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200人</w:t>
            </w:r>
          </w:p>
        </w:tc>
        <w:tc>
          <w:tcPr>
            <w:tcW w:w="1020" w:type="dxa"/>
            <w:vMerge w:val="continue"/>
            <w:noWrap w:val="0"/>
            <w:vAlign w:val="center"/>
          </w:tcPr>
          <w:p w14:paraId="7138480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20459EF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982" w:type="dxa"/>
            <w:noWrap w:val="0"/>
            <w:vAlign w:val="center"/>
          </w:tcPr>
          <w:p w14:paraId="08B724F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1815-2615</w:t>
            </w:r>
          </w:p>
        </w:tc>
      </w:tr>
      <w:tr w14:paraId="3A9AF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F054ED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4</w:t>
            </w:r>
          </w:p>
        </w:tc>
        <w:tc>
          <w:tcPr>
            <w:tcW w:w="1091" w:type="dxa"/>
            <w:noWrap w:val="0"/>
            <w:vAlign w:val="center"/>
          </w:tcPr>
          <w:p w14:paraId="71657F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四方屋</w:t>
            </w:r>
          </w:p>
        </w:tc>
        <w:tc>
          <w:tcPr>
            <w:tcW w:w="835" w:type="dxa"/>
            <w:noWrap w:val="0"/>
            <w:vAlign w:val="center"/>
          </w:tcPr>
          <w:p w14:paraId="120A53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-2240</w:t>
            </w:r>
          </w:p>
        </w:tc>
        <w:tc>
          <w:tcPr>
            <w:tcW w:w="750" w:type="dxa"/>
            <w:noWrap w:val="0"/>
            <w:vAlign w:val="center"/>
          </w:tcPr>
          <w:p w14:paraId="79C69F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1210</w:t>
            </w:r>
          </w:p>
        </w:tc>
        <w:tc>
          <w:tcPr>
            <w:tcW w:w="1155" w:type="dxa"/>
            <w:noWrap w:val="0"/>
            <w:vAlign w:val="center"/>
          </w:tcPr>
          <w:p w14:paraId="341A0AD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居民</w:t>
            </w:r>
          </w:p>
        </w:tc>
        <w:tc>
          <w:tcPr>
            <w:tcW w:w="1275" w:type="dxa"/>
            <w:noWrap w:val="0"/>
            <w:vAlign w:val="center"/>
          </w:tcPr>
          <w:p w14:paraId="00FA2CD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约</w:t>
            </w:r>
            <w:r>
              <w:rPr>
                <w:rFonts w:hint="eastAsia"/>
                <w:color w:val="auto"/>
                <w:highlight w:val="none"/>
                <w:u w:val="none" w:color="auto"/>
                <w:lang w:val="en-US" w:eastAsia="zh-CN"/>
              </w:rPr>
              <w:t>60</w:t>
            </w:r>
            <w:r>
              <w:rPr>
                <w:rFonts w:hint="default"/>
                <w:color w:val="auto"/>
                <w:highlight w:val="none"/>
                <w:u w:val="none" w:color="auto"/>
              </w:rPr>
              <w:t>户</w:t>
            </w:r>
            <w:r>
              <w:rPr>
                <w:rFonts w:hint="default"/>
                <w:color w:val="auto"/>
                <w:highlight w:val="none"/>
                <w:u w:val="none" w:color="auto"/>
                <w:lang w:eastAsia="zh-CN"/>
              </w:rPr>
              <w:t>，</w:t>
            </w:r>
            <w:r>
              <w:rPr>
                <w:rFonts w:hint="eastAsia"/>
                <w:color w:val="auto"/>
                <w:highlight w:val="none"/>
                <w:u w:val="none" w:color="auto"/>
                <w:lang w:val="en-US" w:eastAsia="zh-CN"/>
              </w:rPr>
              <w:t>200</w:t>
            </w:r>
            <w:r>
              <w:rPr>
                <w:rFonts w:hint="default"/>
                <w:color w:val="auto"/>
                <w:highlight w:val="none"/>
                <w:u w:val="none" w:color="auto"/>
                <w:lang w:val="en-US" w:eastAsia="zh-CN"/>
              </w:rPr>
              <w:t>人</w:t>
            </w:r>
          </w:p>
        </w:tc>
        <w:tc>
          <w:tcPr>
            <w:tcW w:w="1020" w:type="dxa"/>
            <w:vMerge w:val="continue"/>
            <w:noWrap w:val="0"/>
            <w:vAlign w:val="center"/>
          </w:tcPr>
          <w:p w14:paraId="26D37FD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2E3C02C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982" w:type="dxa"/>
            <w:noWrap w:val="0"/>
            <w:vAlign w:val="center"/>
          </w:tcPr>
          <w:p w14:paraId="54E0FE2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2078-2770</w:t>
            </w:r>
          </w:p>
        </w:tc>
      </w:tr>
      <w:tr w14:paraId="16783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2407CF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5</w:t>
            </w:r>
          </w:p>
        </w:tc>
        <w:tc>
          <w:tcPr>
            <w:tcW w:w="1091" w:type="dxa"/>
            <w:noWrap w:val="0"/>
            <w:vAlign w:val="center"/>
          </w:tcPr>
          <w:p w14:paraId="7B4778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团山花园</w:t>
            </w:r>
          </w:p>
        </w:tc>
        <w:tc>
          <w:tcPr>
            <w:tcW w:w="835" w:type="dxa"/>
            <w:noWrap w:val="0"/>
            <w:vAlign w:val="center"/>
          </w:tcPr>
          <w:p w14:paraId="33DDDF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-1127</w:t>
            </w:r>
          </w:p>
        </w:tc>
        <w:tc>
          <w:tcPr>
            <w:tcW w:w="750" w:type="dxa"/>
            <w:noWrap w:val="0"/>
            <w:vAlign w:val="center"/>
          </w:tcPr>
          <w:p w14:paraId="4D1C12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1989</w:t>
            </w:r>
          </w:p>
        </w:tc>
        <w:tc>
          <w:tcPr>
            <w:tcW w:w="1155" w:type="dxa"/>
            <w:noWrap w:val="0"/>
            <w:vAlign w:val="center"/>
          </w:tcPr>
          <w:p w14:paraId="496A3F3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居民</w:t>
            </w:r>
          </w:p>
        </w:tc>
        <w:tc>
          <w:tcPr>
            <w:tcW w:w="1275" w:type="dxa"/>
            <w:noWrap w:val="0"/>
            <w:vAlign w:val="center"/>
          </w:tcPr>
          <w:p w14:paraId="21528A4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300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1000人</w:t>
            </w:r>
          </w:p>
        </w:tc>
        <w:tc>
          <w:tcPr>
            <w:tcW w:w="1020" w:type="dxa"/>
            <w:vMerge w:val="continue"/>
            <w:noWrap w:val="0"/>
            <w:vAlign w:val="center"/>
          </w:tcPr>
          <w:p w14:paraId="26B6F2C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34225BA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982" w:type="dxa"/>
            <w:noWrap w:val="0"/>
            <w:vAlign w:val="center"/>
          </w:tcPr>
          <w:p w14:paraId="5BCECCC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1600-2630</w:t>
            </w:r>
          </w:p>
        </w:tc>
      </w:tr>
      <w:tr w14:paraId="66404F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49F9A4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6</w:t>
            </w:r>
          </w:p>
        </w:tc>
        <w:tc>
          <w:tcPr>
            <w:tcW w:w="1091" w:type="dxa"/>
            <w:noWrap w:val="0"/>
            <w:vAlign w:val="center"/>
          </w:tcPr>
          <w:p w14:paraId="476745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团山学校</w:t>
            </w:r>
          </w:p>
        </w:tc>
        <w:tc>
          <w:tcPr>
            <w:tcW w:w="835" w:type="dxa"/>
            <w:noWrap w:val="0"/>
            <w:vAlign w:val="center"/>
          </w:tcPr>
          <w:p w14:paraId="622D9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-733</w:t>
            </w:r>
          </w:p>
        </w:tc>
        <w:tc>
          <w:tcPr>
            <w:tcW w:w="750" w:type="dxa"/>
            <w:noWrap w:val="0"/>
            <w:vAlign w:val="center"/>
          </w:tcPr>
          <w:p w14:paraId="7701A9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2223</w:t>
            </w:r>
          </w:p>
        </w:tc>
        <w:tc>
          <w:tcPr>
            <w:tcW w:w="1155" w:type="dxa"/>
            <w:noWrap w:val="0"/>
            <w:vAlign w:val="center"/>
          </w:tcPr>
          <w:p w14:paraId="64E9520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学校</w:t>
            </w:r>
          </w:p>
        </w:tc>
        <w:tc>
          <w:tcPr>
            <w:tcW w:w="1275" w:type="dxa"/>
            <w:noWrap w:val="0"/>
            <w:vAlign w:val="center"/>
          </w:tcPr>
          <w:p w14:paraId="4FA7336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师生</w:t>
            </w:r>
            <w:r>
              <w:rPr>
                <w:rFonts w:hint="default" w:ascii="Times New Roman" w:hAnsi="Times New Roman" w:cs="Times New Roman"/>
                <w:color w:val="auto"/>
                <w:highlight w:val="none"/>
                <w:u w:val="none" w:color="auto"/>
                <w:lang w:val="en-US" w:eastAsia="zh-CN"/>
              </w:rPr>
              <w:t>约</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lang w:val="en-US" w:eastAsia="zh-CN"/>
              </w:rPr>
              <w:t>00</w:t>
            </w:r>
            <w:r>
              <w:rPr>
                <w:rFonts w:hint="default" w:ascii="Times New Roman" w:hAnsi="Times New Roman" w:cs="Times New Roman"/>
                <w:color w:val="auto"/>
                <w:highlight w:val="none"/>
                <w:u w:val="none" w:color="auto"/>
              </w:rPr>
              <w:t>人</w:t>
            </w:r>
          </w:p>
        </w:tc>
        <w:tc>
          <w:tcPr>
            <w:tcW w:w="1020" w:type="dxa"/>
            <w:vMerge w:val="continue"/>
            <w:noWrap w:val="0"/>
            <w:vAlign w:val="center"/>
          </w:tcPr>
          <w:p w14:paraId="2FD454E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41DC5D6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982" w:type="dxa"/>
            <w:noWrap w:val="0"/>
            <w:vAlign w:val="center"/>
          </w:tcPr>
          <w:p w14:paraId="3A91BA6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2210-2338</w:t>
            </w:r>
          </w:p>
        </w:tc>
      </w:tr>
      <w:tr w14:paraId="113EB8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78C894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7</w:t>
            </w:r>
          </w:p>
        </w:tc>
        <w:tc>
          <w:tcPr>
            <w:tcW w:w="1091" w:type="dxa"/>
            <w:noWrap w:val="0"/>
            <w:vAlign w:val="center"/>
          </w:tcPr>
          <w:p w14:paraId="6E57E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汨罗市职业中专学校工业园分校</w:t>
            </w:r>
          </w:p>
        </w:tc>
        <w:tc>
          <w:tcPr>
            <w:tcW w:w="835" w:type="dxa"/>
            <w:noWrap w:val="0"/>
            <w:vAlign w:val="center"/>
          </w:tcPr>
          <w:p w14:paraId="105D53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-180</w:t>
            </w:r>
          </w:p>
        </w:tc>
        <w:tc>
          <w:tcPr>
            <w:tcW w:w="750" w:type="dxa"/>
            <w:noWrap w:val="0"/>
            <w:vAlign w:val="center"/>
          </w:tcPr>
          <w:p w14:paraId="511CC9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1763</w:t>
            </w:r>
          </w:p>
        </w:tc>
        <w:tc>
          <w:tcPr>
            <w:tcW w:w="1155" w:type="dxa"/>
            <w:noWrap w:val="0"/>
            <w:vAlign w:val="center"/>
          </w:tcPr>
          <w:p w14:paraId="6CAA9187">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学校</w:t>
            </w:r>
          </w:p>
        </w:tc>
        <w:tc>
          <w:tcPr>
            <w:tcW w:w="1275" w:type="dxa"/>
            <w:noWrap w:val="0"/>
            <w:vAlign w:val="center"/>
          </w:tcPr>
          <w:p w14:paraId="3E07F69C">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师生</w:t>
            </w:r>
            <w:r>
              <w:rPr>
                <w:rFonts w:hint="default" w:ascii="Times New Roman" w:hAnsi="Times New Roman" w:cs="Times New Roman"/>
                <w:color w:val="auto"/>
                <w:highlight w:val="none"/>
                <w:u w:val="none" w:color="auto"/>
                <w:lang w:val="en-US" w:eastAsia="zh-CN"/>
              </w:rPr>
              <w:t>约</w:t>
            </w:r>
            <w:r>
              <w:rPr>
                <w:rFonts w:hint="eastAsia" w:cs="Times New Roman"/>
                <w:color w:val="auto"/>
                <w:highlight w:val="none"/>
                <w:u w:val="none" w:color="auto"/>
                <w:lang w:val="en-US" w:eastAsia="zh-CN"/>
              </w:rPr>
              <w:t>8</w:t>
            </w:r>
            <w:r>
              <w:rPr>
                <w:rFonts w:hint="default" w:ascii="Times New Roman" w:hAnsi="Times New Roman" w:cs="Times New Roman"/>
                <w:color w:val="auto"/>
                <w:highlight w:val="none"/>
                <w:u w:val="none" w:color="auto"/>
                <w:lang w:val="en-US" w:eastAsia="zh-CN"/>
              </w:rPr>
              <w:t>00</w:t>
            </w:r>
            <w:r>
              <w:rPr>
                <w:rFonts w:hint="default" w:ascii="Times New Roman" w:hAnsi="Times New Roman" w:cs="Times New Roman"/>
                <w:color w:val="auto"/>
                <w:highlight w:val="none"/>
                <w:u w:val="none" w:color="auto"/>
              </w:rPr>
              <w:t>人</w:t>
            </w:r>
          </w:p>
        </w:tc>
        <w:tc>
          <w:tcPr>
            <w:tcW w:w="1020" w:type="dxa"/>
            <w:vMerge w:val="continue"/>
            <w:noWrap w:val="0"/>
            <w:vAlign w:val="center"/>
          </w:tcPr>
          <w:p w14:paraId="3A435A1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567F12C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北</w:t>
            </w:r>
          </w:p>
        </w:tc>
        <w:tc>
          <w:tcPr>
            <w:tcW w:w="982" w:type="dxa"/>
            <w:noWrap w:val="0"/>
            <w:vAlign w:val="center"/>
          </w:tcPr>
          <w:p w14:paraId="46CCF1C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1495-1755</w:t>
            </w:r>
          </w:p>
        </w:tc>
      </w:tr>
      <w:tr w14:paraId="4E9F4F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1BA932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8</w:t>
            </w:r>
          </w:p>
        </w:tc>
        <w:tc>
          <w:tcPr>
            <w:tcW w:w="1091" w:type="dxa"/>
            <w:noWrap w:val="0"/>
            <w:vAlign w:val="center"/>
          </w:tcPr>
          <w:p w14:paraId="4B2D99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汨罗市政务中心</w:t>
            </w:r>
          </w:p>
        </w:tc>
        <w:tc>
          <w:tcPr>
            <w:tcW w:w="835" w:type="dxa"/>
            <w:noWrap w:val="0"/>
            <w:vAlign w:val="center"/>
          </w:tcPr>
          <w:p w14:paraId="337B48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-431</w:t>
            </w:r>
          </w:p>
        </w:tc>
        <w:tc>
          <w:tcPr>
            <w:tcW w:w="750" w:type="dxa"/>
            <w:noWrap w:val="0"/>
            <w:vAlign w:val="center"/>
          </w:tcPr>
          <w:p w14:paraId="44D17C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1553</w:t>
            </w:r>
          </w:p>
        </w:tc>
        <w:tc>
          <w:tcPr>
            <w:tcW w:w="1155" w:type="dxa"/>
            <w:noWrap w:val="0"/>
            <w:vAlign w:val="center"/>
          </w:tcPr>
          <w:p w14:paraId="7BE740B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政府单位</w:t>
            </w:r>
          </w:p>
        </w:tc>
        <w:tc>
          <w:tcPr>
            <w:tcW w:w="1275" w:type="dxa"/>
            <w:noWrap w:val="0"/>
            <w:vAlign w:val="center"/>
          </w:tcPr>
          <w:p w14:paraId="2B22A95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约300人</w:t>
            </w:r>
          </w:p>
        </w:tc>
        <w:tc>
          <w:tcPr>
            <w:tcW w:w="1020" w:type="dxa"/>
            <w:vMerge w:val="continue"/>
            <w:noWrap w:val="0"/>
            <w:vAlign w:val="center"/>
          </w:tcPr>
          <w:p w14:paraId="2141818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1D470BF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982" w:type="dxa"/>
            <w:noWrap w:val="0"/>
            <w:vAlign w:val="center"/>
          </w:tcPr>
          <w:p w14:paraId="11A0492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1455-1560</w:t>
            </w:r>
          </w:p>
        </w:tc>
      </w:tr>
      <w:tr w14:paraId="533FD2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51FA2D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default"/>
                <w:color w:val="auto"/>
                <w:highlight w:val="none"/>
                <w:u w:val="none" w:color="auto"/>
                <w:lang w:val="en-US" w:eastAsia="zh-CN"/>
              </w:rPr>
              <w:t>9</w:t>
            </w:r>
          </w:p>
        </w:tc>
        <w:tc>
          <w:tcPr>
            <w:tcW w:w="1091" w:type="dxa"/>
            <w:noWrap w:val="0"/>
            <w:vAlign w:val="center"/>
          </w:tcPr>
          <w:p w14:paraId="053921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汨罗高新技术产业开发区管委会</w:t>
            </w:r>
          </w:p>
        </w:tc>
        <w:tc>
          <w:tcPr>
            <w:tcW w:w="835" w:type="dxa"/>
            <w:noWrap w:val="0"/>
            <w:vAlign w:val="center"/>
          </w:tcPr>
          <w:p w14:paraId="4C070D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-180</w:t>
            </w:r>
          </w:p>
        </w:tc>
        <w:tc>
          <w:tcPr>
            <w:tcW w:w="750" w:type="dxa"/>
            <w:noWrap w:val="0"/>
            <w:vAlign w:val="center"/>
          </w:tcPr>
          <w:p w14:paraId="1558D2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1478</w:t>
            </w:r>
          </w:p>
        </w:tc>
        <w:tc>
          <w:tcPr>
            <w:tcW w:w="1155" w:type="dxa"/>
            <w:noWrap w:val="0"/>
            <w:vAlign w:val="center"/>
          </w:tcPr>
          <w:p w14:paraId="10735D3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政府单位</w:t>
            </w:r>
          </w:p>
        </w:tc>
        <w:tc>
          <w:tcPr>
            <w:tcW w:w="1275" w:type="dxa"/>
            <w:noWrap w:val="0"/>
            <w:vAlign w:val="center"/>
          </w:tcPr>
          <w:p w14:paraId="5E0772B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约100人</w:t>
            </w:r>
          </w:p>
        </w:tc>
        <w:tc>
          <w:tcPr>
            <w:tcW w:w="1020" w:type="dxa"/>
            <w:vMerge w:val="continue"/>
            <w:noWrap w:val="0"/>
            <w:vAlign w:val="center"/>
          </w:tcPr>
          <w:p w14:paraId="4B4C37E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3AA989F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北</w:t>
            </w:r>
          </w:p>
        </w:tc>
        <w:tc>
          <w:tcPr>
            <w:tcW w:w="982" w:type="dxa"/>
            <w:noWrap w:val="0"/>
            <w:vAlign w:val="center"/>
          </w:tcPr>
          <w:p w14:paraId="55AA039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1365</w:t>
            </w:r>
          </w:p>
        </w:tc>
      </w:tr>
      <w:tr w14:paraId="2E692E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1B3F58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10</w:t>
            </w:r>
          </w:p>
        </w:tc>
        <w:tc>
          <w:tcPr>
            <w:tcW w:w="1091" w:type="dxa"/>
            <w:noWrap w:val="0"/>
            <w:vAlign w:val="center"/>
          </w:tcPr>
          <w:p w14:paraId="62CD35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安置小区</w:t>
            </w:r>
          </w:p>
        </w:tc>
        <w:tc>
          <w:tcPr>
            <w:tcW w:w="835" w:type="dxa"/>
            <w:noWrap w:val="0"/>
            <w:vAlign w:val="center"/>
          </w:tcPr>
          <w:p w14:paraId="7481EA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557</w:t>
            </w:r>
          </w:p>
        </w:tc>
        <w:tc>
          <w:tcPr>
            <w:tcW w:w="750" w:type="dxa"/>
            <w:noWrap w:val="0"/>
            <w:vAlign w:val="center"/>
          </w:tcPr>
          <w:p w14:paraId="773D66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1738</w:t>
            </w:r>
          </w:p>
        </w:tc>
        <w:tc>
          <w:tcPr>
            <w:tcW w:w="1155" w:type="dxa"/>
            <w:noWrap w:val="0"/>
            <w:vAlign w:val="center"/>
          </w:tcPr>
          <w:p w14:paraId="760ACD1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E32EB2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rPr>
              <w:t>约150户，500人</w:t>
            </w:r>
          </w:p>
        </w:tc>
        <w:tc>
          <w:tcPr>
            <w:tcW w:w="1020" w:type="dxa"/>
            <w:vMerge w:val="continue"/>
            <w:noWrap w:val="0"/>
            <w:vAlign w:val="center"/>
          </w:tcPr>
          <w:p w14:paraId="5FA1D71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283023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东北</w:t>
            </w:r>
          </w:p>
        </w:tc>
        <w:tc>
          <w:tcPr>
            <w:tcW w:w="982" w:type="dxa"/>
            <w:noWrap w:val="0"/>
            <w:vAlign w:val="center"/>
          </w:tcPr>
          <w:p w14:paraId="4288506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1700-1970</w:t>
            </w:r>
          </w:p>
        </w:tc>
      </w:tr>
      <w:tr w14:paraId="7E64B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F4FFDC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11</w:t>
            </w:r>
          </w:p>
        </w:tc>
        <w:tc>
          <w:tcPr>
            <w:tcW w:w="1091" w:type="dxa"/>
            <w:noWrap w:val="0"/>
            <w:vAlign w:val="center"/>
          </w:tcPr>
          <w:p w14:paraId="598D61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龙舟安置小区</w:t>
            </w:r>
          </w:p>
        </w:tc>
        <w:tc>
          <w:tcPr>
            <w:tcW w:w="835" w:type="dxa"/>
            <w:noWrap w:val="0"/>
            <w:vAlign w:val="center"/>
          </w:tcPr>
          <w:p w14:paraId="38AE1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724</w:t>
            </w:r>
          </w:p>
        </w:tc>
        <w:tc>
          <w:tcPr>
            <w:tcW w:w="750" w:type="dxa"/>
            <w:noWrap w:val="0"/>
            <w:vAlign w:val="center"/>
          </w:tcPr>
          <w:p w14:paraId="4C218E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2383</w:t>
            </w:r>
          </w:p>
        </w:tc>
        <w:tc>
          <w:tcPr>
            <w:tcW w:w="1155" w:type="dxa"/>
            <w:noWrap w:val="0"/>
            <w:vAlign w:val="center"/>
          </w:tcPr>
          <w:p w14:paraId="6C8A50D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居民</w:t>
            </w:r>
          </w:p>
        </w:tc>
        <w:tc>
          <w:tcPr>
            <w:tcW w:w="1275" w:type="dxa"/>
            <w:noWrap w:val="0"/>
            <w:vAlign w:val="center"/>
          </w:tcPr>
          <w:p w14:paraId="68F5B4C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约</w:t>
            </w:r>
            <w:r>
              <w:rPr>
                <w:rFonts w:hint="eastAsia"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lang w:val="en-US" w:eastAsia="zh-CN"/>
              </w:rPr>
              <w:t>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none" w:color="auto"/>
                <w:lang w:val="en-US" w:eastAsia="zh-CN"/>
              </w:rPr>
              <w:t>75</w:t>
            </w:r>
            <w:r>
              <w:rPr>
                <w:rFonts w:hint="default" w:ascii="Times New Roman" w:hAnsi="Times New Roman" w:eastAsia="宋体" w:cs="Times New Roman"/>
                <w:color w:val="auto"/>
                <w:sz w:val="21"/>
                <w:szCs w:val="21"/>
                <w:highlight w:val="none"/>
                <w:u w:val="none" w:color="auto"/>
                <w:lang w:val="en-US" w:eastAsia="zh-CN"/>
              </w:rPr>
              <w:t>人</w:t>
            </w:r>
          </w:p>
        </w:tc>
        <w:tc>
          <w:tcPr>
            <w:tcW w:w="1020" w:type="dxa"/>
            <w:vMerge w:val="continue"/>
            <w:noWrap w:val="0"/>
            <w:vAlign w:val="center"/>
          </w:tcPr>
          <w:p w14:paraId="6549808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1C929C9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982" w:type="dxa"/>
            <w:noWrap w:val="0"/>
            <w:vAlign w:val="center"/>
          </w:tcPr>
          <w:p w14:paraId="71A6F89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2370-2485</w:t>
            </w:r>
          </w:p>
        </w:tc>
      </w:tr>
      <w:tr w14:paraId="36982B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ADDFED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12</w:t>
            </w:r>
          </w:p>
        </w:tc>
        <w:tc>
          <w:tcPr>
            <w:tcW w:w="1091" w:type="dxa"/>
            <w:noWrap w:val="0"/>
            <w:vAlign w:val="center"/>
          </w:tcPr>
          <w:p w14:paraId="4424FF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晏家冲</w:t>
            </w:r>
          </w:p>
        </w:tc>
        <w:tc>
          <w:tcPr>
            <w:tcW w:w="835" w:type="dxa"/>
            <w:noWrap w:val="0"/>
            <w:vAlign w:val="center"/>
          </w:tcPr>
          <w:p w14:paraId="66D74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1461</w:t>
            </w:r>
          </w:p>
        </w:tc>
        <w:tc>
          <w:tcPr>
            <w:tcW w:w="750" w:type="dxa"/>
            <w:noWrap w:val="0"/>
            <w:vAlign w:val="center"/>
          </w:tcPr>
          <w:p w14:paraId="03CA1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1780</w:t>
            </w:r>
          </w:p>
        </w:tc>
        <w:tc>
          <w:tcPr>
            <w:tcW w:w="1155" w:type="dxa"/>
            <w:noWrap w:val="0"/>
            <w:vAlign w:val="center"/>
          </w:tcPr>
          <w:p w14:paraId="64C0448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居民</w:t>
            </w:r>
          </w:p>
        </w:tc>
        <w:tc>
          <w:tcPr>
            <w:tcW w:w="1275" w:type="dxa"/>
            <w:noWrap w:val="0"/>
            <w:vAlign w:val="center"/>
          </w:tcPr>
          <w:p w14:paraId="162665A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50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150人</w:t>
            </w:r>
          </w:p>
        </w:tc>
        <w:tc>
          <w:tcPr>
            <w:tcW w:w="1020" w:type="dxa"/>
            <w:vMerge w:val="continue"/>
            <w:noWrap w:val="0"/>
            <w:vAlign w:val="center"/>
          </w:tcPr>
          <w:p w14:paraId="6D7122A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0E2A40B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982" w:type="dxa"/>
            <w:noWrap w:val="0"/>
            <w:vAlign w:val="center"/>
          </w:tcPr>
          <w:p w14:paraId="780008C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1845-2535</w:t>
            </w:r>
          </w:p>
        </w:tc>
      </w:tr>
      <w:tr w14:paraId="63B46A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FCEBDA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13</w:t>
            </w:r>
          </w:p>
        </w:tc>
        <w:tc>
          <w:tcPr>
            <w:tcW w:w="1091" w:type="dxa"/>
            <w:noWrap w:val="0"/>
            <w:vAlign w:val="center"/>
          </w:tcPr>
          <w:p w14:paraId="278EB5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枫家岭</w:t>
            </w:r>
          </w:p>
        </w:tc>
        <w:tc>
          <w:tcPr>
            <w:tcW w:w="835" w:type="dxa"/>
            <w:noWrap w:val="0"/>
            <w:vAlign w:val="center"/>
          </w:tcPr>
          <w:p w14:paraId="0B4460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2458</w:t>
            </w:r>
          </w:p>
        </w:tc>
        <w:tc>
          <w:tcPr>
            <w:tcW w:w="750" w:type="dxa"/>
            <w:noWrap w:val="0"/>
            <w:vAlign w:val="center"/>
          </w:tcPr>
          <w:p w14:paraId="2AA090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1972</w:t>
            </w:r>
          </w:p>
        </w:tc>
        <w:tc>
          <w:tcPr>
            <w:tcW w:w="1155" w:type="dxa"/>
            <w:noWrap w:val="0"/>
            <w:vAlign w:val="center"/>
          </w:tcPr>
          <w:p w14:paraId="07A5A80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212291E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rPr>
              <w:t>约250户，800人</w:t>
            </w:r>
          </w:p>
        </w:tc>
        <w:tc>
          <w:tcPr>
            <w:tcW w:w="1020" w:type="dxa"/>
            <w:vMerge w:val="continue"/>
            <w:noWrap w:val="0"/>
            <w:vAlign w:val="center"/>
          </w:tcPr>
          <w:p w14:paraId="6F8F22F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eastAsia="zh-CN"/>
              </w:rPr>
            </w:pPr>
          </w:p>
        </w:tc>
        <w:tc>
          <w:tcPr>
            <w:tcW w:w="915" w:type="dxa"/>
            <w:noWrap w:val="0"/>
            <w:vAlign w:val="center"/>
          </w:tcPr>
          <w:p w14:paraId="6937C4F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982" w:type="dxa"/>
            <w:noWrap w:val="0"/>
            <w:vAlign w:val="center"/>
          </w:tcPr>
          <w:p w14:paraId="4A65F39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2685-3225</w:t>
            </w:r>
          </w:p>
        </w:tc>
      </w:tr>
      <w:tr w14:paraId="748141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088A8E1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14</w:t>
            </w:r>
          </w:p>
        </w:tc>
        <w:tc>
          <w:tcPr>
            <w:tcW w:w="1091" w:type="dxa"/>
            <w:noWrap w:val="0"/>
            <w:vAlign w:val="center"/>
          </w:tcPr>
          <w:p w14:paraId="67000F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新市中学</w:t>
            </w:r>
          </w:p>
        </w:tc>
        <w:tc>
          <w:tcPr>
            <w:tcW w:w="835" w:type="dxa"/>
            <w:noWrap w:val="0"/>
            <w:vAlign w:val="center"/>
          </w:tcPr>
          <w:p w14:paraId="155486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850</w:t>
            </w:r>
          </w:p>
        </w:tc>
        <w:tc>
          <w:tcPr>
            <w:tcW w:w="750" w:type="dxa"/>
            <w:noWrap w:val="0"/>
            <w:vAlign w:val="center"/>
          </w:tcPr>
          <w:p w14:paraId="31BD67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1168</w:t>
            </w:r>
          </w:p>
        </w:tc>
        <w:tc>
          <w:tcPr>
            <w:tcW w:w="1155" w:type="dxa"/>
            <w:noWrap w:val="0"/>
            <w:vAlign w:val="center"/>
          </w:tcPr>
          <w:p w14:paraId="6C5DEA5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师生</w:t>
            </w:r>
          </w:p>
        </w:tc>
        <w:tc>
          <w:tcPr>
            <w:tcW w:w="1275" w:type="dxa"/>
            <w:noWrap w:val="0"/>
            <w:vAlign w:val="center"/>
          </w:tcPr>
          <w:p w14:paraId="63E793E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约2000人</w:t>
            </w:r>
          </w:p>
        </w:tc>
        <w:tc>
          <w:tcPr>
            <w:tcW w:w="1020" w:type="dxa"/>
            <w:vMerge w:val="continue"/>
            <w:noWrap w:val="0"/>
            <w:vAlign w:val="center"/>
          </w:tcPr>
          <w:p w14:paraId="1143E53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758EEA0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982" w:type="dxa"/>
            <w:noWrap w:val="0"/>
            <w:vAlign w:val="center"/>
          </w:tcPr>
          <w:p w14:paraId="0D91030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r>
              <w:rPr>
                <w:rFonts w:hint="eastAsia"/>
                <w:color w:val="auto"/>
                <w:highlight w:val="none"/>
                <w:u w:val="none" w:color="auto"/>
                <w:lang w:val="en-US" w:eastAsia="zh-CN"/>
              </w:rPr>
              <w:t>1275-1650</w:t>
            </w:r>
          </w:p>
        </w:tc>
      </w:tr>
      <w:tr w14:paraId="1B7CC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D5A631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lang w:val="en-US" w:eastAsia="zh-CN"/>
              </w:rPr>
              <w:t>15</w:t>
            </w:r>
          </w:p>
        </w:tc>
        <w:tc>
          <w:tcPr>
            <w:tcW w:w="1091" w:type="dxa"/>
            <w:noWrap w:val="0"/>
            <w:vAlign w:val="center"/>
          </w:tcPr>
          <w:p w14:paraId="2133CD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新市中心小学</w:t>
            </w:r>
          </w:p>
        </w:tc>
        <w:tc>
          <w:tcPr>
            <w:tcW w:w="835" w:type="dxa"/>
            <w:noWrap w:val="0"/>
            <w:vAlign w:val="center"/>
          </w:tcPr>
          <w:p w14:paraId="68A7C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1411</w:t>
            </w:r>
          </w:p>
        </w:tc>
        <w:tc>
          <w:tcPr>
            <w:tcW w:w="750" w:type="dxa"/>
            <w:noWrap w:val="0"/>
            <w:vAlign w:val="center"/>
          </w:tcPr>
          <w:p w14:paraId="2323CE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1252</w:t>
            </w:r>
          </w:p>
        </w:tc>
        <w:tc>
          <w:tcPr>
            <w:tcW w:w="1155" w:type="dxa"/>
            <w:noWrap w:val="0"/>
            <w:vAlign w:val="center"/>
          </w:tcPr>
          <w:p w14:paraId="5224EAC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学校</w:t>
            </w:r>
          </w:p>
        </w:tc>
        <w:tc>
          <w:tcPr>
            <w:tcW w:w="1275" w:type="dxa"/>
            <w:noWrap w:val="0"/>
            <w:vAlign w:val="center"/>
          </w:tcPr>
          <w:p w14:paraId="14A7154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rPr>
              <w:t>约800人</w:t>
            </w:r>
          </w:p>
        </w:tc>
        <w:tc>
          <w:tcPr>
            <w:tcW w:w="1020" w:type="dxa"/>
            <w:vMerge w:val="continue"/>
            <w:noWrap w:val="0"/>
            <w:vAlign w:val="center"/>
          </w:tcPr>
          <w:p w14:paraId="6BEED54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99D702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982" w:type="dxa"/>
            <w:noWrap w:val="0"/>
            <w:vAlign w:val="center"/>
          </w:tcPr>
          <w:p w14:paraId="7CC5433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1705-1795</w:t>
            </w:r>
          </w:p>
        </w:tc>
      </w:tr>
      <w:tr w14:paraId="3565BF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252988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16</w:t>
            </w:r>
          </w:p>
        </w:tc>
        <w:tc>
          <w:tcPr>
            <w:tcW w:w="1091" w:type="dxa"/>
            <w:noWrap w:val="0"/>
            <w:vAlign w:val="center"/>
          </w:tcPr>
          <w:p w14:paraId="496082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新市镇街道</w:t>
            </w:r>
          </w:p>
        </w:tc>
        <w:tc>
          <w:tcPr>
            <w:tcW w:w="835" w:type="dxa"/>
            <w:noWrap w:val="0"/>
            <w:vAlign w:val="center"/>
          </w:tcPr>
          <w:p w14:paraId="71F687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875</w:t>
            </w:r>
          </w:p>
        </w:tc>
        <w:tc>
          <w:tcPr>
            <w:tcW w:w="750" w:type="dxa"/>
            <w:noWrap w:val="0"/>
            <w:vAlign w:val="center"/>
          </w:tcPr>
          <w:p w14:paraId="7F8DCA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959</w:t>
            </w:r>
          </w:p>
        </w:tc>
        <w:tc>
          <w:tcPr>
            <w:tcW w:w="1155" w:type="dxa"/>
            <w:noWrap w:val="0"/>
            <w:vAlign w:val="center"/>
          </w:tcPr>
          <w:p w14:paraId="0EAE850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居住区、学校、医院</w:t>
            </w:r>
          </w:p>
        </w:tc>
        <w:tc>
          <w:tcPr>
            <w:tcW w:w="1275" w:type="dxa"/>
            <w:noWrap w:val="0"/>
            <w:vAlign w:val="center"/>
          </w:tcPr>
          <w:p w14:paraId="1732AB5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rPr>
              <w:t>约</w:t>
            </w: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000户，</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000人</w:t>
            </w:r>
          </w:p>
        </w:tc>
        <w:tc>
          <w:tcPr>
            <w:tcW w:w="1020" w:type="dxa"/>
            <w:vMerge w:val="continue"/>
            <w:noWrap w:val="0"/>
            <w:vAlign w:val="center"/>
          </w:tcPr>
          <w:p w14:paraId="0074D00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2C3021E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982" w:type="dxa"/>
            <w:noWrap w:val="0"/>
            <w:vAlign w:val="center"/>
          </w:tcPr>
          <w:p w14:paraId="57D7FA6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698-1580</w:t>
            </w:r>
          </w:p>
        </w:tc>
      </w:tr>
      <w:tr w14:paraId="28D09C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5BDB415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17</w:t>
            </w:r>
          </w:p>
        </w:tc>
        <w:tc>
          <w:tcPr>
            <w:tcW w:w="1091" w:type="dxa"/>
            <w:noWrap w:val="0"/>
            <w:vAlign w:val="center"/>
          </w:tcPr>
          <w:p w14:paraId="3ACC94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楠竹山盐包石安置区</w:t>
            </w:r>
          </w:p>
        </w:tc>
        <w:tc>
          <w:tcPr>
            <w:tcW w:w="835" w:type="dxa"/>
            <w:noWrap w:val="0"/>
            <w:vAlign w:val="center"/>
          </w:tcPr>
          <w:p w14:paraId="070E2E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2022</w:t>
            </w:r>
          </w:p>
        </w:tc>
        <w:tc>
          <w:tcPr>
            <w:tcW w:w="750" w:type="dxa"/>
            <w:noWrap w:val="0"/>
            <w:vAlign w:val="center"/>
          </w:tcPr>
          <w:p w14:paraId="02DF8B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942</w:t>
            </w:r>
          </w:p>
        </w:tc>
        <w:tc>
          <w:tcPr>
            <w:tcW w:w="1155" w:type="dxa"/>
            <w:noWrap w:val="0"/>
            <w:vAlign w:val="center"/>
          </w:tcPr>
          <w:p w14:paraId="7BD7EA1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5BB601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240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800人</w:t>
            </w:r>
          </w:p>
        </w:tc>
        <w:tc>
          <w:tcPr>
            <w:tcW w:w="1020" w:type="dxa"/>
            <w:vMerge w:val="continue"/>
            <w:noWrap w:val="0"/>
            <w:vAlign w:val="center"/>
          </w:tcPr>
          <w:p w14:paraId="1E66337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A6B1DD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982" w:type="dxa"/>
            <w:noWrap w:val="0"/>
            <w:vAlign w:val="center"/>
          </w:tcPr>
          <w:p w14:paraId="224BE5A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1960-2210</w:t>
            </w:r>
          </w:p>
        </w:tc>
      </w:tr>
      <w:tr w14:paraId="121EE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3E491FC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18</w:t>
            </w:r>
          </w:p>
        </w:tc>
        <w:tc>
          <w:tcPr>
            <w:tcW w:w="1091" w:type="dxa"/>
            <w:noWrap w:val="0"/>
            <w:vAlign w:val="center"/>
          </w:tcPr>
          <w:p w14:paraId="424DFB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集中安置区</w:t>
            </w:r>
          </w:p>
        </w:tc>
        <w:tc>
          <w:tcPr>
            <w:tcW w:w="835" w:type="dxa"/>
            <w:noWrap w:val="0"/>
            <w:vAlign w:val="center"/>
          </w:tcPr>
          <w:p w14:paraId="2AF18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2022</w:t>
            </w:r>
          </w:p>
        </w:tc>
        <w:tc>
          <w:tcPr>
            <w:tcW w:w="750" w:type="dxa"/>
            <w:noWrap w:val="0"/>
            <w:vAlign w:val="center"/>
          </w:tcPr>
          <w:p w14:paraId="5ABF80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297</w:t>
            </w:r>
          </w:p>
        </w:tc>
        <w:tc>
          <w:tcPr>
            <w:tcW w:w="1155" w:type="dxa"/>
            <w:noWrap w:val="0"/>
            <w:vAlign w:val="center"/>
          </w:tcPr>
          <w:p w14:paraId="503C32D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0FD3F01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150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500人</w:t>
            </w:r>
          </w:p>
        </w:tc>
        <w:tc>
          <w:tcPr>
            <w:tcW w:w="1020" w:type="dxa"/>
            <w:vMerge w:val="continue"/>
            <w:noWrap w:val="0"/>
            <w:vAlign w:val="center"/>
          </w:tcPr>
          <w:p w14:paraId="7BB7BC8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0D5091B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w:t>
            </w:r>
          </w:p>
        </w:tc>
        <w:tc>
          <w:tcPr>
            <w:tcW w:w="982" w:type="dxa"/>
            <w:noWrap w:val="0"/>
            <w:vAlign w:val="center"/>
          </w:tcPr>
          <w:p w14:paraId="371D648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1710-2225</w:t>
            </w:r>
          </w:p>
        </w:tc>
      </w:tr>
      <w:tr w14:paraId="25123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C29A53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19</w:t>
            </w:r>
          </w:p>
        </w:tc>
        <w:tc>
          <w:tcPr>
            <w:tcW w:w="1091" w:type="dxa"/>
            <w:noWrap w:val="0"/>
            <w:vAlign w:val="center"/>
          </w:tcPr>
          <w:p w14:paraId="72E3CE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莲花塘</w:t>
            </w:r>
          </w:p>
        </w:tc>
        <w:tc>
          <w:tcPr>
            <w:tcW w:w="835" w:type="dxa"/>
            <w:noWrap w:val="0"/>
            <w:vAlign w:val="center"/>
          </w:tcPr>
          <w:p w14:paraId="192D9D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1352</w:t>
            </w:r>
          </w:p>
        </w:tc>
        <w:tc>
          <w:tcPr>
            <w:tcW w:w="750" w:type="dxa"/>
            <w:noWrap w:val="0"/>
            <w:vAlign w:val="center"/>
          </w:tcPr>
          <w:p w14:paraId="20527D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-88</w:t>
            </w:r>
          </w:p>
        </w:tc>
        <w:tc>
          <w:tcPr>
            <w:tcW w:w="1155" w:type="dxa"/>
            <w:noWrap w:val="0"/>
            <w:vAlign w:val="center"/>
          </w:tcPr>
          <w:p w14:paraId="6077929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居民</w:t>
            </w:r>
          </w:p>
        </w:tc>
        <w:tc>
          <w:tcPr>
            <w:tcW w:w="1275" w:type="dxa"/>
            <w:noWrap w:val="0"/>
            <w:vAlign w:val="center"/>
          </w:tcPr>
          <w:p w14:paraId="183EBD3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约80户，240人</w:t>
            </w:r>
          </w:p>
        </w:tc>
        <w:tc>
          <w:tcPr>
            <w:tcW w:w="1020" w:type="dxa"/>
            <w:vMerge w:val="continue"/>
            <w:noWrap w:val="0"/>
            <w:vAlign w:val="center"/>
          </w:tcPr>
          <w:p w14:paraId="41D87A7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5167D0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w:t>
            </w:r>
          </w:p>
        </w:tc>
        <w:tc>
          <w:tcPr>
            <w:tcW w:w="982" w:type="dxa"/>
            <w:noWrap w:val="0"/>
            <w:vAlign w:val="center"/>
          </w:tcPr>
          <w:p w14:paraId="1D36BC8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915-1280</w:t>
            </w:r>
          </w:p>
        </w:tc>
      </w:tr>
      <w:tr w14:paraId="0C2EE7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2403A7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20</w:t>
            </w:r>
          </w:p>
        </w:tc>
        <w:tc>
          <w:tcPr>
            <w:tcW w:w="1091" w:type="dxa"/>
            <w:noWrap w:val="0"/>
            <w:vAlign w:val="center"/>
          </w:tcPr>
          <w:p w14:paraId="06F52D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大塘湾</w:t>
            </w:r>
          </w:p>
        </w:tc>
        <w:tc>
          <w:tcPr>
            <w:tcW w:w="835" w:type="dxa"/>
            <w:noWrap w:val="0"/>
            <w:vAlign w:val="center"/>
          </w:tcPr>
          <w:p w14:paraId="336B56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2257</w:t>
            </w:r>
          </w:p>
        </w:tc>
        <w:tc>
          <w:tcPr>
            <w:tcW w:w="750" w:type="dxa"/>
            <w:noWrap w:val="0"/>
            <w:vAlign w:val="center"/>
          </w:tcPr>
          <w:p w14:paraId="2C374D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-130</w:t>
            </w:r>
          </w:p>
        </w:tc>
        <w:tc>
          <w:tcPr>
            <w:tcW w:w="1155" w:type="dxa"/>
            <w:noWrap w:val="0"/>
            <w:vAlign w:val="center"/>
          </w:tcPr>
          <w:p w14:paraId="7F96E89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居民</w:t>
            </w:r>
          </w:p>
        </w:tc>
        <w:tc>
          <w:tcPr>
            <w:tcW w:w="1275" w:type="dxa"/>
            <w:noWrap w:val="0"/>
            <w:vAlign w:val="center"/>
          </w:tcPr>
          <w:p w14:paraId="27691C0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w:t>
            </w:r>
            <w:r>
              <w:rPr>
                <w:rFonts w:hint="eastAsia" w:ascii="Times New Roman" w:hAnsi="Times New Roman" w:eastAsia="宋体" w:cs="Times New Roman"/>
                <w:color w:val="auto"/>
                <w:sz w:val="21"/>
                <w:szCs w:val="21"/>
                <w:highlight w:val="none"/>
                <w:u w:val="none" w:color="auto"/>
                <w:lang w:val="en-US" w:eastAsia="zh-CN"/>
              </w:rPr>
              <w:t>6</w:t>
            </w:r>
            <w:r>
              <w:rPr>
                <w:rFonts w:hint="default" w:ascii="Times New Roman" w:hAnsi="Times New Roman" w:eastAsia="宋体" w:cs="Times New Roman"/>
                <w:color w:val="auto"/>
                <w:sz w:val="21"/>
                <w:szCs w:val="21"/>
                <w:highlight w:val="none"/>
                <w:u w:val="none" w:color="auto"/>
                <w:lang w:val="en-US" w:eastAsia="zh-CN"/>
              </w:rPr>
              <w:t>0户，2</w:t>
            </w:r>
            <w:r>
              <w:rPr>
                <w:rFonts w:hint="eastAsia" w:ascii="Times New Roman" w:hAnsi="Times New Roman" w:eastAsia="宋体" w:cs="Times New Roman"/>
                <w:color w:val="auto"/>
                <w:sz w:val="21"/>
                <w:szCs w:val="21"/>
                <w:highlight w:val="none"/>
                <w:u w:val="none" w:color="auto"/>
                <w:lang w:val="en-US" w:eastAsia="zh-CN"/>
              </w:rPr>
              <w:t>0</w:t>
            </w:r>
            <w:r>
              <w:rPr>
                <w:rFonts w:hint="default" w:ascii="Times New Roman" w:hAnsi="Times New Roman" w:eastAsia="宋体" w:cs="Times New Roman"/>
                <w:color w:val="auto"/>
                <w:sz w:val="21"/>
                <w:szCs w:val="21"/>
                <w:highlight w:val="none"/>
                <w:u w:val="none" w:color="auto"/>
                <w:lang w:val="en-US" w:eastAsia="zh-CN"/>
              </w:rPr>
              <w:t>0人</w:t>
            </w:r>
          </w:p>
        </w:tc>
        <w:tc>
          <w:tcPr>
            <w:tcW w:w="1020" w:type="dxa"/>
            <w:vMerge w:val="continue"/>
            <w:noWrap w:val="0"/>
            <w:vAlign w:val="center"/>
          </w:tcPr>
          <w:p w14:paraId="1610C8E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color w:val="auto"/>
                <w:highlight w:val="none"/>
                <w:u w:val="none" w:color="auto"/>
                <w:lang w:val="en-US" w:eastAsia="zh-CN"/>
              </w:rPr>
            </w:pPr>
          </w:p>
        </w:tc>
        <w:tc>
          <w:tcPr>
            <w:tcW w:w="915" w:type="dxa"/>
            <w:noWrap w:val="0"/>
            <w:vAlign w:val="center"/>
          </w:tcPr>
          <w:p w14:paraId="4968E88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w:t>
            </w:r>
          </w:p>
        </w:tc>
        <w:tc>
          <w:tcPr>
            <w:tcW w:w="982" w:type="dxa"/>
            <w:noWrap w:val="0"/>
            <w:vAlign w:val="center"/>
          </w:tcPr>
          <w:p w14:paraId="3414EC5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1965-2380</w:t>
            </w:r>
          </w:p>
        </w:tc>
      </w:tr>
      <w:tr w14:paraId="5BAB3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9B3556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21</w:t>
            </w:r>
          </w:p>
        </w:tc>
        <w:tc>
          <w:tcPr>
            <w:tcW w:w="1091" w:type="dxa"/>
            <w:noWrap w:val="0"/>
            <w:vAlign w:val="center"/>
          </w:tcPr>
          <w:p w14:paraId="387230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韩家屋</w:t>
            </w:r>
          </w:p>
        </w:tc>
        <w:tc>
          <w:tcPr>
            <w:tcW w:w="835" w:type="dxa"/>
            <w:noWrap w:val="0"/>
            <w:vAlign w:val="center"/>
          </w:tcPr>
          <w:p w14:paraId="3CB1A9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-683</w:t>
            </w:r>
          </w:p>
        </w:tc>
        <w:tc>
          <w:tcPr>
            <w:tcW w:w="750" w:type="dxa"/>
            <w:noWrap w:val="0"/>
            <w:vAlign w:val="center"/>
          </w:tcPr>
          <w:p w14:paraId="295BB7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1126</w:t>
            </w:r>
          </w:p>
        </w:tc>
        <w:tc>
          <w:tcPr>
            <w:tcW w:w="1155" w:type="dxa"/>
            <w:noWrap w:val="0"/>
            <w:vAlign w:val="center"/>
          </w:tcPr>
          <w:p w14:paraId="51C0E38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居民</w:t>
            </w:r>
          </w:p>
        </w:tc>
        <w:tc>
          <w:tcPr>
            <w:tcW w:w="1275" w:type="dxa"/>
            <w:noWrap w:val="0"/>
            <w:vAlign w:val="center"/>
          </w:tcPr>
          <w:p w14:paraId="1EB700E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约</w:t>
            </w:r>
            <w:r>
              <w:rPr>
                <w:rFonts w:hint="default"/>
                <w:color w:val="auto"/>
                <w:highlight w:val="none"/>
                <w:u w:val="none" w:color="auto"/>
                <w:lang w:val="en-US" w:eastAsia="zh-CN"/>
              </w:rPr>
              <w:t>50</w:t>
            </w:r>
            <w:r>
              <w:rPr>
                <w:rFonts w:hint="default"/>
                <w:color w:val="auto"/>
                <w:highlight w:val="none"/>
                <w:u w:val="none" w:color="auto"/>
              </w:rPr>
              <w:t>户</w:t>
            </w:r>
            <w:r>
              <w:rPr>
                <w:rFonts w:hint="default"/>
                <w:color w:val="auto"/>
                <w:highlight w:val="none"/>
                <w:u w:val="none" w:color="auto"/>
                <w:lang w:eastAsia="zh-CN"/>
              </w:rPr>
              <w:t>，</w:t>
            </w:r>
            <w:r>
              <w:rPr>
                <w:rFonts w:hint="eastAsia"/>
                <w:color w:val="auto"/>
                <w:highlight w:val="none"/>
                <w:u w:val="none" w:color="auto"/>
                <w:lang w:val="en-US" w:eastAsia="zh-CN"/>
              </w:rPr>
              <w:t>180</w:t>
            </w:r>
            <w:r>
              <w:rPr>
                <w:rFonts w:hint="default"/>
                <w:color w:val="auto"/>
                <w:highlight w:val="none"/>
                <w:u w:val="none" w:color="auto"/>
                <w:lang w:val="en-US" w:eastAsia="zh-CN"/>
              </w:rPr>
              <w:t>人</w:t>
            </w:r>
          </w:p>
        </w:tc>
        <w:tc>
          <w:tcPr>
            <w:tcW w:w="1020" w:type="dxa"/>
            <w:vMerge w:val="continue"/>
            <w:noWrap w:val="0"/>
            <w:vAlign w:val="center"/>
          </w:tcPr>
          <w:p w14:paraId="209FB28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AA0EBC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982" w:type="dxa"/>
            <w:noWrap w:val="0"/>
            <w:vAlign w:val="center"/>
          </w:tcPr>
          <w:p w14:paraId="6F985B5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1060-1835</w:t>
            </w:r>
          </w:p>
        </w:tc>
      </w:tr>
      <w:tr w14:paraId="38B7E4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015118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22</w:t>
            </w:r>
          </w:p>
        </w:tc>
        <w:tc>
          <w:tcPr>
            <w:tcW w:w="1091" w:type="dxa"/>
            <w:noWrap w:val="0"/>
            <w:vAlign w:val="center"/>
          </w:tcPr>
          <w:p w14:paraId="086E2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黄兴小区</w:t>
            </w:r>
          </w:p>
        </w:tc>
        <w:tc>
          <w:tcPr>
            <w:tcW w:w="835" w:type="dxa"/>
            <w:noWrap w:val="0"/>
            <w:vAlign w:val="center"/>
          </w:tcPr>
          <w:p w14:paraId="1F7276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-46</w:t>
            </w:r>
          </w:p>
        </w:tc>
        <w:tc>
          <w:tcPr>
            <w:tcW w:w="750" w:type="dxa"/>
            <w:noWrap w:val="0"/>
            <w:vAlign w:val="center"/>
          </w:tcPr>
          <w:p w14:paraId="45942C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708</w:t>
            </w:r>
          </w:p>
        </w:tc>
        <w:tc>
          <w:tcPr>
            <w:tcW w:w="1155" w:type="dxa"/>
            <w:noWrap w:val="0"/>
            <w:vAlign w:val="center"/>
          </w:tcPr>
          <w:p w14:paraId="46084EB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3341A5F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240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800人</w:t>
            </w:r>
          </w:p>
        </w:tc>
        <w:tc>
          <w:tcPr>
            <w:tcW w:w="1020" w:type="dxa"/>
            <w:vMerge w:val="continue"/>
            <w:noWrap w:val="0"/>
            <w:vAlign w:val="center"/>
          </w:tcPr>
          <w:p w14:paraId="621B35D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219E37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北</w:t>
            </w:r>
          </w:p>
        </w:tc>
        <w:tc>
          <w:tcPr>
            <w:tcW w:w="982" w:type="dxa"/>
            <w:noWrap w:val="0"/>
            <w:vAlign w:val="center"/>
          </w:tcPr>
          <w:p w14:paraId="616405D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267-675</w:t>
            </w:r>
          </w:p>
        </w:tc>
      </w:tr>
      <w:tr w14:paraId="175C30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03B4F01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23</w:t>
            </w:r>
          </w:p>
        </w:tc>
        <w:tc>
          <w:tcPr>
            <w:tcW w:w="1091" w:type="dxa"/>
            <w:noWrap w:val="0"/>
            <w:vAlign w:val="center"/>
          </w:tcPr>
          <w:p w14:paraId="0EC7C0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新阳社区居民1</w:t>
            </w:r>
          </w:p>
        </w:tc>
        <w:tc>
          <w:tcPr>
            <w:tcW w:w="835" w:type="dxa"/>
            <w:noWrap w:val="0"/>
            <w:vAlign w:val="center"/>
          </w:tcPr>
          <w:p w14:paraId="38459F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-96</w:t>
            </w:r>
          </w:p>
        </w:tc>
        <w:tc>
          <w:tcPr>
            <w:tcW w:w="750" w:type="dxa"/>
            <w:noWrap w:val="0"/>
            <w:vAlign w:val="center"/>
          </w:tcPr>
          <w:p w14:paraId="3A0A5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38</w:t>
            </w:r>
          </w:p>
        </w:tc>
        <w:tc>
          <w:tcPr>
            <w:tcW w:w="1155" w:type="dxa"/>
            <w:noWrap w:val="0"/>
            <w:vAlign w:val="center"/>
          </w:tcPr>
          <w:p w14:paraId="5ED74CC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30AB56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24户，约80人</w:t>
            </w:r>
          </w:p>
        </w:tc>
        <w:tc>
          <w:tcPr>
            <w:tcW w:w="1020" w:type="dxa"/>
            <w:vMerge w:val="continue"/>
            <w:noWrap w:val="0"/>
            <w:vAlign w:val="center"/>
          </w:tcPr>
          <w:p w14:paraId="1BBD79B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6DC0DC5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w:t>
            </w:r>
          </w:p>
        </w:tc>
        <w:tc>
          <w:tcPr>
            <w:tcW w:w="982" w:type="dxa"/>
            <w:noWrap w:val="0"/>
            <w:vAlign w:val="center"/>
          </w:tcPr>
          <w:p w14:paraId="2C5DF5E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10-201</w:t>
            </w:r>
          </w:p>
        </w:tc>
      </w:tr>
      <w:tr w14:paraId="0B4404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59D70C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24</w:t>
            </w:r>
          </w:p>
        </w:tc>
        <w:tc>
          <w:tcPr>
            <w:tcW w:w="1091" w:type="dxa"/>
            <w:noWrap w:val="0"/>
            <w:vAlign w:val="center"/>
          </w:tcPr>
          <w:p w14:paraId="46F8B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丛羊村</w:t>
            </w:r>
          </w:p>
        </w:tc>
        <w:tc>
          <w:tcPr>
            <w:tcW w:w="835" w:type="dxa"/>
            <w:noWrap w:val="0"/>
            <w:vAlign w:val="center"/>
          </w:tcPr>
          <w:p w14:paraId="356861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-1060</w:t>
            </w:r>
          </w:p>
        </w:tc>
        <w:tc>
          <w:tcPr>
            <w:tcW w:w="750" w:type="dxa"/>
            <w:noWrap w:val="0"/>
            <w:vAlign w:val="center"/>
          </w:tcPr>
          <w:p w14:paraId="5BE010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473</w:t>
            </w:r>
          </w:p>
        </w:tc>
        <w:tc>
          <w:tcPr>
            <w:tcW w:w="1155" w:type="dxa"/>
            <w:noWrap w:val="0"/>
            <w:vAlign w:val="center"/>
          </w:tcPr>
          <w:p w14:paraId="2BD27E0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3AC3C95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140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450人</w:t>
            </w:r>
          </w:p>
        </w:tc>
        <w:tc>
          <w:tcPr>
            <w:tcW w:w="1020" w:type="dxa"/>
            <w:vMerge w:val="continue"/>
            <w:noWrap w:val="0"/>
            <w:vAlign w:val="center"/>
          </w:tcPr>
          <w:p w14:paraId="02474BD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4778642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982" w:type="dxa"/>
            <w:noWrap w:val="0"/>
            <w:vAlign w:val="center"/>
          </w:tcPr>
          <w:p w14:paraId="069AAD3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925-1305</w:t>
            </w:r>
          </w:p>
        </w:tc>
      </w:tr>
      <w:tr w14:paraId="05484F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1E76A3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25</w:t>
            </w:r>
          </w:p>
        </w:tc>
        <w:tc>
          <w:tcPr>
            <w:tcW w:w="1091" w:type="dxa"/>
            <w:noWrap w:val="0"/>
            <w:vAlign w:val="center"/>
          </w:tcPr>
          <w:p w14:paraId="3B9203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塘冲</w:t>
            </w:r>
          </w:p>
        </w:tc>
        <w:tc>
          <w:tcPr>
            <w:tcW w:w="835" w:type="dxa"/>
            <w:noWrap w:val="0"/>
            <w:vAlign w:val="center"/>
          </w:tcPr>
          <w:p w14:paraId="0B8C84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-1487</w:t>
            </w:r>
          </w:p>
        </w:tc>
        <w:tc>
          <w:tcPr>
            <w:tcW w:w="750" w:type="dxa"/>
            <w:noWrap w:val="0"/>
            <w:vAlign w:val="center"/>
          </w:tcPr>
          <w:p w14:paraId="7EB064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46</w:t>
            </w:r>
          </w:p>
        </w:tc>
        <w:tc>
          <w:tcPr>
            <w:tcW w:w="1155" w:type="dxa"/>
            <w:noWrap w:val="0"/>
            <w:vAlign w:val="center"/>
          </w:tcPr>
          <w:p w14:paraId="3C8C189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427DDD3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约</w:t>
            </w:r>
            <w:r>
              <w:rPr>
                <w:rFonts w:hint="default"/>
                <w:color w:val="auto"/>
                <w:highlight w:val="none"/>
                <w:u w:val="none" w:color="auto"/>
                <w:lang w:val="en-US" w:eastAsia="zh-CN"/>
              </w:rPr>
              <w:t>50</w:t>
            </w:r>
            <w:r>
              <w:rPr>
                <w:rFonts w:hint="default"/>
                <w:color w:val="auto"/>
                <w:highlight w:val="none"/>
                <w:u w:val="none" w:color="auto"/>
              </w:rPr>
              <w:t>户</w:t>
            </w:r>
            <w:r>
              <w:rPr>
                <w:rFonts w:hint="default"/>
                <w:color w:val="auto"/>
                <w:highlight w:val="none"/>
                <w:u w:val="none" w:color="auto"/>
                <w:lang w:eastAsia="zh-CN"/>
              </w:rPr>
              <w:t>，</w:t>
            </w:r>
            <w:r>
              <w:rPr>
                <w:rFonts w:hint="eastAsia"/>
                <w:color w:val="auto"/>
                <w:highlight w:val="none"/>
                <w:u w:val="none" w:color="auto"/>
                <w:lang w:val="en-US" w:eastAsia="zh-CN"/>
              </w:rPr>
              <w:t>150</w:t>
            </w:r>
            <w:r>
              <w:rPr>
                <w:rFonts w:hint="default"/>
                <w:color w:val="auto"/>
                <w:highlight w:val="none"/>
                <w:u w:val="none" w:color="auto"/>
                <w:lang w:val="en-US" w:eastAsia="zh-CN"/>
              </w:rPr>
              <w:t>人</w:t>
            </w:r>
          </w:p>
        </w:tc>
        <w:tc>
          <w:tcPr>
            <w:tcW w:w="1020" w:type="dxa"/>
            <w:vMerge w:val="continue"/>
            <w:noWrap w:val="0"/>
            <w:vAlign w:val="center"/>
          </w:tcPr>
          <w:p w14:paraId="72B1140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20C624F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w:t>
            </w:r>
          </w:p>
        </w:tc>
        <w:tc>
          <w:tcPr>
            <w:tcW w:w="982" w:type="dxa"/>
            <w:noWrap w:val="0"/>
            <w:vAlign w:val="center"/>
          </w:tcPr>
          <w:p w14:paraId="4D7120D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1245-1610</w:t>
            </w:r>
          </w:p>
        </w:tc>
      </w:tr>
      <w:tr w14:paraId="3E800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3F3FF3D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26</w:t>
            </w:r>
          </w:p>
        </w:tc>
        <w:tc>
          <w:tcPr>
            <w:tcW w:w="1091" w:type="dxa"/>
            <w:noWrap w:val="0"/>
            <w:vAlign w:val="center"/>
          </w:tcPr>
          <w:p w14:paraId="55228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中科春天</w:t>
            </w:r>
          </w:p>
        </w:tc>
        <w:tc>
          <w:tcPr>
            <w:tcW w:w="835" w:type="dxa"/>
            <w:noWrap w:val="0"/>
            <w:vAlign w:val="center"/>
          </w:tcPr>
          <w:p w14:paraId="0F3096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-306</w:t>
            </w:r>
          </w:p>
        </w:tc>
        <w:tc>
          <w:tcPr>
            <w:tcW w:w="750" w:type="dxa"/>
            <w:noWrap w:val="0"/>
            <w:vAlign w:val="center"/>
          </w:tcPr>
          <w:p w14:paraId="3A39D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-222</w:t>
            </w:r>
          </w:p>
        </w:tc>
        <w:tc>
          <w:tcPr>
            <w:tcW w:w="1155" w:type="dxa"/>
            <w:noWrap w:val="0"/>
            <w:vAlign w:val="center"/>
          </w:tcPr>
          <w:p w14:paraId="724BCFB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07C4E27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约700户、2000人</w:t>
            </w:r>
          </w:p>
        </w:tc>
        <w:tc>
          <w:tcPr>
            <w:tcW w:w="1020" w:type="dxa"/>
            <w:vMerge w:val="continue"/>
            <w:noWrap w:val="0"/>
            <w:vAlign w:val="center"/>
          </w:tcPr>
          <w:p w14:paraId="17A0829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6D74E1B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982" w:type="dxa"/>
            <w:noWrap w:val="0"/>
            <w:vAlign w:val="center"/>
          </w:tcPr>
          <w:p w14:paraId="3E67343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205-445</w:t>
            </w:r>
          </w:p>
        </w:tc>
      </w:tr>
      <w:tr w14:paraId="18ED9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5BB899F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27</w:t>
            </w:r>
          </w:p>
        </w:tc>
        <w:tc>
          <w:tcPr>
            <w:tcW w:w="1091" w:type="dxa"/>
            <w:noWrap w:val="0"/>
            <w:vAlign w:val="center"/>
          </w:tcPr>
          <w:p w14:paraId="246806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中瑞状元府</w:t>
            </w:r>
          </w:p>
        </w:tc>
        <w:tc>
          <w:tcPr>
            <w:tcW w:w="835" w:type="dxa"/>
            <w:noWrap w:val="0"/>
            <w:vAlign w:val="center"/>
          </w:tcPr>
          <w:p w14:paraId="0BCA63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-297</w:t>
            </w:r>
          </w:p>
        </w:tc>
        <w:tc>
          <w:tcPr>
            <w:tcW w:w="750" w:type="dxa"/>
            <w:noWrap w:val="0"/>
            <w:vAlign w:val="center"/>
          </w:tcPr>
          <w:p w14:paraId="227561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-423</w:t>
            </w:r>
          </w:p>
        </w:tc>
        <w:tc>
          <w:tcPr>
            <w:tcW w:w="1155" w:type="dxa"/>
            <w:noWrap w:val="0"/>
            <w:vAlign w:val="center"/>
          </w:tcPr>
          <w:p w14:paraId="5B5F1DF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居民</w:t>
            </w:r>
          </w:p>
        </w:tc>
        <w:tc>
          <w:tcPr>
            <w:tcW w:w="1275" w:type="dxa"/>
            <w:noWrap w:val="0"/>
            <w:vAlign w:val="center"/>
          </w:tcPr>
          <w:p w14:paraId="4F2B78E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w:t>
            </w:r>
            <w:r>
              <w:rPr>
                <w:rFonts w:hint="eastAsia" w:ascii="Times New Roman" w:hAnsi="Times New Roman" w:eastAsia="宋体"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lang w:val="en-US" w:eastAsia="zh-CN"/>
              </w:rPr>
              <w:t>00户、</w:t>
            </w:r>
            <w:r>
              <w:rPr>
                <w:rFonts w:hint="eastAsia" w:ascii="Times New Roman" w:hAnsi="Times New Roman" w:eastAsia="宋体" w:cs="Times New Roman"/>
                <w:color w:val="auto"/>
                <w:sz w:val="21"/>
                <w:szCs w:val="21"/>
                <w:highlight w:val="none"/>
                <w:u w:val="none" w:color="auto"/>
                <w:lang w:val="en-US" w:eastAsia="zh-CN"/>
              </w:rPr>
              <w:t>15</w:t>
            </w:r>
            <w:r>
              <w:rPr>
                <w:rFonts w:hint="default" w:ascii="Times New Roman" w:hAnsi="Times New Roman" w:eastAsia="宋体" w:cs="Times New Roman"/>
                <w:color w:val="auto"/>
                <w:sz w:val="21"/>
                <w:szCs w:val="21"/>
                <w:highlight w:val="none"/>
                <w:u w:val="none" w:color="auto"/>
                <w:lang w:val="en-US" w:eastAsia="zh-CN"/>
              </w:rPr>
              <w:t>00人</w:t>
            </w:r>
          </w:p>
        </w:tc>
        <w:tc>
          <w:tcPr>
            <w:tcW w:w="1020" w:type="dxa"/>
            <w:vMerge w:val="continue"/>
            <w:noWrap w:val="0"/>
            <w:vAlign w:val="center"/>
          </w:tcPr>
          <w:p w14:paraId="7A899F0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20CBAF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982" w:type="dxa"/>
            <w:noWrap w:val="0"/>
            <w:vAlign w:val="center"/>
          </w:tcPr>
          <w:p w14:paraId="54FA299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356-562</w:t>
            </w:r>
          </w:p>
        </w:tc>
      </w:tr>
      <w:tr w14:paraId="54754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7B9049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28</w:t>
            </w:r>
          </w:p>
        </w:tc>
        <w:tc>
          <w:tcPr>
            <w:tcW w:w="1091" w:type="dxa"/>
            <w:noWrap w:val="0"/>
            <w:vAlign w:val="center"/>
          </w:tcPr>
          <w:p w14:paraId="3E4BF5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汨罗市第二人民医院</w:t>
            </w:r>
          </w:p>
        </w:tc>
        <w:tc>
          <w:tcPr>
            <w:tcW w:w="835" w:type="dxa"/>
            <w:noWrap w:val="0"/>
            <w:vAlign w:val="center"/>
          </w:tcPr>
          <w:p w14:paraId="03BF3E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-247</w:t>
            </w:r>
          </w:p>
        </w:tc>
        <w:tc>
          <w:tcPr>
            <w:tcW w:w="750" w:type="dxa"/>
            <w:noWrap w:val="0"/>
            <w:vAlign w:val="center"/>
          </w:tcPr>
          <w:p w14:paraId="1BB598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-599</w:t>
            </w:r>
          </w:p>
        </w:tc>
        <w:tc>
          <w:tcPr>
            <w:tcW w:w="1155" w:type="dxa"/>
            <w:noWrap w:val="0"/>
            <w:vAlign w:val="center"/>
          </w:tcPr>
          <w:p w14:paraId="555C011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1275" w:type="dxa"/>
            <w:noWrap w:val="0"/>
            <w:vAlign w:val="center"/>
          </w:tcPr>
          <w:p w14:paraId="1CFD836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约</w:t>
            </w:r>
            <w:r>
              <w:rPr>
                <w:rFonts w:hint="eastAsia"/>
                <w:color w:val="auto"/>
                <w:highlight w:val="none"/>
                <w:u w:val="none" w:color="auto"/>
                <w:lang w:val="en-US" w:eastAsia="zh-CN"/>
              </w:rPr>
              <w:t>300</w:t>
            </w:r>
            <w:r>
              <w:rPr>
                <w:rFonts w:hint="default"/>
                <w:color w:val="auto"/>
                <w:highlight w:val="none"/>
                <w:u w:val="none" w:color="auto"/>
                <w:lang w:val="en-US" w:eastAsia="zh-CN"/>
              </w:rPr>
              <w:t>人</w:t>
            </w:r>
          </w:p>
        </w:tc>
        <w:tc>
          <w:tcPr>
            <w:tcW w:w="1020" w:type="dxa"/>
            <w:vMerge w:val="continue"/>
            <w:noWrap w:val="0"/>
            <w:vAlign w:val="center"/>
          </w:tcPr>
          <w:p w14:paraId="2FC34FF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B6A07A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982" w:type="dxa"/>
            <w:noWrap w:val="0"/>
            <w:vAlign w:val="center"/>
          </w:tcPr>
          <w:p w14:paraId="2B2C84B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502-614</w:t>
            </w:r>
          </w:p>
        </w:tc>
      </w:tr>
      <w:tr w14:paraId="155B5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6A7149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29</w:t>
            </w:r>
          </w:p>
        </w:tc>
        <w:tc>
          <w:tcPr>
            <w:tcW w:w="1091" w:type="dxa"/>
            <w:noWrap w:val="0"/>
            <w:vAlign w:val="center"/>
          </w:tcPr>
          <w:p w14:paraId="02ED0B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新阳安置小区</w:t>
            </w:r>
          </w:p>
        </w:tc>
        <w:tc>
          <w:tcPr>
            <w:tcW w:w="835" w:type="dxa"/>
            <w:noWrap w:val="0"/>
            <w:vAlign w:val="center"/>
          </w:tcPr>
          <w:p w14:paraId="636DA2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-331</w:t>
            </w:r>
          </w:p>
        </w:tc>
        <w:tc>
          <w:tcPr>
            <w:tcW w:w="750" w:type="dxa"/>
            <w:noWrap w:val="0"/>
            <w:vAlign w:val="center"/>
          </w:tcPr>
          <w:p w14:paraId="347BF5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-750</w:t>
            </w:r>
          </w:p>
        </w:tc>
        <w:tc>
          <w:tcPr>
            <w:tcW w:w="1155" w:type="dxa"/>
            <w:noWrap w:val="0"/>
            <w:vAlign w:val="center"/>
          </w:tcPr>
          <w:p w14:paraId="520AB33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11E95E3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约700户、2000人</w:t>
            </w:r>
          </w:p>
        </w:tc>
        <w:tc>
          <w:tcPr>
            <w:tcW w:w="1020" w:type="dxa"/>
            <w:vMerge w:val="continue"/>
            <w:noWrap w:val="0"/>
            <w:vAlign w:val="center"/>
          </w:tcPr>
          <w:p w14:paraId="4A5F07B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70AC7EE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982" w:type="dxa"/>
            <w:noWrap w:val="0"/>
            <w:vAlign w:val="center"/>
          </w:tcPr>
          <w:p w14:paraId="6C93BF8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590-825</w:t>
            </w:r>
          </w:p>
        </w:tc>
      </w:tr>
      <w:tr w14:paraId="27E59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D22B46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30</w:t>
            </w:r>
          </w:p>
        </w:tc>
        <w:tc>
          <w:tcPr>
            <w:tcW w:w="1091" w:type="dxa"/>
            <w:noWrap w:val="0"/>
            <w:vAlign w:val="center"/>
          </w:tcPr>
          <w:p w14:paraId="65430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任弼时芙蓉学校</w:t>
            </w:r>
          </w:p>
        </w:tc>
        <w:tc>
          <w:tcPr>
            <w:tcW w:w="835" w:type="dxa"/>
            <w:noWrap w:val="0"/>
            <w:vAlign w:val="center"/>
          </w:tcPr>
          <w:p w14:paraId="229490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21</w:t>
            </w:r>
          </w:p>
        </w:tc>
        <w:tc>
          <w:tcPr>
            <w:tcW w:w="750" w:type="dxa"/>
            <w:noWrap w:val="0"/>
            <w:vAlign w:val="center"/>
          </w:tcPr>
          <w:p w14:paraId="583AE6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-1395</w:t>
            </w:r>
          </w:p>
        </w:tc>
        <w:tc>
          <w:tcPr>
            <w:tcW w:w="1155" w:type="dxa"/>
            <w:noWrap w:val="0"/>
            <w:vAlign w:val="center"/>
          </w:tcPr>
          <w:p w14:paraId="09C90A3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olor w:val="auto"/>
                <w:highlight w:val="none"/>
                <w:u w:val="none" w:color="auto"/>
                <w:lang w:val="en-US" w:eastAsia="zh-CN"/>
              </w:rPr>
              <w:t>师生</w:t>
            </w:r>
          </w:p>
        </w:tc>
        <w:tc>
          <w:tcPr>
            <w:tcW w:w="1275" w:type="dxa"/>
            <w:noWrap w:val="0"/>
            <w:vAlign w:val="center"/>
          </w:tcPr>
          <w:p w14:paraId="6A6FD4A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约1150人</w:t>
            </w:r>
          </w:p>
        </w:tc>
        <w:tc>
          <w:tcPr>
            <w:tcW w:w="1020" w:type="dxa"/>
            <w:vMerge w:val="continue"/>
            <w:noWrap w:val="0"/>
            <w:vAlign w:val="center"/>
          </w:tcPr>
          <w:p w14:paraId="1D0373C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1F2201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南</w:t>
            </w:r>
          </w:p>
        </w:tc>
        <w:tc>
          <w:tcPr>
            <w:tcW w:w="982" w:type="dxa"/>
            <w:noWrap w:val="0"/>
            <w:vAlign w:val="center"/>
          </w:tcPr>
          <w:p w14:paraId="6940E78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1265-1245</w:t>
            </w:r>
          </w:p>
        </w:tc>
      </w:tr>
      <w:tr w14:paraId="354DD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481" w:type="dxa"/>
            <w:noWrap w:val="0"/>
            <w:vAlign w:val="center"/>
          </w:tcPr>
          <w:p w14:paraId="5A0FA9A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31</w:t>
            </w:r>
          </w:p>
        </w:tc>
        <w:tc>
          <w:tcPr>
            <w:tcW w:w="1091" w:type="dxa"/>
            <w:noWrap w:val="0"/>
            <w:vAlign w:val="center"/>
          </w:tcPr>
          <w:p w14:paraId="5BC964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武广安置小区</w:t>
            </w:r>
          </w:p>
        </w:tc>
        <w:tc>
          <w:tcPr>
            <w:tcW w:w="835" w:type="dxa"/>
            <w:noWrap w:val="0"/>
            <w:vAlign w:val="center"/>
          </w:tcPr>
          <w:p w14:paraId="6EB4CE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-180</w:t>
            </w:r>
          </w:p>
        </w:tc>
        <w:tc>
          <w:tcPr>
            <w:tcW w:w="750" w:type="dxa"/>
            <w:noWrap w:val="0"/>
            <w:vAlign w:val="center"/>
          </w:tcPr>
          <w:p w14:paraId="138269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-1385</w:t>
            </w:r>
          </w:p>
        </w:tc>
        <w:tc>
          <w:tcPr>
            <w:tcW w:w="1155" w:type="dxa"/>
            <w:noWrap w:val="0"/>
            <w:vAlign w:val="center"/>
          </w:tcPr>
          <w:p w14:paraId="7E98C1C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居民</w:t>
            </w:r>
          </w:p>
        </w:tc>
        <w:tc>
          <w:tcPr>
            <w:tcW w:w="1275" w:type="dxa"/>
            <w:noWrap w:val="0"/>
            <w:vAlign w:val="center"/>
          </w:tcPr>
          <w:p w14:paraId="41854B4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约</w:t>
            </w:r>
            <w:r>
              <w:rPr>
                <w:rFonts w:hint="eastAsia"/>
                <w:color w:val="auto"/>
                <w:highlight w:val="none"/>
                <w:u w:val="none" w:color="auto"/>
                <w:lang w:val="en-US" w:eastAsia="zh-CN"/>
              </w:rPr>
              <w:t>300</w:t>
            </w:r>
            <w:r>
              <w:rPr>
                <w:rFonts w:hint="default"/>
                <w:color w:val="auto"/>
                <w:highlight w:val="none"/>
                <w:u w:val="none" w:color="auto"/>
              </w:rPr>
              <w:t>户</w:t>
            </w:r>
            <w:r>
              <w:rPr>
                <w:rFonts w:hint="default"/>
                <w:color w:val="auto"/>
                <w:highlight w:val="none"/>
                <w:u w:val="none" w:color="auto"/>
                <w:lang w:eastAsia="zh-CN"/>
              </w:rPr>
              <w:t>，</w:t>
            </w:r>
            <w:r>
              <w:rPr>
                <w:rFonts w:hint="eastAsia"/>
                <w:color w:val="auto"/>
                <w:highlight w:val="none"/>
                <w:u w:val="none" w:color="auto"/>
                <w:lang w:val="en-US" w:eastAsia="zh-CN"/>
              </w:rPr>
              <w:t>1000</w:t>
            </w:r>
            <w:r>
              <w:rPr>
                <w:rFonts w:hint="default"/>
                <w:color w:val="auto"/>
                <w:highlight w:val="none"/>
                <w:u w:val="none" w:color="auto"/>
                <w:lang w:val="en-US" w:eastAsia="zh-CN"/>
              </w:rPr>
              <w:t>人</w:t>
            </w:r>
          </w:p>
        </w:tc>
        <w:tc>
          <w:tcPr>
            <w:tcW w:w="1020" w:type="dxa"/>
            <w:vMerge w:val="continue"/>
            <w:noWrap w:val="0"/>
            <w:vAlign w:val="center"/>
          </w:tcPr>
          <w:p w14:paraId="5D00A1F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2247938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982" w:type="dxa"/>
            <w:noWrap w:val="0"/>
            <w:vAlign w:val="center"/>
          </w:tcPr>
          <w:p w14:paraId="538DE2A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1190-1510</w:t>
            </w:r>
          </w:p>
        </w:tc>
      </w:tr>
      <w:tr w14:paraId="70E09D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C6F8C4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32</w:t>
            </w:r>
          </w:p>
        </w:tc>
        <w:tc>
          <w:tcPr>
            <w:tcW w:w="1091" w:type="dxa"/>
            <w:noWrap w:val="0"/>
            <w:vAlign w:val="center"/>
          </w:tcPr>
          <w:p w14:paraId="695F5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大屋何</w:t>
            </w:r>
          </w:p>
        </w:tc>
        <w:tc>
          <w:tcPr>
            <w:tcW w:w="835" w:type="dxa"/>
            <w:noWrap w:val="0"/>
            <w:vAlign w:val="center"/>
          </w:tcPr>
          <w:p w14:paraId="68A8D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-1420</w:t>
            </w:r>
          </w:p>
        </w:tc>
        <w:tc>
          <w:tcPr>
            <w:tcW w:w="750" w:type="dxa"/>
            <w:noWrap w:val="0"/>
            <w:vAlign w:val="center"/>
          </w:tcPr>
          <w:p w14:paraId="675D0E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-825</w:t>
            </w:r>
          </w:p>
        </w:tc>
        <w:tc>
          <w:tcPr>
            <w:tcW w:w="1155" w:type="dxa"/>
            <w:noWrap w:val="0"/>
            <w:vAlign w:val="center"/>
          </w:tcPr>
          <w:p w14:paraId="650B659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居民</w:t>
            </w:r>
          </w:p>
        </w:tc>
        <w:tc>
          <w:tcPr>
            <w:tcW w:w="1275" w:type="dxa"/>
            <w:noWrap w:val="0"/>
            <w:vAlign w:val="center"/>
          </w:tcPr>
          <w:p w14:paraId="0F95907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30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100人</w:t>
            </w:r>
          </w:p>
        </w:tc>
        <w:tc>
          <w:tcPr>
            <w:tcW w:w="1020" w:type="dxa"/>
            <w:vMerge w:val="continue"/>
            <w:noWrap w:val="0"/>
            <w:vAlign w:val="center"/>
          </w:tcPr>
          <w:p w14:paraId="5A5E500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AC4E96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982" w:type="dxa"/>
            <w:noWrap w:val="0"/>
            <w:vAlign w:val="center"/>
          </w:tcPr>
          <w:p w14:paraId="3758C04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1275-1755</w:t>
            </w:r>
          </w:p>
        </w:tc>
      </w:tr>
      <w:tr w14:paraId="1E20FB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08C455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33</w:t>
            </w:r>
          </w:p>
        </w:tc>
        <w:tc>
          <w:tcPr>
            <w:tcW w:w="1091" w:type="dxa"/>
            <w:noWrap w:val="0"/>
            <w:vAlign w:val="center"/>
          </w:tcPr>
          <w:p w14:paraId="0A381D7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油草磅</w:t>
            </w:r>
          </w:p>
        </w:tc>
        <w:tc>
          <w:tcPr>
            <w:tcW w:w="835" w:type="dxa"/>
            <w:noWrap w:val="0"/>
            <w:vAlign w:val="center"/>
          </w:tcPr>
          <w:p w14:paraId="26F3BC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-2031</w:t>
            </w:r>
          </w:p>
        </w:tc>
        <w:tc>
          <w:tcPr>
            <w:tcW w:w="750" w:type="dxa"/>
            <w:noWrap w:val="0"/>
            <w:vAlign w:val="center"/>
          </w:tcPr>
          <w:p w14:paraId="3BCD05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-967</w:t>
            </w:r>
          </w:p>
        </w:tc>
        <w:tc>
          <w:tcPr>
            <w:tcW w:w="1155" w:type="dxa"/>
            <w:noWrap w:val="0"/>
            <w:vAlign w:val="center"/>
          </w:tcPr>
          <w:p w14:paraId="3A817F0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4E82B8E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30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100人</w:t>
            </w:r>
          </w:p>
        </w:tc>
        <w:tc>
          <w:tcPr>
            <w:tcW w:w="1020" w:type="dxa"/>
            <w:vMerge w:val="continue"/>
            <w:noWrap w:val="0"/>
            <w:vAlign w:val="center"/>
          </w:tcPr>
          <w:p w14:paraId="4D7C43B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4FED8EA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982" w:type="dxa"/>
            <w:noWrap w:val="0"/>
            <w:vAlign w:val="center"/>
          </w:tcPr>
          <w:p w14:paraId="46F3063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2015-2560</w:t>
            </w:r>
          </w:p>
        </w:tc>
      </w:tr>
      <w:tr w14:paraId="7F1648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5D3402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34</w:t>
            </w:r>
          </w:p>
        </w:tc>
        <w:tc>
          <w:tcPr>
            <w:tcW w:w="1091" w:type="dxa"/>
            <w:noWrap w:val="0"/>
            <w:vAlign w:val="center"/>
          </w:tcPr>
          <w:p w14:paraId="569109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咀头仇</w:t>
            </w:r>
          </w:p>
        </w:tc>
        <w:tc>
          <w:tcPr>
            <w:tcW w:w="835" w:type="dxa"/>
            <w:noWrap w:val="0"/>
            <w:vAlign w:val="center"/>
          </w:tcPr>
          <w:p w14:paraId="22FD0B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-1805</w:t>
            </w:r>
          </w:p>
        </w:tc>
        <w:tc>
          <w:tcPr>
            <w:tcW w:w="750" w:type="dxa"/>
            <w:noWrap w:val="0"/>
            <w:vAlign w:val="center"/>
          </w:tcPr>
          <w:p w14:paraId="765EB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-1311</w:t>
            </w:r>
          </w:p>
        </w:tc>
        <w:tc>
          <w:tcPr>
            <w:tcW w:w="1155" w:type="dxa"/>
            <w:noWrap w:val="0"/>
            <w:vAlign w:val="center"/>
          </w:tcPr>
          <w:p w14:paraId="00C9F84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0F3065F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eastAsia" w:ascii="Times New Roman" w:hAnsi="Times New Roman" w:eastAsia="宋体"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lang w:val="en-US" w:eastAsia="zh-CN"/>
              </w:rPr>
              <w:t>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none" w:color="auto"/>
                <w:lang w:val="en-US" w:eastAsia="zh-CN"/>
              </w:rPr>
              <w:t>75</w:t>
            </w:r>
            <w:r>
              <w:rPr>
                <w:rFonts w:hint="default" w:ascii="Times New Roman" w:hAnsi="Times New Roman" w:eastAsia="宋体" w:cs="Times New Roman"/>
                <w:color w:val="auto"/>
                <w:sz w:val="21"/>
                <w:szCs w:val="21"/>
                <w:highlight w:val="none"/>
                <w:u w:val="none" w:color="auto"/>
                <w:lang w:val="en-US" w:eastAsia="zh-CN"/>
              </w:rPr>
              <w:t>人</w:t>
            </w:r>
          </w:p>
        </w:tc>
        <w:tc>
          <w:tcPr>
            <w:tcW w:w="1020" w:type="dxa"/>
            <w:vMerge w:val="continue"/>
            <w:noWrap w:val="0"/>
            <w:vAlign w:val="center"/>
          </w:tcPr>
          <w:p w14:paraId="0447E04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0BB8A4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982" w:type="dxa"/>
            <w:noWrap w:val="0"/>
            <w:vAlign w:val="center"/>
          </w:tcPr>
          <w:p w14:paraId="2F9CF66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1935-2305</w:t>
            </w:r>
          </w:p>
        </w:tc>
      </w:tr>
      <w:tr w14:paraId="5D0D5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5AB9CA5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35</w:t>
            </w:r>
          </w:p>
        </w:tc>
        <w:tc>
          <w:tcPr>
            <w:tcW w:w="1091" w:type="dxa"/>
            <w:noWrap w:val="0"/>
            <w:vAlign w:val="center"/>
          </w:tcPr>
          <w:p w14:paraId="73F05B0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元宵塅</w:t>
            </w:r>
          </w:p>
        </w:tc>
        <w:tc>
          <w:tcPr>
            <w:tcW w:w="835" w:type="dxa"/>
            <w:noWrap w:val="0"/>
            <w:vAlign w:val="center"/>
          </w:tcPr>
          <w:p w14:paraId="35E3BB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-2073</w:t>
            </w:r>
          </w:p>
        </w:tc>
        <w:tc>
          <w:tcPr>
            <w:tcW w:w="750" w:type="dxa"/>
            <w:noWrap w:val="0"/>
            <w:vAlign w:val="center"/>
          </w:tcPr>
          <w:p w14:paraId="1C027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-1704</w:t>
            </w:r>
          </w:p>
        </w:tc>
        <w:tc>
          <w:tcPr>
            <w:tcW w:w="1155" w:type="dxa"/>
            <w:noWrap w:val="0"/>
            <w:vAlign w:val="center"/>
          </w:tcPr>
          <w:p w14:paraId="58EBE2A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27B643C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30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100人</w:t>
            </w:r>
          </w:p>
        </w:tc>
        <w:tc>
          <w:tcPr>
            <w:tcW w:w="1020" w:type="dxa"/>
            <w:vMerge w:val="continue"/>
            <w:noWrap w:val="0"/>
            <w:vAlign w:val="center"/>
          </w:tcPr>
          <w:p w14:paraId="6896AFC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3A9B288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982" w:type="dxa"/>
            <w:noWrap w:val="0"/>
            <w:vAlign w:val="center"/>
          </w:tcPr>
          <w:p w14:paraId="25757F9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2400-3355</w:t>
            </w:r>
          </w:p>
        </w:tc>
      </w:tr>
      <w:tr w14:paraId="7B66F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416E47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36</w:t>
            </w:r>
          </w:p>
        </w:tc>
        <w:tc>
          <w:tcPr>
            <w:tcW w:w="1091" w:type="dxa"/>
            <w:noWrap w:val="0"/>
            <w:vAlign w:val="center"/>
          </w:tcPr>
          <w:p w14:paraId="7FB1EF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元福村</w:t>
            </w:r>
          </w:p>
        </w:tc>
        <w:tc>
          <w:tcPr>
            <w:tcW w:w="835" w:type="dxa"/>
            <w:noWrap w:val="0"/>
            <w:vAlign w:val="center"/>
          </w:tcPr>
          <w:p w14:paraId="44BD13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-1905</w:t>
            </w:r>
          </w:p>
        </w:tc>
        <w:tc>
          <w:tcPr>
            <w:tcW w:w="750" w:type="dxa"/>
            <w:noWrap w:val="0"/>
            <w:vAlign w:val="center"/>
          </w:tcPr>
          <w:p w14:paraId="6420CA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-2240</w:t>
            </w:r>
          </w:p>
        </w:tc>
        <w:tc>
          <w:tcPr>
            <w:tcW w:w="1155" w:type="dxa"/>
            <w:noWrap w:val="0"/>
            <w:vAlign w:val="center"/>
          </w:tcPr>
          <w:p w14:paraId="424DA88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7BF3714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约80户，240人</w:t>
            </w:r>
          </w:p>
        </w:tc>
        <w:tc>
          <w:tcPr>
            <w:tcW w:w="1020" w:type="dxa"/>
            <w:vMerge w:val="continue"/>
            <w:noWrap w:val="0"/>
            <w:vAlign w:val="center"/>
          </w:tcPr>
          <w:p w14:paraId="10C4E69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004928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982" w:type="dxa"/>
            <w:noWrap w:val="0"/>
            <w:vAlign w:val="center"/>
          </w:tcPr>
          <w:p w14:paraId="570DC6E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2555-3185</w:t>
            </w:r>
          </w:p>
        </w:tc>
      </w:tr>
      <w:tr w14:paraId="66CC1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AE2A6B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37</w:t>
            </w:r>
          </w:p>
        </w:tc>
        <w:tc>
          <w:tcPr>
            <w:tcW w:w="1091" w:type="dxa"/>
            <w:noWrap w:val="0"/>
            <w:vAlign w:val="center"/>
          </w:tcPr>
          <w:p w14:paraId="198813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桂花坡</w:t>
            </w:r>
          </w:p>
        </w:tc>
        <w:tc>
          <w:tcPr>
            <w:tcW w:w="835" w:type="dxa"/>
            <w:noWrap w:val="0"/>
            <w:vAlign w:val="center"/>
          </w:tcPr>
          <w:p w14:paraId="0F3943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-1319</w:t>
            </w:r>
          </w:p>
        </w:tc>
        <w:tc>
          <w:tcPr>
            <w:tcW w:w="750" w:type="dxa"/>
            <w:noWrap w:val="0"/>
            <w:vAlign w:val="center"/>
          </w:tcPr>
          <w:p w14:paraId="245E2A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-1880</w:t>
            </w:r>
          </w:p>
        </w:tc>
        <w:tc>
          <w:tcPr>
            <w:tcW w:w="1155" w:type="dxa"/>
            <w:noWrap w:val="0"/>
            <w:vAlign w:val="center"/>
          </w:tcPr>
          <w:p w14:paraId="4B1B556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6A5B304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30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100人</w:t>
            </w:r>
          </w:p>
        </w:tc>
        <w:tc>
          <w:tcPr>
            <w:tcW w:w="1020" w:type="dxa"/>
            <w:vMerge w:val="continue"/>
            <w:noWrap w:val="0"/>
            <w:vAlign w:val="center"/>
          </w:tcPr>
          <w:p w14:paraId="1FD1DF9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359A7F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982" w:type="dxa"/>
            <w:noWrap w:val="0"/>
            <w:vAlign w:val="center"/>
          </w:tcPr>
          <w:p w14:paraId="2F537F3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2105-2475</w:t>
            </w:r>
          </w:p>
        </w:tc>
      </w:tr>
      <w:tr w14:paraId="21B582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687F321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38</w:t>
            </w:r>
          </w:p>
        </w:tc>
        <w:tc>
          <w:tcPr>
            <w:tcW w:w="1091" w:type="dxa"/>
            <w:noWrap w:val="0"/>
            <w:vAlign w:val="center"/>
          </w:tcPr>
          <w:p w14:paraId="6D99AF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甘冲里</w:t>
            </w:r>
          </w:p>
        </w:tc>
        <w:tc>
          <w:tcPr>
            <w:tcW w:w="835" w:type="dxa"/>
            <w:noWrap w:val="0"/>
            <w:vAlign w:val="center"/>
          </w:tcPr>
          <w:p w14:paraId="5FC878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-122</w:t>
            </w:r>
          </w:p>
        </w:tc>
        <w:tc>
          <w:tcPr>
            <w:tcW w:w="750" w:type="dxa"/>
            <w:noWrap w:val="0"/>
            <w:vAlign w:val="center"/>
          </w:tcPr>
          <w:p w14:paraId="6BB8C6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-2366</w:t>
            </w:r>
          </w:p>
        </w:tc>
        <w:tc>
          <w:tcPr>
            <w:tcW w:w="1155" w:type="dxa"/>
            <w:noWrap w:val="0"/>
            <w:vAlign w:val="center"/>
          </w:tcPr>
          <w:p w14:paraId="54702A3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5389BED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eastAsia" w:ascii="Times New Roman" w:hAnsi="Times New Roman" w:eastAsia="宋体" w:cs="Times New Roman"/>
                <w:color w:val="auto"/>
                <w:sz w:val="21"/>
                <w:szCs w:val="21"/>
                <w:highlight w:val="none"/>
                <w:u w:val="none" w:color="auto"/>
                <w:lang w:val="en-US" w:eastAsia="zh-CN"/>
              </w:rPr>
              <w:t>15</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eastAsia" w:ascii="Times New Roman" w:hAnsi="Times New Roman" w:eastAsia="宋体" w:cs="Times New Roman"/>
                <w:color w:val="auto"/>
                <w:sz w:val="21"/>
                <w:szCs w:val="21"/>
                <w:highlight w:val="none"/>
                <w:u w:val="none" w:color="auto"/>
                <w:lang w:val="en-US" w:eastAsia="zh-CN"/>
              </w:rPr>
              <w:t>50</w:t>
            </w:r>
            <w:r>
              <w:rPr>
                <w:rFonts w:hint="default" w:ascii="Times New Roman" w:hAnsi="Times New Roman" w:eastAsia="宋体" w:cs="Times New Roman"/>
                <w:color w:val="auto"/>
                <w:sz w:val="21"/>
                <w:szCs w:val="21"/>
                <w:highlight w:val="none"/>
                <w:u w:val="none" w:color="auto"/>
                <w:lang w:val="en-US" w:eastAsia="zh-CN"/>
              </w:rPr>
              <w:t>人</w:t>
            </w:r>
          </w:p>
        </w:tc>
        <w:tc>
          <w:tcPr>
            <w:tcW w:w="1020" w:type="dxa"/>
            <w:vMerge w:val="continue"/>
            <w:noWrap w:val="0"/>
            <w:vAlign w:val="center"/>
          </w:tcPr>
          <w:p w14:paraId="2BD0901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723A980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南</w:t>
            </w:r>
          </w:p>
        </w:tc>
        <w:tc>
          <w:tcPr>
            <w:tcW w:w="982" w:type="dxa"/>
            <w:noWrap w:val="0"/>
            <w:vAlign w:val="center"/>
          </w:tcPr>
          <w:p w14:paraId="4D09C14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2205-2335</w:t>
            </w:r>
          </w:p>
        </w:tc>
      </w:tr>
      <w:tr w14:paraId="746BFA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52883C5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39</w:t>
            </w:r>
          </w:p>
        </w:tc>
        <w:tc>
          <w:tcPr>
            <w:tcW w:w="1091" w:type="dxa"/>
            <w:noWrap w:val="0"/>
            <w:vAlign w:val="center"/>
          </w:tcPr>
          <w:p w14:paraId="5CFF8D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姚家冲</w:t>
            </w:r>
          </w:p>
        </w:tc>
        <w:tc>
          <w:tcPr>
            <w:tcW w:w="835" w:type="dxa"/>
            <w:noWrap w:val="0"/>
            <w:vAlign w:val="center"/>
          </w:tcPr>
          <w:p w14:paraId="697683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289</w:t>
            </w:r>
          </w:p>
        </w:tc>
        <w:tc>
          <w:tcPr>
            <w:tcW w:w="750" w:type="dxa"/>
            <w:noWrap w:val="0"/>
            <w:vAlign w:val="center"/>
          </w:tcPr>
          <w:p w14:paraId="7F2783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-1018</w:t>
            </w:r>
          </w:p>
        </w:tc>
        <w:tc>
          <w:tcPr>
            <w:tcW w:w="1155" w:type="dxa"/>
            <w:noWrap w:val="0"/>
            <w:vAlign w:val="center"/>
          </w:tcPr>
          <w:p w14:paraId="38A25B3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5A8D0C0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30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100人</w:t>
            </w:r>
          </w:p>
        </w:tc>
        <w:tc>
          <w:tcPr>
            <w:tcW w:w="1020" w:type="dxa"/>
            <w:vMerge w:val="continue"/>
            <w:noWrap w:val="0"/>
            <w:vAlign w:val="center"/>
          </w:tcPr>
          <w:p w14:paraId="175BE74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2216315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南</w:t>
            </w:r>
          </w:p>
        </w:tc>
        <w:tc>
          <w:tcPr>
            <w:tcW w:w="982" w:type="dxa"/>
            <w:noWrap w:val="0"/>
            <w:vAlign w:val="center"/>
          </w:tcPr>
          <w:p w14:paraId="271D252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740-969</w:t>
            </w:r>
          </w:p>
        </w:tc>
      </w:tr>
      <w:tr w14:paraId="77F6C6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0D9AC10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40</w:t>
            </w:r>
          </w:p>
        </w:tc>
        <w:tc>
          <w:tcPr>
            <w:tcW w:w="1091" w:type="dxa"/>
            <w:noWrap w:val="0"/>
            <w:vAlign w:val="center"/>
          </w:tcPr>
          <w:p w14:paraId="33080E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陈家坊</w:t>
            </w:r>
          </w:p>
        </w:tc>
        <w:tc>
          <w:tcPr>
            <w:tcW w:w="835" w:type="dxa"/>
            <w:noWrap w:val="0"/>
            <w:vAlign w:val="center"/>
          </w:tcPr>
          <w:p w14:paraId="59D7AF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716</w:t>
            </w:r>
          </w:p>
        </w:tc>
        <w:tc>
          <w:tcPr>
            <w:tcW w:w="750" w:type="dxa"/>
            <w:noWrap w:val="0"/>
            <w:vAlign w:val="center"/>
          </w:tcPr>
          <w:p w14:paraId="121D3E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-951</w:t>
            </w:r>
          </w:p>
        </w:tc>
        <w:tc>
          <w:tcPr>
            <w:tcW w:w="1155" w:type="dxa"/>
            <w:noWrap w:val="0"/>
            <w:vAlign w:val="center"/>
          </w:tcPr>
          <w:p w14:paraId="10A749A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4367A7C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w:t>
            </w:r>
            <w:r>
              <w:rPr>
                <w:rFonts w:hint="eastAsia" w:ascii="Times New Roman" w:hAnsi="Times New Roman" w:eastAsia="宋体" w:cs="Times New Roman"/>
                <w:color w:val="auto"/>
                <w:sz w:val="21"/>
                <w:szCs w:val="21"/>
                <w:highlight w:val="none"/>
                <w:u w:val="none" w:color="auto"/>
                <w:lang w:val="en-US" w:eastAsia="zh-CN"/>
              </w:rPr>
              <w:t>6</w:t>
            </w:r>
            <w:r>
              <w:rPr>
                <w:rFonts w:hint="default" w:ascii="Times New Roman" w:hAnsi="Times New Roman" w:eastAsia="宋体" w:cs="Times New Roman"/>
                <w:color w:val="auto"/>
                <w:sz w:val="21"/>
                <w:szCs w:val="21"/>
                <w:highlight w:val="none"/>
                <w:u w:val="none" w:color="auto"/>
                <w:lang w:val="en-US" w:eastAsia="zh-CN"/>
              </w:rPr>
              <w:t>0户，2</w:t>
            </w:r>
            <w:r>
              <w:rPr>
                <w:rFonts w:hint="eastAsia" w:ascii="Times New Roman" w:hAnsi="Times New Roman" w:eastAsia="宋体" w:cs="Times New Roman"/>
                <w:color w:val="auto"/>
                <w:sz w:val="21"/>
                <w:szCs w:val="21"/>
                <w:highlight w:val="none"/>
                <w:u w:val="none" w:color="auto"/>
                <w:lang w:val="en-US" w:eastAsia="zh-CN"/>
              </w:rPr>
              <w:t>0</w:t>
            </w:r>
            <w:r>
              <w:rPr>
                <w:rFonts w:hint="default" w:ascii="Times New Roman" w:hAnsi="Times New Roman" w:eastAsia="宋体" w:cs="Times New Roman"/>
                <w:color w:val="auto"/>
                <w:sz w:val="21"/>
                <w:szCs w:val="21"/>
                <w:highlight w:val="none"/>
                <w:u w:val="none" w:color="auto"/>
                <w:lang w:val="en-US" w:eastAsia="zh-CN"/>
              </w:rPr>
              <w:t>0人</w:t>
            </w:r>
          </w:p>
        </w:tc>
        <w:tc>
          <w:tcPr>
            <w:tcW w:w="1020" w:type="dxa"/>
            <w:vMerge w:val="continue"/>
            <w:noWrap w:val="0"/>
            <w:vAlign w:val="center"/>
          </w:tcPr>
          <w:p w14:paraId="6B5B6DB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59BE450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982" w:type="dxa"/>
            <w:noWrap w:val="0"/>
            <w:vAlign w:val="center"/>
          </w:tcPr>
          <w:p w14:paraId="1288FFE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840-1215</w:t>
            </w:r>
          </w:p>
        </w:tc>
      </w:tr>
      <w:tr w14:paraId="5F85BB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2213C32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41</w:t>
            </w:r>
          </w:p>
        </w:tc>
        <w:tc>
          <w:tcPr>
            <w:tcW w:w="1091" w:type="dxa"/>
            <w:noWrap w:val="0"/>
            <w:vAlign w:val="center"/>
          </w:tcPr>
          <w:p w14:paraId="33259C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中间屋</w:t>
            </w:r>
          </w:p>
        </w:tc>
        <w:tc>
          <w:tcPr>
            <w:tcW w:w="835" w:type="dxa"/>
            <w:noWrap w:val="0"/>
            <w:vAlign w:val="center"/>
          </w:tcPr>
          <w:p w14:paraId="703152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1235</w:t>
            </w:r>
          </w:p>
        </w:tc>
        <w:tc>
          <w:tcPr>
            <w:tcW w:w="750" w:type="dxa"/>
            <w:noWrap w:val="0"/>
            <w:vAlign w:val="center"/>
          </w:tcPr>
          <w:p w14:paraId="119C6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-557</w:t>
            </w:r>
          </w:p>
        </w:tc>
        <w:tc>
          <w:tcPr>
            <w:tcW w:w="1155" w:type="dxa"/>
            <w:noWrap w:val="0"/>
            <w:vAlign w:val="center"/>
          </w:tcPr>
          <w:p w14:paraId="0CB11FD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2E8270A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30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100人</w:t>
            </w:r>
          </w:p>
        </w:tc>
        <w:tc>
          <w:tcPr>
            <w:tcW w:w="1020" w:type="dxa"/>
            <w:vMerge w:val="continue"/>
            <w:noWrap w:val="0"/>
            <w:vAlign w:val="center"/>
          </w:tcPr>
          <w:p w14:paraId="2150853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8FED67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982" w:type="dxa"/>
            <w:noWrap w:val="0"/>
            <w:vAlign w:val="center"/>
          </w:tcPr>
          <w:p w14:paraId="6FCC5EB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1135-1495</w:t>
            </w:r>
          </w:p>
        </w:tc>
      </w:tr>
      <w:tr w14:paraId="0E05EA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32AB60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42</w:t>
            </w:r>
          </w:p>
        </w:tc>
        <w:tc>
          <w:tcPr>
            <w:tcW w:w="1091" w:type="dxa"/>
            <w:noWrap w:val="0"/>
            <w:vAlign w:val="center"/>
          </w:tcPr>
          <w:p w14:paraId="72E9098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新屋里</w:t>
            </w:r>
          </w:p>
        </w:tc>
        <w:tc>
          <w:tcPr>
            <w:tcW w:w="835" w:type="dxa"/>
            <w:noWrap w:val="0"/>
            <w:vAlign w:val="center"/>
          </w:tcPr>
          <w:p w14:paraId="0DD2D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1746</w:t>
            </w:r>
          </w:p>
        </w:tc>
        <w:tc>
          <w:tcPr>
            <w:tcW w:w="750" w:type="dxa"/>
            <w:noWrap w:val="0"/>
            <w:vAlign w:val="center"/>
          </w:tcPr>
          <w:p w14:paraId="46DAB3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-532</w:t>
            </w:r>
          </w:p>
        </w:tc>
        <w:tc>
          <w:tcPr>
            <w:tcW w:w="1155" w:type="dxa"/>
            <w:noWrap w:val="0"/>
            <w:vAlign w:val="center"/>
          </w:tcPr>
          <w:p w14:paraId="15BB359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3DBBEFA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30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100人</w:t>
            </w:r>
          </w:p>
        </w:tc>
        <w:tc>
          <w:tcPr>
            <w:tcW w:w="1020" w:type="dxa"/>
            <w:vMerge w:val="continue"/>
            <w:noWrap w:val="0"/>
            <w:vAlign w:val="center"/>
          </w:tcPr>
          <w:p w14:paraId="614833E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85058A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982" w:type="dxa"/>
            <w:noWrap w:val="0"/>
            <w:vAlign w:val="center"/>
          </w:tcPr>
          <w:p w14:paraId="1D5698A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1408-1780</w:t>
            </w:r>
          </w:p>
        </w:tc>
      </w:tr>
      <w:tr w14:paraId="7E7CE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BF143A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43</w:t>
            </w:r>
          </w:p>
        </w:tc>
        <w:tc>
          <w:tcPr>
            <w:tcW w:w="1091" w:type="dxa"/>
            <w:noWrap w:val="0"/>
            <w:vAlign w:val="center"/>
          </w:tcPr>
          <w:p w14:paraId="5ADEF3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花圃寺</w:t>
            </w:r>
          </w:p>
        </w:tc>
        <w:tc>
          <w:tcPr>
            <w:tcW w:w="835" w:type="dxa"/>
            <w:noWrap w:val="0"/>
            <w:vAlign w:val="center"/>
          </w:tcPr>
          <w:p w14:paraId="3B9A377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1311</w:t>
            </w:r>
          </w:p>
        </w:tc>
        <w:tc>
          <w:tcPr>
            <w:tcW w:w="750" w:type="dxa"/>
            <w:noWrap w:val="0"/>
            <w:vAlign w:val="center"/>
          </w:tcPr>
          <w:p w14:paraId="0E41D4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-1302</w:t>
            </w:r>
          </w:p>
        </w:tc>
        <w:tc>
          <w:tcPr>
            <w:tcW w:w="1155" w:type="dxa"/>
            <w:noWrap w:val="0"/>
            <w:vAlign w:val="center"/>
          </w:tcPr>
          <w:p w14:paraId="043B524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35F3BE9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w:t>
            </w:r>
            <w:r>
              <w:rPr>
                <w:rFonts w:hint="eastAsia" w:ascii="Times New Roman" w:hAnsi="Times New Roman" w:eastAsia="宋体" w:cs="Times New Roman"/>
                <w:color w:val="auto"/>
                <w:sz w:val="21"/>
                <w:szCs w:val="21"/>
                <w:highlight w:val="none"/>
                <w:u w:val="none" w:color="auto"/>
                <w:lang w:val="en-US" w:eastAsia="zh-CN"/>
              </w:rPr>
              <w:t>6</w:t>
            </w:r>
            <w:r>
              <w:rPr>
                <w:rFonts w:hint="default" w:ascii="Times New Roman" w:hAnsi="Times New Roman" w:eastAsia="宋体" w:cs="Times New Roman"/>
                <w:color w:val="auto"/>
                <w:sz w:val="21"/>
                <w:szCs w:val="21"/>
                <w:highlight w:val="none"/>
                <w:u w:val="none" w:color="auto"/>
                <w:lang w:val="en-US" w:eastAsia="zh-CN"/>
              </w:rPr>
              <w:t>0户，2</w:t>
            </w:r>
            <w:r>
              <w:rPr>
                <w:rFonts w:hint="eastAsia" w:ascii="Times New Roman" w:hAnsi="Times New Roman" w:eastAsia="宋体" w:cs="Times New Roman"/>
                <w:color w:val="auto"/>
                <w:sz w:val="21"/>
                <w:szCs w:val="21"/>
                <w:highlight w:val="none"/>
                <w:u w:val="none" w:color="auto"/>
                <w:lang w:val="en-US" w:eastAsia="zh-CN"/>
              </w:rPr>
              <w:t>0</w:t>
            </w:r>
            <w:r>
              <w:rPr>
                <w:rFonts w:hint="default" w:ascii="Times New Roman" w:hAnsi="Times New Roman" w:eastAsia="宋体" w:cs="Times New Roman"/>
                <w:color w:val="auto"/>
                <w:sz w:val="21"/>
                <w:szCs w:val="21"/>
                <w:highlight w:val="none"/>
                <w:u w:val="none" w:color="auto"/>
                <w:lang w:val="en-US" w:eastAsia="zh-CN"/>
              </w:rPr>
              <w:t>0人</w:t>
            </w:r>
          </w:p>
        </w:tc>
        <w:tc>
          <w:tcPr>
            <w:tcW w:w="1020" w:type="dxa"/>
            <w:vMerge w:val="continue"/>
            <w:noWrap w:val="0"/>
            <w:vAlign w:val="center"/>
          </w:tcPr>
          <w:p w14:paraId="5C8D2EB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6301E38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982" w:type="dxa"/>
            <w:noWrap w:val="0"/>
            <w:vAlign w:val="center"/>
          </w:tcPr>
          <w:p w14:paraId="5DC0D87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1550-2130</w:t>
            </w:r>
          </w:p>
        </w:tc>
      </w:tr>
      <w:tr w14:paraId="584717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6E1E1C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44</w:t>
            </w:r>
          </w:p>
        </w:tc>
        <w:tc>
          <w:tcPr>
            <w:tcW w:w="1091" w:type="dxa"/>
            <w:noWrap w:val="0"/>
            <w:vAlign w:val="center"/>
          </w:tcPr>
          <w:p w14:paraId="6FCC9E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杨家屋</w:t>
            </w:r>
          </w:p>
        </w:tc>
        <w:tc>
          <w:tcPr>
            <w:tcW w:w="835" w:type="dxa"/>
            <w:noWrap w:val="0"/>
            <w:vAlign w:val="center"/>
          </w:tcPr>
          <w:p w14:paraId="7BA35F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917</w:t>
            </w:r>
          </w:p>
        </w:tc>
        <w:tc>
          <w:tcPr>
            <w:tcW w:w="750" w:type="dxa"/>
            <w:noWrap w:val="0"/>
            <w:vAlign w:val="center"/>
          </w:tcPr>
          <w:p w14:paraId="05ABB5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-1570</w:t>
            </w:r>
          </w:p>
        </w:tc>
        <w:tc>
          <w:tcPr>
            <w:tcW w:w="1155" w:type="dxa"/>
            <w:noWrap w:val="0"/>
            <w:vAlign w:val="center"/>
          </w:tcPr>
          <w:p w14:paraId="6C2603D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1D0EC5C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约80户，240人</w:t>
            </w:r>
          </w:p>
        </w:tc>
        <w:tc>
          <w:tcPr>
            <w:tcW w:w="1020" w:type="dxa"/>
            <w:vMerge w:val="continue"/>
            <w:noWrap w:val="0"/>
            <w:vAlign w:val="center"/>
          </w:tcPr>
          <w:p w14:paraId="4D7503D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3864928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982" w:type="dxa"/>
            <w:noWrap w:val="0"/>
            <w:vAlign w:val="center"/>
          </w:tcPr>
          <w:p w14:paraId="01DD4AC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1650-1905</w:t>
            </w:r>
          </w:p>
        </w:tc>
      </w:tr>
      <w:tr w14:paraId="2AFF1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7C785DE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45</w:t>
            </w:r>
          </w:p>
        </w:tc>
        <w:tc>
          <w:tcPr>
            <w:tcW w:w="1091" w:type="dxa"/>
            <w:noWrap w:val="0"/>
            <w:vAlign w:val="center"/>
          </w:tcPr>
          <w:p w14:paraId="32A4D18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彭家垄</w:t>
            </w:r>
          </w:p>
        </w:tc>
        <w:tc>
          <w:tcPr>
            <w:tcW w:w="835" w:type="dxa"/>
            <w:noWrap w:val="0"/>
            <w:vAlign w:val="center"/>
          </w:tcPr>
          <w:p w14:paraId="6ED8D7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1218</w:t>
            </w:r>
          </w:p>
        </w:tc>
        <w:tc>
          <w:tcPr>
            <w:tcW w:w="750" w:type="dxa"/>
            <w:noWrap w:val="0"/>
            <w:vAlign w:val="center"/>
          </w:tcPr>
          <w:p w14:paraId="49F2B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-2039</w:t>
            </w:r>
          </w:p>
        </w:tc>
        <w:tc>
          <w:tcPr>
            <w:tcW w:w="1155" w:type="dxa"/>
            <w:noWrap w:val="0"/>
            <w:vAlign w:val="center"/>
          </w:tcPr>
          <w:p w14:paraId="3FC8D06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24D5C81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w:t>
            </w:r>
            <w:r>
              <w:rPr>
                <w:rFonts w:hint="eastAsia" w:ascii="Times New Roman" w:hAnsi="Times New Roman" w:eastAsia="宋体" w:cs="Times New Roman"/>
                <w:color w:val="auto"/>
                <w:sz w:val="21"/>
                <w:szCs w:val="21"/>
                <w:highlight w:val="none"/>
                <w:u w:val="none" w:color="auto"/>
                <w:lang w:val="en-US" w:eastAsia="zh-CN"/>
              </w:rPr>
              <w:t>6</w:t>
            </w:r>
            <w:r>
              <w:rPr>
                <w:rFonts w:hint="default" w:ascii="Times New Roman" w:hAnsi="Times New Roman" w:eastAsia="宋体" w:cs="Times New Roman"/>
                <w:color w:val="auto"/>
                <w:sz w:val="21"/>
                <w:szCs w:val="21"/>
                <w:highlight w:val="none"/>
                <w:u w:val="none" w:color="auto"/>
                <w:lang w:val="en-US" w:eastAsia="zh-CN"/>
              </w:rPr>
              <w:t>0户，2</w:t>
            </w:r>
            <w:r>
              <w:rPr>
                <w:rFonts w:hint="eastAsia" w:ascii="Times New Roman" w:hAnsi="Times New Roman" w:eastAsia="宋体" w:cs="Times New Roman"/>
                <w:color w:val="auto"/>
                <w:sz w:val="21"/>
                <w:szCs w:val="21"/>
                <w:highlight w:val="none"/>
                <w:u w:val="none" w:color="auto"/>
                <w:lang w:val="en-US" w:eastAsia="zh-CN"/>
              </w:rPr>
              <w:t>0</w:t>
            </w:r>
            <w:r>
              <w:rPr>
                <w:rFonts w:hint="default" w:ascii="Times New Roman" w:hAnsi="Times New Roman" w:eastAsia="宋体" w:cs="Times New Roman"/>
                <w:color w:val="auto"/>
                <w:sz w:val="21"/>
                <w:szCs w:val="21"/>
                <w:highlight w:val="none"/>
                <w:u w:val="none" w:color="auto"/>
                <w:lang w:val="en-US" w:eastAsia="zh-CN"/>
              </w:rPr>
              <w:t>0人</w:t>
            </w:r>
          </w:p>
        </w:tc>
        <w:tc>
          <w:tcPr>
            <w:tcW w:w="1020" w:type="dxa"/>
            <w:vMerge w:val="continue"/>
            <w:noWrap w:val="0"/>
            <w:vAlign w:val="center"/>
          </w:tcPr>
          <w:p w14:paraId="3D0E12E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D468F6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982" w:type="dxa"/>
            <w:noWrap w:val="0"/>
            <w:vAlign w:val="center"/>
          </w:tcPr>
          <w:p w14:paraId="358C708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1940-2540</w:t>
            </w:r>
          </w:p>
        </w:tc>
      </w:tr>
      <w:tr w14:paraId="2BB64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1A0F8A3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46</w:t>
            </w:r>
          </w:p>
        </w:tc>
        <w:tc>
          <w:tcPr>
            <w:tcW w:w="1091" w:type="dxa"/>
            <w:noWrap w:val="0"/>
            <w:vAlign w:val="center"/>
          </w:tcPr>
          <w:p w14:paraId="6AA4E6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赵家里</w:t>
            </w:r>
          </w:p>
        </w:tc>
        <w:tc>
          <w:tcPr>
            <w:tcW w:w="835" w:type="dxa"/>
            <w:noWrap w:val="0"/>
            <w:vAlign w:val="center"/>
          </w:tcPr>
          <w:p w14:paraId="6BE87D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2232</w:t>
            </w:r>
          </w:p>
        </w:tc>
        <w:tc>
          <w:tcPr>
            <w:tcW w:w="750" w:type="dxa"/>
            <w:noWrap w:val="0"/>
            <w:vAlign w:val="center"/>
          </w:tcPr>
          <w:p w14:paraId="72C083D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-1319</w:t>
            </w:r>
          </w:p>
        </w:tc>
        <w:tc>
          <w:tcPr>
            <w:tcW w:w="1155" w:type="dxa"/>
            <w:noWrap w:val="0"/>
            <w:vAlign w:val="center"/>
          </w:tcPr>
          <w:p w14:paraId="0459C59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2F1188A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约</w:t>
            </w:r>
            <w:r>
              <w:rPr>
                <w:rFonts w:hint="default" w:ascii="Times New Roman" w:hAnsi="Times New Roman" w:eastAsia="宋体" w:cs="Times New Roman"/>
                <w:color w:val="auto"/>
                <w:sz w:val="21"/>
                <w:szCs w:val="21"/>
                <w:highlight w:val="none"/>
                <w:u w:val="none" w:color="auto"/>
                <w:lang w:val="en-US" w:eastAsia="zh-CN"/>
              </w:rPr>
              <w:t>30</w:t>
            </w:r>
            <w:r>
              <w:rPr>
                <w:rFonts w:hint="default" w:ascii="Times New Roman" w:hAnsi="Times New Roman" w:eastAsia="宋体" w:cs="Times New Roman"/>
                <w:color w:val="auto"/>
                <w:sz w:val="21"/>
                <w:szCs w:val="21"/>
                <w:highlight w:val="none"/>
                <w:u w:val="none" w:color="auto"/>
              </w:rPr>
              <w:t>户</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100人</w:t>
            </w:r>
          </w:p>
        </w:tc>
        <w:tc>
          <w:tcPr>
            <w:tcW w:w="1020" w:type="dxa"/>
            <w:vMerge w:val="continue"/>
            <w:noWrap w:val="0"/>
            <w:vAlign w:val="center"/>
          </w:tcPr>
          <w:p w14:paraId="246E311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1D66475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982" w:type="dxa"/>
            <w:noWrap w:val="0"/>
            <w:vAlign w:val="center"/>
          </w:tcPr>
          <w:p w14:paraId="10DFC60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2220-2705</w:t>
            </w:r>
          </w:p>
        </w:tc>
      </w:tr>
      <w:tr w14:paraId="6AC83A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1" w:type="dxa"/>
            <w:noWrap w:val="0"/>
            <w:vAlign w:val="center"/>
          </w:tcPr>
          <w:p w14:paraId="4B1C23F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47</w:t>
            </w:r>
          </w:p>
        </w:tc>
        <w:tc>
          <w:tcPr>
            <w:tcW w:w="1091" w:type="dxa"/>
            <w:noWrap w:val="0"/>
            <w:vAlign w:val="center"/>
          </w:tcPr>
          <w:p w14:paraId="2C71404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新桥村</w:t>
            </w:r>
          </w:p>
        </w:tc>
        <w:tc>
          <w:tcPr>
            <w:tcW w:w="835" w:type="dxa"/>
            <w:noWrap w:val="0"/>
            <w:vAlign w:val="center"/>
          </w:tcPr>
          <w:p w14:paraId="536F74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2282</w:t>
            </w:r>
          </w:p>
        </w:tc>
        <w:tc>
          <w:tcPr>
            <w:tcW w:w="750" w:type="dxa"/>
            <w:noWrap w:val="0"/>
            <w:vAlign w:val="center"/>
          </w:tcPr>
          <w:p w14:paraId="603318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-1864</w:t>
            </w:r>
          </w:p>
        </w:tc>
        <w:tc>
          <w:tcPr>
            <w:tcW w:w="1155" w:type="dxa"/>
            <w:noWrap w:val="0"/>
            <w:vAlign w:val="center"/>
          </w:tcPr>
          <w:p w14:paraId="5E7CD3F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1275" w:type="dxa"/>
            <w:noWrap w:val="0"/>
            <w:vAlign w:val="center"/>
          </w:tcPr>
          <w:p w14:paraId="2C7929E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约</w:t>
            </w:r>
            <w:r>
              <w:rPr>
                <w:rFonts w:hint="eastAsia" w:ascii="Times New Roman" w:hAnsi="Times New Roman" w:eastAsia="宋体" w:cs="Times New Roman"/>
                <w:color w:val="auto"/>
                <w:sz w:val="21"/>
                <w:szCs w:val="21"/>
                <w:highlight w:val="none"/>
                <w:u w:val="none" w:color="auto"/>
                <w:lang w:val="en-US" w:eastAsia="zh-CN"/>
              </w:rPr>
              <w:t>6</w:t>
            </w:r>
            <w:r>
              <w:rPr>
                <w:rFonts w:hint="default" w:ascii="Times New Roman" w:hAnsi="Times New Roman" w:eastAsia="宋体" w:cs="Times New Roman"/>
                <w:color w:val="auto"/>
                <w:sz w:val="21"/>
                <w:szCs w:val="21"/>
                <w:highlight w:val="none"/>
                <w:u w:val="none" w:color="auto"/>
                <w:lang w:val="en-US" w:eastAsia="zh-CN"/>
              </w:rPr>
              <w:t>0户，2</w:t>
            </w:r>
            <w:r>
              <w:rPr>
                <w:rFonts w:hint="eastAsia" w:ascii="Times New Roman" w:hAnsi="Times New Roman" w:eastAsia="宋体" w:cs="Times New Roman"/>
                <w:color w:val="auto"/>
                <w:sz w:val="21"/>
                <w:szCs w:val="21"/>
                <w:highlight w:val="none"/>
                <w:u w:val="none" w:color="auto"/>
                <w:lang w:val="en-US" w:eastAsia="zh-CN"/>
              </w:rPr>
              <w:t>0</w:t>
            </w:r>
            <w:r>
              <w:rPr>
                <w:rFonts w:hint="default" w:ascii="Times New Roman" w:hAnsi="Times New Roman" w:eastAsia="宋体" w:cs="Times New Roman"/>
                <w:color w:val="auto"/>
                <w:sz w:val="21"/>
                <w:szCs w:val="21"/>
                <w:highlight w:val="none"/>
                <w:u w:val="none" w:color="auto"/>
                <w:lang w:val="en-US" w:eastAsia="zh-CN"/>
              </w:rPr>
              <w:t>0人</w:t>
            </w:r>
          </w:p>
        </w:tc>
        <w:tc>
          <w:tcPr>
            <w:tcW w:w="1020" w:type="dxa"/>
            <w:vMerge w:val="continue"/>
            <w:noWrap w:val="0"/>
            <w:vAlign w:val="center"/>
          </w:tcPr>
          <w:p w14:paraId="17DCD5A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p>
        </w:tc>
        <w:tc>
          <w:tcPr>
            <w:tcW w:w="915" w:type="dxa"/>
            <w:noWrap w:val="0"/>
            <w:vAlign w:val="center"/>
          </w:tcPr>
          <w:p w14:paraId="017168C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982" w:type="dxa"/>
            <w:noWrap w:val="0"/>
            <w:vAlign w:val="center"/>
          </w:tcPr>
          <w:p w14:paraId="6511733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2625-3070</w:t>
            </w:r>
          </w:p>
        </w:tc>
      </w:tr>
      <w:tr w14:paraId="6AE89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9"/>
            <w:noWrap w:val="0"/>
            <w:vAlign w:val="center"/>
          </w:tcPr>
          <w:p w14:paraId="62F7729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备注：（0，0）坐标为（东经</w:t>
            </w:r>
            <w:r>
              <w:rPr>
                <w:rFonts w:hint="default" w:ascii="Times New Roman" w:hAnsi="Times New Roman" w:eastAsia="宋体" w:cs="Times New Roman"/>
                <w:b w:val="0"/>
                <w:bCs/>
                <w:color w:val="auto"/>
                <w:sz w:val="21"/>
                <w:szCs w:val="21"/>
                <w:u w:val="none" w:color="auto"/>
                <w:lang w:val="en-US" w:eastAsia="zh-CN"/>
              </w:rPr>
              <w:t>113.142721</w:t>
            </w:r>
            <w:r>
              <w:rPr>
                <w:rFonts w:hint="eastAsia" w:ascii="Times New Roman" w:hAnsi="Times New Roman" w:eastAsia="宋体" w:cs="Times New Roman"/>
                <w:b w:val="0"/>
                <w:bCs/>
                <w:color w:val="auto"/>
                <w:sz w:val="21"/>
                <w:szCs w:val="21"/>
                <w:u w:val="none" w:color="auto"/>
                <w:lang w:val="en-US" w:eastAsia="zh-CN"/>
              </w:rPr>
              <w:t>，</w:t>
            </w:r>
            <w:r>
              <w:rPr>
                <w:rFonts w:hint="eastAsia" w:ascii="Times New Roman" w:hAnsi="Times New Roman" w:eastAsia="宋体" w:cs="Times New Roman"/>
                <w:color w:val="auto"/>
                <w:kern w:val="2"/>
                <w:sz w:val="21"/>
                <w:szCs w:val="21"/>
                <w:highlight w:val="none"/>
                <w:u w:val="none" w:color="auto"/>
                <w:lang w:val="en-US" w:eastAsia="zh-CN" w:bidi="ar-SA"/>
              </w:rPr>
              <w:t>北纬</w:t>
            </w:r>
            <w:r>
              <w:rPr>
                <w:rFonts w:hint="default" w:ascii="Times New Roman" w:hAnsi="Times New Roman" w:eastAsia="宋体" w:cs="Times New Roman"/>
                <w:b w:val="0"/>
                <w:bCs/>
                <w:color w:val="auto"/>
                <w:sz w:val="21"/>
                <w:szCs w:val="21"/>
                <w:u w:val="none" w:color="auto"/>
                <w:lang w:val="en-US" w:eastAsia="zh-CN"/>
              </w:rPr>
              <w:t>28.766549</w:t>
            </w:r>
            <w:r>
              <w:rPr>
                <w:rFonts w:hint="eastAsia" w:ascii="Times New Roman" w:hAnsi="Times New Roman" w:eastAsia="宋体" w:cs="Times New Roman"/>
                <w:color w:val="auto"/>
                <w:kern w:val="2"/>
                <w:sz w:val="21"/>
                <w:szCs w:val="21"/>
                <w:highlight w:val="none"/>
                <w:u w:val="none" w:color="auto"/>
                <w:lang w:val="en-US" w:eastAsia="zh-CN" w:bidi="ar-SA"/>
              </w:rPr>
              <w:t>）</w:t>
            </w:r>
          </w:p>
        </w:tc>
      </w:tr>
    </w:tbl>
    <w:p w14:paraId="73DCD06D">
      <w:pPr>
        <w:pStyle w:val="22"/>
        <w:bidi w:val="0"/>
        <w:rPr>
          <w:rFonts w:hint="default"/>
          <w:color w:val="auto"/>
          <w:u w:val="none" w:color="auto"/>
        </w:rPr>
      </w:pPr>
      <w:r>
        <w:rPr>
          <w:rFonts w:hint="default"/>
          <w:color w:val="auto"/>
          <w:u w:val="none" w:color="auto"/>
        </w:rPr>
        <w:t>表</w:t>
      </w:r>
      <w:r>
        <w:rPr>
          <w:rFonts w:hint="default"/>
          <w:color w:val="auto"/>
          <w:u w:val="none" w:color="auto"/>
          <w:lang w:eastAsia="zh-CN"/>
        </w:rPr>
        <w:t>2.</w:t>
      </w:r>
      <w:r>
        <w:rPr>
          <w:rFonts w:hint="default"/>
          <w:color w:val="auto"/>
          <w:u w:val="none" w:color="auto"/>
          <w:lang w:val="en-US" w:eastAsia="zh-CN"/>
        </w:rPr>
        <w:t>4</w:t>
      </w:r>
      <w:r>
        <w:rPr>
          <w:rFonts w:hint="default"/>
          <w:color w:val="auto"/>
          <w:u w:val="none" w:color="auto"/>
        </w:rPr>
        <w:t>-</w:t>
      </w:r>
      <w:r>
        <w:rPr>
          <w:rFonts w:hint="eastAsia"/>
          <w:color w:val="auto"/>
          <w:u w:val="none" w:color="auto"/>
          <w:lang w:val="en-US" w:eastAsia="zh-CN"/>
        </w:rPr>
        <w:t>3</w:t>
      </w:r>
      <w:r>
        <w:rPr>
          <w:rFonts w:hint="default"/>
          <w:color w:val="auto"/>
          <w:u w:val="none" w:color="auto"/>
        </w:rPr>
        <w:t xml:space="preserve"> 项目周边主要环境敏感目标和保护目标一览表</w:t>
      </w:r>
      <w:bookmarkStart w:id="553" w:name="_Toc336615591"/>
      <w:bookmarkStart w:id="554" w:name="_Toc353549404"/>
      <w:bookmarkStart w:id="555" w:name="_Toc10838"/>
      <w:bookmarkStart w:id="556" w:name="_Toc324516210"/>
      <w:bookmarkStart w:id="557" w:name="_Toc372124935"/>
      <w:bookmarkStart w:id="558" w:name="_Toc331351318"/>
      <w:bookmarkStart w:id="559" w:name="_Toc324754194"/>
    </w:p>
    <w:tbl>
      <w:tblPr>
        <w:tblStyle w:val="16"/>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1704"/>
        <w:gridCol w:w="6"/>
        <w:gridCol w:w="2141"/>
        <w:gridCol w:w="1262"/>
        <w:gridCol w:w="2364"/>
      </w:tblGrid>
      <w:tr w14:paraId="2AE164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noWrap w:val="0"/>
            <w:vAlign w:val="center"/>
          </w:tcPr>
          <w:p w14:paraId="081C6495">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环境因素</w:t>
            </w:r>
          </w:p>
        </w:tc>
        <w:tc>
          <w:tcPr>
            <w:tcW w:w="1710" w:type="dxa"/>
            <w:gridSpan w:val="2"/>
            <w:noWrap w:val="0"/>
            <w:vAlign w:val="center"/>
          </w:tcPr>
          <w:p w14:paraId="3A28AA90">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环境保护目标</w:t>
            </w:r>
          </w:p>
        </w:tc>
        <w:tc>
          <w:tcPr>
            <w:tcW w:w="2141" w:type="dxa"/>
            <w:noWrap w:val="0"/>
            <w:vAlign w:val="center"/>
          </w:tcPr>
          <w:p w14:paraId="7707BE69">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与项目相对方位和距离</w:t>
            </w:r>
          </w:p>
        </w:tc>
        <w:tc>
          <w:tcPr>
            <w:tcW w:w="1262" w:type="dxa"/>
            <w:noWrap w:val="0"/>
            <w:vAlign w:val="center"/>
          </w:tcPr>
          <w:p w14:paraId="0A01BC73">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功能/规模</w:t>
            </w:r>
          </w:p>
        </w:tc>
        <w:tc>
          <w:tcPr>
            <w:tcW w:w="2364" w:type="dxa"/>
            <w:noWrap w:val="0"/>
            <w:vAlign w:val="center"/>
          </w:tcPr>
          <w:p w14:paraId="24D2AF82">
            <w:pPr>
              <w:widowControl w:val="0"/>
              <w:jc w:val="center"/>
              <w:rPr>
                <w:rFonts w:ascii="Times New Roman" w:hAnsi="Times New Roman" w:eastAsia="宋体" w:cs="Times New Roman"/>
                <w:b/>
                <w:bCs/>
                <w:color w:val="auto"/>
                <w:kern w:val="2"/>
                <w:sz w:val="21"/>
                <w:szCs w:val="24"/>
                <w:highlight w:val="none"/>
                <w:u w:val="none" w:color="auto"/>
                <w:lang w:val="en-US" w:eastAsia="zh-CN" w:bidi="ar-SA"/>
              </w:rPr>
            </w:pPr>
            <w:r>
              <w:rPr>
                <w:rFonts w:ascii="Times New Roman" w:hAnsi="Times New Roman" w:eastAsia="宋体" w:cs="Times New Roman"/>
                <w:b/>
                <w:bCs/>
                <w:color w:val="auto"/>
                <w:kern w:val="2"/>
                <w:sz w:val="21"/>
                <w:szCs w:val="24"/>
                <w:highlight w:val="none"/>
                <w:u w:val="none" w:color="auto"/>
                <w:lang w:val="en-US" w:eastAsia="zh-CN" w:bidi="ar-SA"/>
              </w:rPr>
              <w:t>保护对象及等级</w:t>
            </w:r>
          </w:p>
        </w:tc>
      </w:tr>
      <w:tr w14:paraId="3573E6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63" w:hRule="atLeast"/>
          <w:jc w:val="center"/>
        </w:trPr>
        <w:tc>
          <w:tcPr>
            <w:tcW w:w="1027" w:type="dxa"/>
            <w:noWrap w:val="0"/>
            <w:vAlign w:val="center"/>
          </w:tcPr>
          <w:p w14:paraId="25528E93">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地表水环境</w:t>
            </w:r>
          </w:p>
        </w:tc>
        <w:tc>
          <w:tcPr>
            <w:tcW w:w="1710" w:type="dxa"/>
            <w:gridSpan w:val="2"/>
            <w:noWrap w:val="0"/>
            <w:vAlign w:val="center"/>
          </w:tcPr>
          <w:p w14:paraId="434C482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汨罗江新市断面至南渡断面</w:t>
            </w:r>
          </w:p>
        </w:tc>
        <w:tc>
          <w:tcPr>
            <w:tcW w:w="2141" w:type="dxa"/>
            <w:noWrap w:val="0"/>
            <w:vAlign w:val="center"/>
          </w:tcPr>
          <w:p w14:paraId="64E70EC9">
            <w:pPr>
              <w:jc w:val="center"/>
              <w:rPr>
                <w:rFonts w:hint="default" w:ascii="Times New Roman" w:hAnsi="Times New Roman" w:eastAsia="宋体" w:cs="Times New Roman"/>
                <w:color w:val="auto"/>
                <w:highlight w:val="none"/>
                <w:u w:val="none" w:color="auto"/>
                <w:lang w:val="en-US"/>
              </w:rPr>
            </w:pPr>
            <w:r>
              <w:rPr>
                <w:rFonts w:hint="eastAsia" w:ascii="Times New Roman" w:hAnsi="Times New Roman" w:eastAsia="宋体" w:cs="Times New Roman"/>
                <w:color w:val="auto"/>
                <w:kern w:val="0"/>
                <w:szCs w:val="21"/>
                <w:highlight w:val="none"/>
                <w:u w:val="none" w:color="auto"/>
                <w:lang w:val="en-US" w:eastAsia="zh-CN"/>
              </w:rPr>
              <w:t>北，2.6km</w:t>
            </w:r>
          </w:p>
        </w:tc>
        <w:tc>
          <w:tcPr>
            <w:tcW w:w="1262" w:type="dxa"/>
            <w:noWrap w:val="0"/>
            <w:vAlign w:val="center"/>
          </w:tcPr>
          <w:p w14:paraId="4D63161D">
            <w:pPr>
              <w:widowControl w:val="0"/>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渔业用水</w:t>
            </w:r>
            <w:r>
              <w:rPr>
                <w:rFonts w:hint="eastAsia" w:ascii="Times New Roman" w:hAnsi="Times New Roman" w:eastAsia="宋体" w:cs="Times New Roman"/>
                <w:color w:val="auto"/>
                <w:kern w:val="2"/>
                <w:sz w:val="21"/>
                <w:szCs w:val="24"/>
                <w:highlight w:val="none"/>
                <w:u w:val="none" w:color="auto"/>
                <w:lang w:val="en-US" w:eastAsia="zh-CN" w:bidi="ar-SA"/>
              </w:rPr>
              <w:t>，中河</w:t>
            </w:r>
          </w:p>
        </w:tc>
        <w:tc>
          <w:tcPr>
            <w:tcW w:w="2364" w:type="dxa"/>
            <w:noWrap w:val="0"/>
            <w:vAlign w:val="center"/>
          </w:tcPr>
          <w:p w14:paraId="4CCEE26B">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《地表水环境质量标准》（GB3838-2002）Ⅲ类标准</w:t>
            </w:r>
          </w:p>
        </w:tc>
      </w:tr>
      <w:tr w14:paraId="1C49EE6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noWrap w:val="0"/>
            <w:vAlign w:val="center"/>
          </w:tcPr>
          <w:p w14:paraId="514F77F6">
            <w:pPr>
              <w:pStyle w:val="2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声环境</w:t>
            </w:r>
          </w:p>
        </w:tc>
        <w:tc>
          <w:tcPr>
            <w:tcW w:w="1704" w:type="dxa"/>
            <w:noWrap w:val="0"/>
            <w:vAlign w:val="center"/>
          </w:tcPr>
          <w:p w14:paraId="5FD07754">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西侧居民</w:t>
            </w:r>
          </w:p>
        </w:tc>
        <w:tc>
          <w:tcPr>
            <w:tcW w:w="2147" w:type="dxa"/>
            <w:gridSpan w:val="2"/>
            <w:noWrap w:val="0"/>
            <w:vAlign w:val="center"/>
          </w:tcPr>
          <w:p w14:paraId="7CE84344">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kern w:val="2"/>
                <w:sz w:val="21"/>
                <w:szCs w:val="24"/>
                <w:highlight w:val="none"/>
                <w:u w:val="none" w:color="auto"/>
                <w:lang w:val="en-US" w:eastAsia="zh-CN" w:bidi="ar-SA"/>
              </w:rPr>
              <w:t>西，10-200m</w:t>
            </w:r>
          </w:p>
        </w:tc>
        <w:tc>
          <w:tcPr>
            <w:tcW w:w="1262" w:type="dxa"/>
            <w:noWrap w:val="0"/>
            <w:vAlign w:val="center"/>
          </w:tcPr>
          <w:p w14:paraId="41E127A6">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24户，约80人</w:t>
            </w:r>
          </w:p>
        </w:tc>
        <w:tc>
          <w:tcPr>
            <w:tcW w:w="2364" w:type="dxa"/>
            <w:noWrap w:val="0"/>
            <w:vAlign w:val="center"/>
          </w:tcPr>
          <w:p w14:paraId="4E39BB7B">
            <w:pPr>
              <w:pStyle w:val="24"/>
              <w:keepNext w:val="0"/>
              <w:keepLines w:val="0"/>
              <w:pageBreakBefore w:val="0"/>
              <w:widowControl w:val="0"/>
              <w:kinsoku/>
              <w:wordWrap/>
              <w:overflowPunct/>
              <w:topLinePunct w:val="0"/>
              <w:autoSpaceDE/>
              <w:autoSpaceDN/>
              <w:bidi w:val="0"/>
              <w:adjustRightInd/>
              <w:snapToGrid/>
              <w:textAlignment w:val="auto"/>
              <w:rPr>
                <w:rFonts w:ascii="Times New Roman" w:hAnsi="Times New Roman" w:eastAsia="宋体" w:cs="Times New Roman"/>
                <w:color w:val="auto"/>
                <w:kern w:val="2"/>
                <w:sz w:val="21"/>
                <w:szCs w:val="24"/>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《声环境质量标准》(GB3096-2008)</w:t>
            </w:r>
            <w:r>
              <w:rPr>
                <w:rFonts w:hint="eastAsia" w:ascii="Times New Roman" w:hAnsi="Times New Roman" w:eastAsia="宋体" w:cs="Times New Roman"/>
                <w:color w:val="auto"/>
                <w:sz w:val="21"/>
                <w:szCs w:val="21"/>
                <w:highlight w:val="none"/>
                <w:u w:val="none" w:color="auto"/>
                <w:lang w:val="en-US" w:eastAsia="zh-CN"/>
              </w:rPr>
              <w:t>4a</w:t>
            </w:r>
            <w:r>
              <w:rPr>
                <w:rFonts w:hint="default" w:ascii="Times New Roman" w:hAnsi="Times New Roman" w:eastAsia="宋体" w:cs="Times New Roman"/>
                <w:color w:val="auto"/>
                <w:sz w:val="21"/>
                <w:szCs w:val="21"/>
                <w:highlight w:val="none"/>
                <w:u w:val="none" w:color="auto"/>
              </w:rPr>
              <w:t>类标准</w:t>
            </w:r>
          </w:p>
        </w:tc>
      </w:tr>
      <w:tr w14:paraId="5E715A8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noWrap w:val="0"/>
            <w:vAlign w:val="center"/>
          </w:tcPr>
          <w:p w14:paraId="16F80E49">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地下水环境</w:t>
            </w:r>
          </w:p>
        </w:tc>
        <w:tc>
          <w:tcPr>
            <w:tcW w:w="5113" w:type="dxa"/>
            <w:gridSpan w:val="4"/>
            <w:noWrap w:val="0"/>
            <w:vAlign w:val="center"/>
          </w:tcPr>
          <w:p w14:paraId="29503543">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hint="eastAsia"/>
                <w:sz w:val="21"/>
                <w:szCs w:val="21"/>
                <w:lang w:eastAsia="zh-CN"/>
              </w:rPr>
              <w:t>向东侧至</w:t>
            </w:r>
            <w:r>
              <w:rPr>
                <w:rFonts w:hint="eastAsia"/>
                <w:sz w:val="21"/>
                <w:szCs w:val="21"/>
                <w:lang w:val="en-US" w:eastAsia="zh-CN"/>
              </w:rPr>
              <w:t>厂界外1200m</w:t>
            </w:r>
            <w:r>
              <w:rPr>
                <w:rFonts w:hint="eastAsia"/>
                <w:sz w:val="21"/>
                <w:szCs w:val="21"/>
                <w:lang w:eastAsia="zh-CN"/>
              </w:rPr>
              <w:t>，北侧</w:t>
            </w:r>
            <w:r>
              <w:rPr>
                <w:rFonts w:hint="eastAsia"/>
                <w:sz w:val="21"/>
                <w:szCs w:val="21"/>
                <w:lang w:val="en-US" w:eastAsia="zh-CN"/>
              </w:rPr>
              <w:t>至厂界外1200m</w:t>
            </w:r>
            <w:r>
              <w:rPr>
                <w:rFonts w:hint="eastAsia"/>
                <w:sz w:val="21"/>
                <w:szCs w:val="21"/>
                <w:lang w:eastAsia="zh-CN"/>
              </w:rPr>
              <w:t>，西侧至厂界外</w:t>
            </w:r>
            <w:r>
              <w:rPr>
                <w:rFonts w:hint="eastAsia"/>
                <w:sz w:val="21"/>
                <w:szCs w:val="21"/>
                <w:lang w:val="en-US" w:eastAsia="zh-CN"/>
              </w:rPr>
              <w:t>116</w:t>
            </w:r>
            <w:r>
              <w:rPr>
                <w:rFonts w:hint="eastAsia"/>
                <w:sz w:val="21"/>
                <w:szCs w:val="21"/>
                <w:lang w:eastAsia="zh-CN"/>
              </w:rPr>
              <w:t>0m，南侧至厂界外1</w:t>
            </w:r>
            <w:r>
              <w:rPr>
                <w:rFonts w:hint="eastAsia"/>
                <w:sz w:val="21"/>
                <w:szCs w:val="21"/>
                <w:lang w:val="en-US" w:eastAsia="zh-CN"/>
              </w:rPr>
              <w:t>0</w:t>
            </w:r>
            <w:r>
              <w:rPr>
                <w:rFonts w:hint="eastAsia"/>
                <w:sz w:val="21"/>
                <w:szCs w:val="21"/>
                <w:lang w:eastAsia="zh-CN"/>
              </w:rPr>
              <w:t>00m的水文地质区域，面积约</w:t>
            </w:r>
            <w:r>
              <w:rPr>
                <w:rFonts w:hint="eastAsia"/>
                <w:sz w:val="21"/>
                <w:szCs w:val="21"/>
                <w:lang w:val="en-US" w:eastAsia="zh-CN"/>
              </w:rPr>
              <w:t>5.8</w:t>
            </w:r>
            <w:r>
              <w:rPr>
                <w:rFonts w:hint="eastAsia"/>
                <w:sz w:val="21"/>
                <w:szCs w:val="21"/>
                <w:lang w:eastAsia="zh-CN"/>
              </w:rPr>
              <w:t>km</w:t>
            </w:r>
            <w:r>
              <w:rPr>
                <w:rFonts w:hint="eastAsia"/>
                <w:sz w:val="21"/>
                <w:szCs w:val="21"/>
                <w:vertAlign w:val="superscript"/>
                <w:lang w:eastAsia="zh-CN"/>
              </w:rPr>
              <w:t>2</w:t>
            </w:r>
            <w:r>
              <w:rPr>
                <w:color w:val="auto"/>
                <w:highlight w:val="none"/>
                <w:u w:val="none" w:color="auto"/>
              </w:rPr>
              <w:t>。</w:t>
            </w:r>
          </w:p>
        </w:tc>
        <w:tc>
          <w:tcPr>
            <w:tcW w:w="2364" w:type="dxa"/>
            <w:noWrap w:val="0"/>
            <w:vAlign w:val="center"/>
          </w:tcPr>
          <w:p w14:paraId="5B423CD7">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《地下水质量标准》（GB/T14848-2017）III类</w:t>
            </w:r>
          </w:p>
        </w:tc>
      </w:tr>
      <w:tr w14:paraId="4139FD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noWrap w:val="0"/>
            <w:vAlign w:val="center"/>
          </w:tcPr>
          <w:p w14:paraId="1885FB85">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生态环境</w:t>
            </w:r>
          </w:p>
        </w:tc>
        <w:tc>
          <w:tcPr>
            <w:tcW w:w="5113" w:type="dxa"/>
            <w:gridSpan w:val="4"/>
            <w:noWrap w:val="0"/>
            <w:vAlign w:val="center"/>
          </w:tcPr>
          <w:p w14:paraId="126B7F20">
            <w:pPr>
              <w:widowControl w:val="0"/>
              <w:jc w:val="center"/>
              <w:rPr>
                <w:rFonts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周边生态环境</w:t>
            </w:r>
          </w:p>
        </w:tc>
        <w:tc>
          <w:tcPr>
            <w:tcW w:w="2364" w:type="dxa"/>
            <w:noWrap w:val="0"/>
            <w:vAlign w:val="center"/>
          </w:tcPr>
          <w:p w14:paraId="3CA03B7F">
            <w:pPr>
              <w:widowControl w:val="0"/>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ascii="Times New Roman" w:hAnsi="Times New Roman" w:eastAsia="宋体" w:cs="Times New Roman"/>
                <w:color w:val="auto"/>
                <w:kern w:val="2"/>
                <w:sz w:val="21"/>
                <w:szCs w:val="24"/>
                <w:highlight w:val="none"/>
                <w:u w:val="none" w:color="auto"/>
                <w:lang w:val="en-US" w:eastAsia="zh-CN" w:bidi="ar-SA"/>
              </w:rPr>
              <w:t>植被不受破坏</w:t>
            </w:r>
            <w:r>
              <w:rPr>
                <w:rFonts w:hint="eastAsia" w:ascii="Times New Roman" w:hAnsi="Times New Roman" w:eastAsia="宋体" w:cs="Times New Roman"/>
                <w:color w:val="auto"/>
                <w:kern w:val="2"/>
                <w:sz w:val="21"/>
                <w:szCs w:val="24"/>
                <w:highlight w:val="none"/>
                <w:u w:val="none" w:color="auto"/>
                <w:lang w:val="en-US" w:eastAsia="zh-CN" w:bidi="ar-SA"/>
              </w:rPr>
              <w:t>，生态系统完整</w:t>
            </w:r>
          </w:p>
        </w:tc>
      </w:tr>
    </w:tbl>
    <w:p w14:paraId="3FA8310F">
      <w:pPr>
        <w:pStyle w:val="2"/>
        <w:bidi w:val="0"/>
        <w:rPr>
          <w:rFonts w:hint="default" w:ascii="Times New Roman" w:hAnsi="Times New Roman" w:eastAsia="宋体" w:cs="Times New Roman"/>
          <w:color w:val="auto"/>
          <w:u w:val="none" w:color="auto"/>
          <w:lang w:val="en-US" w:eastAsia="zh-CN"/>
        </w:rPr>
      </w:pPr>
      <w:bookmarkStart w:id="560" w:name="_Toc23597_WPSOffice_Level3"/>
      <w:bookmarkStart w:id="561" w:name="_Toc17469_WPSOffice_Level1"/>
      <w:bookmarkStart w:id="562" w:name="_Toc20789"/>
      <w:bookmarkStart w:id="563" w:name="_Toc2361_WPSOffice_Level1"/>
      <w:bookmarkStart w:id="564" w:name="_Toc25563_WPSOffice_Level3"/>
      <w:bookmarkStart w:id="565" w:name="_Toc367"/>
      <w:bookmarkStart w:id="566" w:name="_Toc25274_WPSOffice_Level1"/>
      <w:bookmarkStart w:id="567" w:name="_Toc20978"/>
      <w:r>
        <w:rPr>
          <w:rFonts w:hint="default" w:ascii="Times New Roman" w:hAnsi="Times New Roman" w:eastAsia="宋体" w:cs="Times New Roman"/>
          <w:color w:val="auto"/>
          <w:u w:val="none" w:color="auto"/>
          <w:lang w:val="en-US" w:eastAsia="zh-CN"/>
        </w:rPr>
        <w:br w:type="page"/>
      </w:r>
      <w:bookmarkStart w:id="568" w:name="_Toc20019"/>
      <w:bookmarkStart w:id="569" w:name="_Toc5830"/>
      <w:bookmarkStart w:id="570" w:name="_Toc15390"/>
      <w:r>
        <w:rPr>
          <w:rFonts w:hint="default"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rPr>
        <w:t>、</w:t>
      </w:r>
      <w:bookmarkEnd w:id="560"/>
      <w:bookmarkEnd w:id="561"/>
      <w:bookmarkEnd w:id="562"/>
      <w:bookmarkEnd w:id="563"/>
      <w:bookmarkEnd w:id="564"/>
      <w:bookmarkEnd w:id="568"/>
      <w:bookmarkEnd w:id="569"/>
      <w:r>
        <w:rPr>
          <w:rFonts w:hint="eastAsia" w:ascii="Times New Roman" w:hAnsi="Times New Roman" w:eastAsia="宋体" w:cs="Times New Roman"/>
          <w:color w:val="auto"/>
          <w:u w:val="none" w:color="auto"/>
          <w:lang w:val="en-US" w:eastAsia="zh-CN"/>
        </w:rPr>
        <w:t>迁建前项目概况</w:t>
      </w:r>
      <w:bookmarkEnd w:id="570"/>
    </w:p>
    <w:p w14:paraId="10373C98">
      <w:pPr>
        <w:pStyle w:val="3"/>
        <w:bidi w:val="0"/>
        <w:rPr>
          <w:rFonts w:hint="default"/>
          <w:color w:val="auto"/>
          <w:u w:val="none" w:color="auto"/>
          <w:lang w:val="en-US" w:eastAsia="zh-CN"/>
        </w:rPr>
      </w:pPr>
      <w:bookmarkStart w:id="571" w:name="_Toc10406"/>
      <w:bookmarkStart w:id="572" w:name="_Toc24649"/>
      <w:bookmarkStart w:id="573" w:name="_Toc22395"/>
      <w:r>
        <w:rPr>
          <w:rFonts w:hint="eastAsia"/>
          <w:color w:val="auto"/>
          <w:u w:val="none" w:color="auto"/>
          <w:lang w:val="en-US" w:eastAsia="zh-CN"/>
        </w:rPr>
        <w:t>3.1</w:t>
      </w:r>
      <w:bookmarkEnd w:id="571"/>
      <w:bookmarkEnd w:id="572"/>
      <w:r>
        <w:rPr>
          <w:rFonts w:hint="eastAsia"/>
          <w:color w:val="auto"/>
          <w:u w:val="none" w:color="auto"/>
          <w:lang w:val="en-US" w:eastAsia="zh-CN"/>
        </w:rPr>
        <w:t>迁建前项目基本情况</w:t>
      </w:r>
      <w:bookmarkEnd w:id="573"/>
    </w:p>
    <w:p w14:paraId="7699F852">
      <w:pPr>
        <w:pStyle w:val="20"/>
        <w:bidi w:val="0"/>
        <w:rPr>
          <w:rFonts w:hint="eastAsia"/>
          <w:color w:val="auto"/>
          <w:u w:val="none" w:color="auto"/>
          <w:lang w:val="en-US" w:eastAsia="zh-CN"/>
        </w:rPr>
      </w:pPr>
      <w:r>
        <w:rPr>
          <w:rFonts w:hint="eastAsia"/>
          <w:color w:val="auto"/>
          <w:u w:val="none" w:color="auto"/>
          <w:lang w:val="en-US" w:eastAsia="zh-CN"/>
        </w:rPr>
        <w:t>迁建前项目基本情况如下：</w:t>
      </w:r>
    </w:p>
    <w:p w14:paraId="004F9D95">
      <w:pPr>
        <w:tabs>
          <w:tab w:val="left" w:pos="1021"/>
        </w:tabs>
        <w:snapToGrid w:val="0"/>
        <w:spacing w:line="240" w:lineRule="auto"/>
        <w:jc w:val="center"/>
        <w:rPr>
          <w:color w:val="auto"/>
          <w:sz w:val="21"/>
          <w:szCs w:val="21"/>
          <w:u w:val="none" w:color="auto"/>
        </w:rPr>
      </w:pPr>
      <w:r>
        <w:rPr>
          <w:b/>
          <w:color w:val="auto"/>
          <w:sz w:val="21"/>
          <w:szCs w:val="21"/>
          <w:u w:val="none" w:color="auto"/>
        </w:rPr>
        <w:t xml:space="preserve">表 3.1-1   </w:t>
      </w:r>
      <w:r>
        <w:rPr>
          <w:rFonts w:hint="eastAsia"/>
          <w:b/>
          <w:color w:val="auto"/>
          <w:sz w:val="21"/>
          <w:szCs w:val="21"/>
          <w:u w:val="none" w:color="auto"/>
          <w:lang w:val="en-US" w:eastAsia="zh-CN"/>
        </w:rPr>
        <w:t>迁建前项目</w:t>
      </w:r>
      <w:r>
        <w:rPr>
          <w:b/>
          <w:color w:val="auto"/>
          <w:sz w:val="21"/>
          <w:szCs w:val="21"/>
          <w:u w:val="none" w:color="auto"/>
        </w:rPr>
        <w:t>基本情况</w:t>
      </w:r>
    </w:p>
    <w:tbl>
      <w:tblPr>
        <w:tblStyle w:val="16"/>
        <w:tblW w:w="85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03"/>
        <w:gridCol w:w="6889"/>
      </w:tblGrid>
      <w:tr w14:paraId="64C546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03" w:type="dxa"/>
            <w:noWrap w:val="0"/>
            <w:vAlign w:val="center"/>
          </w:tcPr>
          <w:p w14:paraId="72CE28D8">
            <w:pPr>
              <w:pStyle w:val="23"/>
              <w:rPr>
                <w:rFonts w:ascii="Times New Roman" w:hAnsi="Times New Roman"/>
                <w:color w:val="auto"/>
                <w:sz w:val="21"/>
                <w:szCs w:val="21"/>
                <w:u w:val="none" w:color="auto"/>
              </w:rPr>
            </w:pPr>
            <w:r>
              <w:rPr>
                <w:rFonts w:ascii="Times New Roman" w:hAnsi="Times New Roman"/>
                <w:color w:val="auto"/>
                <w:sz w:val="21"/>
                <w:szCs w:val="21"/>
                <w:u w:val="none" w:color="auto"/>
              </w:rPr>
              <w:t>单位名称</w:t>
            </w:r>
          </w:p>
        </w:tc>
        <w:tc>
          <w:tcPr>
            <w:tcW w:w="6889" w:type="dxa"/>
            <w:noWrap w:val="0"/>
            <w:vAlign w:val="center"/>
          </w:tcPr>
          <w:p w14:paraId="491EEC93">
            <w:pPr>
              <w:pStyle w:val="23"/>
              <w:rPr>
                <w:rFonts w:hint="eastAsia" w:ascii="Times New Roman" w:hAnsi="Times New Roman" w:eastAsia="宋体"/>
                <w:color w:val="auto"/>
                <w:sz w:val="21"/>
                <w:szCs w:val="21"/>
                <w:u w:val="none" w:color="auto"/>
                <w:lang w:eastAsia="zh-CN"/>
              </w:rPr>
            </w:pPr>
            <w:r>
              <w:rPr>
                <w:rFonts w:hint="eastAsia" w:ascii="Times New Roman" w:hAnsi="Times New Roman"/>
                <w:color w:val="auto"/>
                <w:sz w:val="21"/>
                <w:szCs w:val="21"/>
                <w:u w:val="none" w:color="auto"/>
                <w:lang w:eastAsia="zh-CN"/>
              </w:rPr>
              <w:t>湖南铭腾新材料有限公司</w:t>
            </w:r>
          </w:p>
        </w:tc>
      </w:tr>
      <w:tr w14:paraId="3FB6F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03" w:type="dxa"/>
            <w:noWrap w:val="0"/>
            <w:vAlign w:val="center"/>
          </w:tcPr>
          <w:p w14:paraId="319EDF08">
            <w:pPr>
              <w:pStyle w:val="23"/>
              <w:rPr>
                <w:rFonts w:ascii="Times New Roman" w:hAnsi="Times New Roman"/>
                <w:color w:val="auto"/>
                <w:sz w:val="21"/>
                <w:szCs w:val="21"/>
                <w:u w:val="none" w:color="auto"/>
              </w:rPr>
            </w:pPr>
            <w:r>
              <w:rPr>
                <w:rFonts w:ascii="Times New Roman" w:hAnsi="Times New Roman"/>
                <w:color w:val="auto"/>
                <w:sz w:val="21"/>
                <w:szCs w:val="21"/>
                <w:u w:val="none" w:color="auto"/>
              </w:rPr>
              <w:t>单位地址</w:t>
            </w:r>
          </w:p>
        </w:tc>
        <w:tc>
          <w:tcPr>
            <w:tcW w:w="6889" w:type="dxa"/>
            <w:noWrap w:val="0"/>
            <w:vAlign w:val="center"/>
          </w:tcPr>
          <w:p w14:paraId="68CF8796">
            <w:pPr>
              <w:pStyle w:val="23"/>
              <w:rPr>
                <w:rFonts w:hint="eastAsia"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rPr>
              <w:t>汨罗高新技术产业开发区新市片区西片区S308南侧湖南现代家俱装饰有限公司现有闲置厂房内</w:t>
            </w:r>
          </w:p>
        </w:tc>
      </w:tr>
      <w:tr w14:paraId="2429E0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03" w:type="dxa"/>
            <w:noWrap w:val="0"/>
            <w:vAlign w:val="center"/>
          </w:tcPr>
          <w:p w14:paraId="5FDA7128">
            <w:pPr>
              <w:pStyle w:val="23"/>
              <w:rPr>
                <w:rFonts w:ascii="Times New Roman" w:hAnsi="Times New Roman"/>
                <w:color w:val="auto"/>
                <w:sz w:val="21"/>
                <w:szCs w:val="21"/>
                <w:u w:val="none" w:color="auto"/>
              </w:rPr>
            </w:pPr>
            <w:r>
              <w:rPr>
                <w:rFonts w:ascii="Times New Roman" w:hAnsi="Times New Roman"/>
                <w:color w:val="auto"/>
                <w:sz w:val="21"/>
                <w:szCs w:val="21"/>
                <w:u w:val="none" w:color="auto"/>
              </w:rPr>
              <w:t>占地面积</w:t>
            </w:r>
          </w:p>
        </w:tc>
        <w:tc>
          <w:tcPr>
            <w:tcW w:w="6889" w:type="dxa"/>
            <w:noWrap w:val="0"/>
            <w:vAlign w:val="center"/>
          </w:tcPr>
          <w:p w14:paraId="2F617A82">
            <w:pPr>
              <w:pStyle w:val="23"/>
              <w:rPr>
                <w:rFonts w:hint="default"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5310m</w:t>
            </w:r>
            <w:r>
              <w:rPr>
                <w:rFonts w:hint="eastAsia" w:ascii="Times New Roman" w:hAnsi="Times New Roman"/>
                <w:color w:val="auto"/>
                <w:sz w:val="21"/>
                <w:szCs w:val="21"/>
                <w:u w:val="none" w:color="auto"/>
                <w:vertAlign w:val="superscript"/>
                <w:lang w:val="en-US" w:eastAsia="zh-CN"/>
              </w:rPr>
              <w:t>2</w:t>
            </w:r>
          </w:p>
        </w:tc>
      </w:tr>
      <w:tr w14:paraId="24F4B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03" w:type="dxa"/>
            <w:noWrap w:val="0"/>
            <w:vAlign w:val="center"/>
          </w:tcPr>
          <w:p w14:paraId="18E4455B">
            <w:pPr>
              <w:pStyle w:val="23"/>
              <w:rPr>
                <w:rFonts w:ascii="Times New Roman" w:hAnsi="Times New Roman"/>
                <w:color w:val="auto"/>
                <w:sz w:val="21"/>
                <w:szCs w:val="21"/>
                <w:u w:val="none" w:color="auto"/>
              </w:rPr>
            </w:pPr>
            <w:r>
              <w:rPr>
                <w:rFonts w:ascii="Times New Roman" w:hAnsi="Times New Roman"/>
                <w:color w:val="auto"/>
                <w:sz w:val="21"/>
                <w:szCs w:val="21"/>
                <w:u w:val="none" w:color="auto"/>
              </w:rPr>
              <w:t>工作时间</w:t>
            </w:r>
          </w:p>
        </w:tc>
        <w:tc>
          <w:tcPr>
            <w:tcW w:w="6889" w:type="dxa"/>
            <w:noWrap w:val="0"/>
            <w:vAlign w:val="center"/>
          </w:tcPr>
          <w:p w14:paraId="5C112003">
            <w:pPr>
              <w:pStyle w:val="23"/>
              <w:rPr>
                <w:rFonts w:ascii="Times New Roman" w:hAnsi="Times New Roman"/>
                <w:color w:val="auto"/>
                <w:sz w:val="21"/>
                <w:szCs w:val="21"/>
                <w:u w:val="none" w:color="auto"/>
              </w:rPr>
            </w:pPr>
            <w:r>
              <w:rPr>
                <w:rFonts w:hint="eastAsia" w:ascii="Times New Roman" w:hAnsi="Times New Roman"/>
                <w:color w:val="auto"/>
                <w:sz w:val="21"/>
                <w:szCs w:val="21"/>
                <w:u w:val="none" w:color="auto"/>
                <w:lang w:val="en-US" w:eastAsia="zh-CN"/>
              </w:rPr>
              <w:t>2400</w:t>
            </w:r>
            <w:r>
              <w:rPr>
                <w:rFonts w:ascii="Times New Roman" w:hAnsi="Times New Roman"/>
                <w:color w:val="auto"/>
                <w:sz w:val="21"/>
                <w:szCs w:val="21"/>
                <w:u w:val="none" w:color="auto"/>
              </w:rPr>
              <w:t>h/a</w:t>
            </w:r>
          </w:p>
        </w:tc>
      </w:tr>
      <w:tr w14:paraId="093957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03" w:type="dxa"/>
            <w:noWrap w:val="0"/>
            <w:vAlign w:val="center"/>
          </w:tcPr>
          <w:p w14:paraId="0D332002">
            <w:pPr>
              <w:pStyle w:val="23"/>
              <w:rPr>
                <w:rFonts w:hint="default"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实际生产规模</w:t>
            </w:r>
          </w:p>
        </w:tc>
        <w:tc>
          <w:tcPr>
            <w:tcW w:w="6889" w:type="dxa"/>
            <w:noWrap w:val="0"/>
            <w:vAlign w:val="center"/>
          </w:tcPr>
          <w:p w14:paraId="44AB5C1C">
            <w:pPr>
              <w:pStyle w:val="23"/>
              <w:rPr>
                <w:rFonts w:hint="default" w:ascii="Times New Roman" w:hAnsi="Times New Roman" w:eastAsia="宋体"/>
                <w:color w:val="auto"/>
                <w:sz w:val="21"/>
                <w:szCs w:val="21"/>
                <w:u w:val="none" w:color="auto"/>
                <w:lang w:val="en-US" w:eastAsia="zh-CN"/>
              </w:rPr>
            </w:pPr>
            <w:r>
              <w:rPr>
                <w:rFonts w:hint="eastAsia"/>
                <w:color w:val="auto"/>
                <w:spacing w:val="6"/>
                <w:u w:val="none" w:color="auto"/>
              </w:rPr>
              <w:t>年生产天数300天，每天</w:t>
            </w:r>
            <w:r>
              <w:rPr>
                <w:rFonts w:hint="eastAsia"/>
                <w:color w:val="auto"/>
                <w:spacing w:val="6"/>
                <w:u w:val="none" w:color="auto"/>
                <w:lang w:val="en-US" w:eastAsia="zh-CN"/>
              </w:rPr>
              <w:t>1</w:t>
            </w:r>
            <w:r>
              <w:rPr>
                <w:rFonts w:hint="eastAsia"/>
                <w:color w:val="auto"/>
                <w:spacing w:val="6"/>
                <w:u w:val="none" w:color="auto"/>
              </w:rPr>
              <w:t>班，每班8小时，年生产</w:t>
            </w:r>
            <w:r>
              <w:rPr>
                <w:rFonts w:hint="eastAsia"/>
                <w:color w:val="auto"/>
                <w:spacing w:val="6"/>
                <w:u w:val="none" w:color="auto"/>
                <w:lang w:val="en-US" w:eastAsia="zh-CN"/>
              </w:rPr>
              <w:t>24</w:t>
            </w:r>
            <w:r>
              <w:rPr>
                <w:rFonts w:hint="eastAsia"/>
                <w:color w:val="auto"/>
                <w:spacing w:val="6"/>
                <w:u w:val="none" w:color="auto"/>
              </w:rPr>
              <w:t>00小时</w:t>
            </w:r>
          </w:p>
        </w:tc>
      </w:tr>
      <w:tr w14:paraId="23C60D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03" w:type="dxa"/>
            <w:noWrap w:val="0"/>
            <w:vAlign w:val="center"/>
          </w:tcPr>
          <w:p w14:paraId="2ED72623">
            <w:pPr>
              <w:pStyle w:val="23"/>
              <w:rPr>
                <w:rFonts w:ascii="Times New Roman" w:hAnsi="Times New Roman"/>
                <w:color w:val="auto"/>
                <w:sz w:val="21"/>
                <w:szCs w:val="21"/>
                <w:u w:val="none" w:color="auto"/>
              </w:rPr>
            </w:pPr>
            <w:r>
              <w:rPr>
                <w:color w:val="auto"/>
                <w:spacing w:val="9"/>
                <w:u w:val="none" w:color="auto"/>
              </w:rPr>
              <w:t>实际总投资</w:t>
            </w:r>
          </w:p>
        </w:tc>
        <w:tc>
          <w:tcPr>
            <w:tcW w:w="6889" w:type="dxa"/>
            <w:noWrap w:val="0"/>
            <w:vAlign w:val="center"/>
          </w:tcPr>
          <w:p w14:paraId="773685A2">
            <w:pPr>
              <w:pStyle w:val="23"/>
              <w:rPr>
                <w:rFonts w:hint="default" w:ascii="Times New Roman" w:hAnsi="Times New Roman"/>
                <w:color w:val="auto"/>
                <w:sz w:val="21"/>
                <w:szCs w:val="21"/>
                <w:u w:val="none" w:color="auto"/>
                <w:lang w:val="en-US"/>
              </w:rPr>
            </w:pPr>
            <w:r>
              <w:rPr>
                <w:rFonts w:hint="eastAsia" w:ascii="Times New Roman" w:hAnsi="Times New Roman"/>
                <w:color w:val="auto"/>
                <w:sz w:val="21"/>
                <w:szCs w:val="21"/>
                <w:u w:val="none" w:color="auto"/>
                <w:lang w:val="en-US" w:eastAsia="zh-CN"/>
              </w:rPr>
              <w:t>1000万元</w:t>
            </w:r>
          </w:p>
        </w:tc>
      </w:tr>
      <w:tr w14:paraId="03912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1703" w:type="dxa"/>
            <w:noWrap w:val="0"/>
            <w:vAlign w:val="center"/>
          </w:tcPr>
          <w:p w14:paraId="32576DCC">
            <w:pPr>
              <w:pStyle w:val="23"/>
              <w:rPr>
                <w:rFonts w:hint="default"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实际环保投资</w:t>
            </w:r>
          </w:p>
        </w:tc>
        <w:tc>
          <w:tcPr>
            <w:tcW w:w="6889" w:type="dxa"/>
            <w:noWrap w:val="0"/>
            <w:vAlign w:val="center"/>
          </w:tcPr>
          <w:p w14:paraId="1F9DB1A0">
            <w:pPr>
              <w:pStyle w:val="23"/>
              <w:rPr>
                <w:rFonts w:hint="default" w:ascii="Times New Roman" w:hAnsi="Times New Roman"/>
                <w:color w:val="auto"/>
                <w:sz w:val="21"/>
                <w:szCs w:val="21"/>
                <w:u w:val="none" w:color="auto"/>
                <w:lang w:val="en-US"/>
              </w:rPr>
            </w:pPr>
            <w:r>
              <w:rPr>
                <w:rFonts w:hint="eastAsia" w:ascii="Times New Roman" w:hAnsi="Times New Roman"/>
                <w:color w:val="auto"/>
                <w:sz w:val="21"/>
                <w:szCs w:val="21"/>
                <w:u w:val="none" w:color="auto"/>
                <w:lang w:val="en-US" w:eastAsia="zh-CN"/>
              </w:rPr>
              <w:t>130万元</w:t>
            </w:r>
          </w:p>
        </w:tc>
      </w:tr>
    </w:tbl>
    <w:p w14:paraId="030D94A6">
      <w:pPr>
        <w:pStyle w:val="4"/>
        <w:bidi w:val="0"/>
        <w:rPr>
          <w:rFonts w:hint="default"/>
          <w:color w:val="auto"/>
          <w:u w:val="none" w:color="auto"/>
          <w:lang w:val="en-US" w:eastAsia="zh-CN"/>
        </w:rPr>
      </w:pPr>
      <w:bookmarkStart w:id="574" w:name="_Toc6906"/>
      <w:r>
        <w:rPr>
          <w:rFonts w:hint="eastAsia"/>
          <w:color w:val="auto"/>
          <w:u w:val="none" w:color="auto"/>
          <w:lang w:val="en-US" w:eastAsia="zh-CN"/>
        </w:rPr>
        <w:t>3.1.1迁建前项目环保手续履行情况及排污许可证核发情况</w:t>
      </w:r>
      <w:bookmarkEnd w:id="574"/>
    </w:p>
    <w:p w14:paraId="777097C8">
      <w:pPr>
        <w:pStyle w:val="20"/>
        <w:bidi w:val="0"/>
        <w:rPr>
          <w:rFonts w:hint="eastAsia"/>
          <w:color w:val="auto"/>
          <w:u w:val="none" w:color="auto"/>
          <w:lang w:val="en-US" w:eastAsia="zh-CN"/>
        </w:rPr>
      </w:pPr>
      <w:r>
        <w:rPr>
          <w:rFonts w:hint="eastAsia" w:ascii="Times New Roman" w:hAnsi="Times New Roman" w:cs="Times New Roman"/>
          <w:color w:val="auto"/>
          <w:u w:val="none" w:color="auto"/>
          <w:lang w:val="en-US" w:eastAsia="zh-CN"/>
        </w:rPr>
        <w:t>湖南铭腾新材料有限公司于2020年投资1000万元在湖南</w:t>
      </w:r>
      <w:r>
        <w:rPr>
          <w:rFonts w:hint="eastAsia" w:ascii="Times New Roman" w:hAnsi="Times New Roman"/>
          <w:color w:val="auto"/>
          <w:sz w:val="24"/>
          <w:szCs w:val="24"/>
          <w:u w:val="none" w:color="auto"/>
        </w:rPr>
        <w:t>汨罗高新技术产业开发区新市片区西片区S308南侧湖南现代家俱装饰有限公司现有闲置厂房内</w:t>
      </w:r>
      <w:r>
        <w:rPr>
          <w:rFonts w:hint="eastAsia" w:ascii="Times New Roman" w:hAnsi="Times New Roman" w:cs="Times New Roman"/>
          <w:color w:val="auto"/>
          <w:u w:val="none" w:color="auto"/>
          <w:lang w:val="en-US" w:eastAsia="zh-CN"/>
        </w:rPr>
        <w:t>建设年产13300吨PVC墙板、5700吨PVC装饰线条建设项目，并委托湖南德顺环境服务有限公司编制了《湖南铭腾新材料有限公司年产13300吨PVC墙板、5700吨PVC装饰线条建设项目环境影响报告书》，于2020年10月21日取得了岳阳市生态环境关于该项目的批复（岳环评[2020]129号）。该项目于2022年10月进行环境保护竣工阶段性验收，于2023年6月6日取得负责验收环保行政主管部门的验收备查表。湖南铭腾新材料有限公司于2021年1月7日申领了排污许可证（编号：91430681MA4R8WR01R001U）</w:t>
      </w:r>
      <w:r>
        <w:rPr>
          <w:rFonts w:hint="eastAsia"/>
          <w:color w:val="auto"/>
          <w:u w:val="none" w:color="auto"/>
          <w:lang w:val="en-US" w:eastAsia="zh-CN"/>
        </w:rPr>
        <w:t>，2023年12月进行了延续，有效期自2024年1月7日至2029年1月6日。</w:t>
      </w:r>
    </w:p>
    <w:p w14:paraId="6AD71990">
      <w:pPr>
        <w:tabs>
          <w:tab w:val="left" w:pos="1021"/>
        </w:tabs>
        <w:snapToGrid w:val="0"/>
        <w:spacing w:line="240" w:lineRule="auto"/>
        <w:jc w:val="center"/>
        <w:rPr>
          <w:b/>
          <w:color w:val="auto"/>
          <w:sz w:val="21"/>
          <w:szCs w:val="21"/>
          <w:u w:val="none" w:color="auto"/>
        </w:rPr>
      </w:pPr>
      <w:r>
        <w:rPr>
          <w:b/>
          <w:color w:val="auto"/>
          <w:sz w:val="21"/>
          <w:szCs w:val="21"/>
          <w:u w:val="none" w:color="auto"/>
        </w:rPr>
        <w:t xml:space="preserve">表3.1-2  </w:t>
      </w:r>
      <w:r>
        <w:rPr>
          <w:rFonts w:hint="eastAsia"/>
          <w:b/>
          <w:color w:val="auto"/>
          <w:sz w:val="21"/>
          <w:szCs w:val="21"/>
          <w:u w:val="none" w:color="auto"/>
          <w:lang w:val="en-US" w:eastAsia="zh-CN"/>
        </w:rPr>
        <w:t>迁建前</w:t>
      </w:r>
      <w:r>
        <w:rPr>
          <w:b/>
          <w:color w:val="auto"/>
          <w:sz w:val="21"/>
          <w:szCs w:val="21"/>
          <w:u w:val="none" w:color="auto"/>
        </w:rPr>
        <w:t>环保手续履行情况</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46"/>
        <w:gridCol w:w="740"/>
        <w:gridCol w:w="3096"/>
        <w:gridCol w:w="1184"/>
        <w:gridCol w:w="1228"/>
        <w:gridCol w:w="1828"/>
      </w:tblGrid>
      <w:tr w14:paraId="595D51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dxa"/>
            <w:tcBorders>
              <w:top w:val="single" w:color="auto" w:sz="12" w:space="0"/>
            </w:tcBorders>
            <w:noWrap w:val="0"/>
            <w:vAlign w:val="center"/>
          </w:tcPr>
          <w:p w14:paraId="2C557B51">
            <w:pPr>
              <w:pStyle w:val="23"/>
              <w:rPr>
                <w:rFonts w:ascii="Times New Roman" w:hAnsi="Times New Roman"/>
                <w:b/>
                <w:bCs w:val="0"/>
                <w:color w:val="auto"/>
                <w:sz w:val="21"/>
                <w:szCs w:val="21"/>
                <w:u w:val="none" w:color="auto"/>
              </w:rPr>
            </w:pPr>
            <w:r>
              <w:rPr>
                <w:rFonts w:ascii="Times New Roman" w:hAnsi="Times New Roman"/>
                <w:b/>
                <w:bCs w:val="0"/>
                <w:color w:val="auto"/>
                <w:sz w:val="21"/>
                <w:szCs w:val="21"/>
                <w:u w:val="none" w:color="auto"/>
              </w:rPr>
              <w:t>序号</w:t>
            </w:r>
          </w:p>
        </w:tc>
        <w:tc>
          <w:tcPr>
            <w:tcW w:w="660" w:type="dxa"/>
            <w:tcBorders>
              <w:top w:val="single" w:color="auto" w:sz="12" w:space="0"/>
            </w:tcBorders>
            <w:noWrap w:val="0"/>
            <w:vAlign w:val="center"/>
          </w:tcPr>
          <w:p w14:paraId="4E654735">
            <w:pPr>
              <w:pStyle w:val="23"/>
              <w:rPr>
                <w:rFonts w:ascii="Times New Roman" w:hAnsi="Times New Roman"/>
                <w:b/>
                <w:bCs w:val="0"/>
                <w:color w:val="auto"/>
                <w:sz w:val="21"/>
                <w:szCs w:val="21"/>
                <w:u w:val="none" w:color="auto"/>
              </w:rPr>
            </w:pPr>
            <w:r>
              <w:rPr>
                <w:rFonts w:ascii="Times New Roman" w:hAnsi="Times New Roman"/>
                <w:b/>
                <w:bCs w:val="0"/>
                <w:color w:val="auto"/>
                <w:sz w:val="21"/>
                <w:szCs w:val="21"/>
                <w:u w:val="none" w:color="auto"/>
              </w:rPr>
              <w:t>手续名称</w:t>
            </w:r>
          </w:p>
        </w:tc>
        <w:tc>
          <w:tcPr>
            <w:tcW w:w="2761" w:type="dxa"/>
            <w:tcBorders>
              <w:top w:val="single" w:color="auto" w:sz="12" w:space="0"/>
            </w:tcBorders>
            <w:noWrap w:val="0"/>
            <w:vAlign w:val="center"/>
          </w:tcPr>
          <w:p w14:paraId="4CF5C080">
            <w:pPr>
              <w:pStyle w:val="23"/>
              <w:rPr>
                <w:rFonts w:ascii="Times New Roman" w:hAnsi="Times New Roman"/>
                <w:b/>
                <w:bCs w:val="0"/>
                <w:color w:val="auto"/>
                <w:sz w:val="21"/>
                <w:szCs w:val="21"/>
                <w:u w:val="none" w:color="auto"/>
              </w:rPr>
            </w:pPr>
            <w:r>
              <w:rPr>
                <w:rFonts w:ascii="Times New Roman" w:hAnsi="Times New Roman"/>
                <w:b/>
                <w:bCs w:val="0"/>
                <w:color w:val="auto"/>
                <w:sz w:val="21"/>
                <w:szCs w:val="21"/>
                <w:u w:val="none" w:color="auto"/>
              </w:rPr>
              <w:t>项目名称</w:t>
            </w:r>
          </w:p>
        </w:tc>
        <w:tc>
          <w:tcPr>
            <w:tcW w:w="1056" w:type="dxa"/>
            <w:tcBorders>
              <w:top w:val="single" w:color="auto" w:sz="12" w:space="0"/>
            </w:tcBorders>
            <w:noWrap w:val="0"/>
            <w:vAlign w:val="center"/>
          </w:tcPr>
          <w:p w14:paraId="6F96DF37">
            <w:pPr>
              <w:pStyle w:val="23"/>
              <w:rPr>
                <w:rFonts w:ascii="Times New Roman" w:hAnsi="Times New Roman"/>
                <w:b/>
                <w:bCs w:val="0"/>
                <w:color w:val="auto"/>
                <w:sz w:val="21"/>
                <w:szCs w:val="21"/>
                <w:u w:val="none" w:color="auto"/>
              </w:rPr>
            </w:pPr>
            <w:r>
              <w:rPr>
                <w:rFonts w:ascii="Times New Roman" w:hAnsi="Times New Roman"/>
                <w:b/>
                <w:bCs w:val="0"/>
                <w:color w:val="auto"/>
                <w:sz w:val="21"/>
                <w:szCs w:val="21"/>
                <w:u w:val="none" w:color="auto"/>
              </w:rPr>
              <w:t>批复文号</w:t>
            </w:r>
          </w:p>
        </w:tc>
        <w:tc>
          <w:tcPr>
            <w:tcW w:w="1095" w:type="dxa"/>
            <w:tcBorders>
              <w:top w:val="single" w:color="auto" w:sz="12" w:space="0"/>
            </w:tcBorders>
            <w:noWrap w:val="0"/>
            <w:vAlign w:val="center"/>
          </w:tcPr>
          <w:p w14:paraId="3D7D1C63">
            <w:pPr>
              <w:pStyle w:val="23"/>
              <w:rPr>
                <w:rFonts w:ascii="Times New Roman" w:hAnsi="Times New Roman"/>
                <w:b/>
                <w:bCs w:val="0"/>
                <w:color w:val="auto"/>
                <w:sz w:val="21"/>
                <w:szCs w:val="21"/>
                <w:u w:val="none" w:color="auto"/>
              </w:rPr>
            </w:pPr>
            <w:r>
              <w:rPr>
                <w:rFonts w:ascii="Times New Roman" w:hAnsi="Times New Roman"/>
                <w:b/>
                <w:bCs w:val="0"/>
                <w:color w:val="auto"/>
                <w:sz w:val="21"/>
                <w:szCs w:val="21"/>
                <w:u w:val="none" w:color="auto"/>
              </w:rPr>
              <w:t>批复</w:t>
            </w:r>
            <w:r>
              <w:rPr>
                <w:rFonts w:hint="eastAsia" w:ascii="Times New Roman" w:hAnsi="Times New Roman"/>
                <w:b/>
                <w:bCs w:val="0"/>
                <w:color w:val="auto"/>
                <w:sz w:val="21"/>
                <w:szCs w:val="21"/>
                <w:u w:val="none" w:color="auto"/>
                <w:lang w:val="en-US" w:eastAsia="zh-CN"/>
              </w:rPr>
              <w:t>/备案</w:t>
            </w:r>
            <w:r>
              <w:rPr>
                <w:rFonts w:ascii="Times New Roman" w:hAnsi="Times New Roman"/>
                <w:b/>
                <w:bCs w:val="0"/>
                <w:color w:val="auto"/>
                <w:sz w:val="21"/>
                <w:szCs w:val="21"/>
                <w:u w:val="none" w:color="auto"/>
              </w:rPr>
              <w:t>时间</w:t>
            </w:r>
          </w:p>
        </w:tc>
        <w:tc>
          <w:tcPr>
            <w:tcW w:w="1629" w:type="dxa"/>
            <w:tcBorders>
              <w:top w:val="single" w:color="auto" w:sz="12" w:space="0"/>
            </w:tcBorders>
            <w:noWrap w:val="0"/>
            <w:vAlign w:val="center"/>
          </w:tcPr>
          <w:p w14:paraId="505E33F7">
            <w:pPr>
              <w:pStyle w:val="23"/>
              <w:rPr>
                <w:rFonts w:ascii="Times New Roman" w:hAnsi="Times New Roman"/>
                <w:b/>
                <w:bCs w:val="0"/>
                <w:color w:val="auto"/>
                <w:sz w:val="21"/>
                <w:szCs w:val="21"/>
                <w:u w:val="none" w:color="auto"/>
              </w:rPr>
            </w:pPr>
            <w:r>
              <w:rPr>
                <w:rFonts w:ascii="Times New Roman" w:hAnsi="Times New Roman"/>
                <w:b/>
                <w:bCs w:val="0"/>
                <w:color w:val="auto"/>
                <w:sz w:val="21"/>
                <w:szCs w:val="21"/>
                <w:u w:val="none" w:color="auto"/>
              </w:rPr>
              <w:t>批复</w:t>
            </w:r>
            <w:r>
              <w:rPr>
                <w:rFonts w:hint="eastAsia" w:ascii="Times New Roman" w:hAnsi="Times New Roman"/>
                <w:b/>
                <w:bCs w:val="0"/>
                <w:color w:val="auto"/>
                <w:sz w:val="21"/>
                <w:szCs w:val="21"/>
                <w:u w:val="none" w:color="auto"/>
                <w:lang w:val="en-US" w:eastAsia="zh-CN"/>
              </w:rPr>
              <w:t>/备查</w:t>
            </w:r>
            <w:r>
              <w:rPr>
                <w:rFonts w:ascii="Times New Roman" w:hAnsi="Times New Roman"/>
                <w:b/>
                <w:bCs w:val="0"/>
                <w:color w:val="auto"/>
                <w:sz w:val="21"/>
                <w:szCs w:val="21"/>
                <w:u w:val="none" w:color="auto"/>
              </w:rPr>
              <w:t>部门</w:t>
            </w:r>
          </w:p>
        </w:tc>
      </w:tr>
      <w:tr w14:paraId="4237AB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dxa"/>
            <w:noWrap w:val="0"/>
            <w:vAlign w:val="center"/>
          </w:tcPr>
          <w:p w14:paraId="1728F5E8">
            <w:pPr>
              <w:pStyle w:val="23"/>
              <w:rPr>
                <w:rFonts w:ascii="Times New Roman" w:hAnsi="Times New Roman"/>
                <w:color w:val="auto"/>
                <w:sz w:val="21"/>
                <w:szCs w:val="21"/>
                <w:u w:val="none" w:color="auto"/>
              </w:rPr>
            </w:pPr>
            <w:r>
              <w:rPr>
                <w:rFonts w:ascii="Times New Roman" w:hAnsi="Times New Roman"/>
                <w:color w:val="auto"/>
                <w:sz w:val="21"/>
                <w:szCs w:val="21"/>
                <w:u w:val="none" w:color="auto"/>
              </w:rPr>
              <w:t>1</w:t>
            </w:r>
          </w:p>
        </w:tc>
        <w:tc>
          <w:tcPr>
            <w:tcW w:w="660" w:type="dxa"/>
            <w:noWrap w:val="0"/>
            <w:vAlign w:val="center"/>
          </w:tcPr>
          <w:p w14:paraId="4EB2E98E">
            <w:pPr>
              <w:pStyle w:val="23"/>
              <w:rPr>
                <w:rFonts w:ascii="Times New Roman" w:hAnsi="Times New Roman"/>
                <w:color w:val="auto"/>
                <w:sz w:val="21"/>
                <w:szCs w:val="21"/>
                <w:u w:val="none" w:color="auto"/>
              </w:rPr>
            </w:pPr>
            <w:r>
              <w:rPr>
                <w:rFonts w:ascii="Times New Roman" w:hAnsi="Times New Roman"/>
                <w:color w:val="auto"/>
                <w:sz w:val="21"/>
                <w:szCs w:val="21"/>
                <w:u w:val="none" w:color="auto"/>
              </w:rPr>
              <w:t>环评</w:t>
            </w:r>
          </w:p>
        </w:tc>
        <w:tc>
          <w:tcPr>
            <w:tcW w:w="2761" w:type="dxa"/>
            <w:noWrap w:val="0"/>
            <w:vAlign w:val="center"/>
          </w:tcPr>
          <w:p w14:paraId="75AAE100">
            <w:pPr>
              <w:pStyle w:val="23"/>
              <w:rPr>
                <w:rFonts w:ascii="Times New Roman" w:hAnsi="Times New Roman"/>
                <w:color w:val="auto"/>
                <w:sz w:val="21"/>
                <w:szCs w:val="21"/>
                <w:u w:val="none" w:color="auto"/>
              </w:rPr>
            </w:pPr>
            <w:r>
              <w:rPr>
                <w:rFonts w:hint="eastAsia" w:ascii="Times New Roman" w:hAnsi="Times New Roman"/>
                <w:color w:val="auto"/>
                <w:sz w:val="21"/>
                <w:szCs w:val="21"/>
                <w:u w:val="none" w:color="auto"/>
              </w:rPr>
              <w:t>年产13300吨PVC墙板、5700吨PVC装饰线条建设项目</w:t>
            </w:r>
          </w:p>
        </w:tc>
        <w:tc>
          <w:tcPr>
            <w:tcW w:w="1056" w:type="dxa"/>
            <w:noWrap w:val="0"/>
            <w:vAlign w:val="center"/>
          </w:tcPr>
          <w:p w14:paraId="1B2BE2F3">
            <w:pPr>
              <w:pStyle w:val="23"/>
              <w:rPr>
                <w:rFonts w:ascii="Times New Roman" w:hAnsi="Times New Roman"/>
                <w:color w:val="auto"/>
                <w:sz w:val="21"/>
                <w:szCs w:val="21"/>
                <w:u w:val="none" w:color="auto"/>
              </w:rPr>
            </w:pPr>
            <w:r>
              <w:rPr>
                <w:rFonts w:hint="eastAsia" w:ascii="Times New Roman" w:hAnsi="Times New Roman"/>
                <w:color w:val="auto"/>
                <w:sz w:val="21"/>
                <w:szCs w:val="21"/>
                <w:u w:val="none" w:color="auto"/>
              </w:rPr>
              <w:t>岳环评[20</w:t>
            </w:r>
            <w:r>
              <w:rPr>
                <w:rFonts w:hint="eastAsia" w:ascii="Times New Roman" w:hAnsi="Times New Roman"/>
                <w:color w:val="auto"/>
                <w:sz w:val="21"/>
                <w:szCs w:val="21"/>
                <w:u w:val="none" w:color="auto"/>
                <w:lang w:val="en-US" w:eastAsia="zh-CN"/>
              </w:rPr>
              <w:t>20</w:t>
            </w:r>
            <w:r>
              <w:rPr>
                <w:rFonts w:hint="eastAsia" w:ascii="Times New Roman" w:hAnsi="Times New Roman"/>
                <w:color w:val="auto"/>
                <w:sz w:val="21"/>
                <w:szCs w:val="21"/>
                <w:u w:val="none" w:color="auto"/>
              </w:rPr>
              <w:t>]12</w:t>
            </w:r>
            <w:r>
              <w:rPr>
                <w:rFonts w:hint="eastAsia" w:ascii="Times New Roman" w:hAnsi="Times New Roman"/>
                <w:color w:val="auto"/>
                <w:sz w:val="21"/>
                <w:szCs w:val="21"/>
                <w:u w:val="none" w:color="auto"/>
                <w:lang w:val="en-US" w:eastAsia="zh-CN"/>
              </w:rPr>
              <w:t>9</w:t>
            </w:r>
            <w:r>
              <w:rPr>
                <w:rFonts w:hint="eastAsia" w:ascii="Times New Roman" w:hAnsi="Times New Roman"/>
                <w:color w:val="auto"/>
                <w:sz w:val="21"/>
                <w:szCs w:val="21"/>
                <w:u w:val="none" w:color="auto"/>
              </w:rPr>
              <w:t>号</w:t>
            </w:r>
          </w:p>
        </w:tc>
        <w:tc>
          <w:tcPr>
            <w:tcW w:w="1095" w:type="dxa"/>
            <w:noWrap w:val="0"/>
            <w:vAlign w:val="center"/>
          </w:tcPr>
          <w:p w14:paraId="7E9936C8">
            <w:pPr>
              <w:pStyle w:val="23"/>
              <w:rPr>
                <w:rFonts w:hint="default"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2020年10月21日</w:t>
            </w:r>
          </w:p>
        </w:tc>
        <w:tc>
          <w:tcPr>
            <w:tcW w:w="1629" w:type="dxa"/>
            <w:noWrap w:val="0"/>
            <w:vAlign w:val="center"/>
          </w:tcPr>
          <w:p w14:paraId="0E97170F">
            <w:pPr>
              <w:pStyle w:val="23"/>
              <w:rPr>
                <w:rFonts w:ascii="Times New Roman" w:hAnsi="Times New Roman"/>
                <w:color w:val="auto"/>
                <w:sz w:val="21"/>
                <w:szCs w:val="21"/>
                <w:u w:val="none" w:color="auto"/>
              </w:rPr>
            </w:pPr>
            <w:r>
              <w:rPr>
                <w:rFonts w:hint="eastAsia" w:ascii="Times New Roman" w:hAnsi="Times New Roman"/>
                <w:color w:val="auto"/>
                <w:sz w:val="21"/>
                <w:szCs w:val="21"/>
                <w:u w:val="none" w:color="auto"/>
              </w:rPr>
              <w:t>岳阳市生态环境局</w:t>
            </w:r>
          </w:p>
        </w:tc>
      </w:tr>
      <w:tr w14:paraId="335B4E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98" w:type="dxa"/>
            <w:noWrap w:val="0"/>
            <w:vAlign w:val="center"/>
          </w:tcPr>
          <w:p w14:paraId="6C59D4F9">
            <w:pPr>
              <w:pStyle w:val="23"/>
              <w:rPr>
                <w:rFonts w:hint="eastAsia"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2</w:t>
            </w:r>
          </w:p>
        </w:tc>
        <w:tc>
          <w:tcPr>
            <w:tcW w:w="660" w:type="dxa"/>
            <w:noWrap w:val="0"/>
            <w:vAlign w:val="center"/>
          </w:tcPr>
          <w:p w14:paraId="578DB80A">
            <w:pPr>
              <w:pStyle w:val="23"/>
              <w:rPr>
                <w:rFonts w:hint="eastAsia"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验收</w:t>
            </w:r>
          </w:p>
        </w:tc>
        <w:tc>
          <w:tcPr>
            <w:tcW w:w="2761" w:type="dxa"/>
            <w:noWrap w:val="0"/>
            <w:vAlign w:val="center"/>
          </w:tcPr>
          <w:p w14:paraId="2F883243">
            <w:pPr>
              <w:pStyle w:val="23"/>
              <w:rPr>
                <w:rFonts w:hint="default"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湖南铭腾新材料有限公司年产13300吨PVC墙板、5700吨PVC装饰线条建设项目竣工环境保护验收报告</w:t>
            </w:r>
          </w:p>
        </w:tc>
        <w:tc>
          <w:tcPr>
            <w:tcW w:w="1056" w:type="dxa"/>
            <w:noWrap w:val="0"/>
            <w:vAlign w:val="center"/>
          </w:tcPr>
          <w:p w14:paraId="6408B94C">
            <w:pPr>
              <w:pStyle w:val="23"/>
              <w:rPr>
                <w:rFonts w:hint="eastAsia" w:ascii="Times New Roman" w:hAnsi="Times New Roman"/>
                <w:color w:val="auto"/>
                <w:sz w:val="21"/>
                <w:szCs w:val="21"/>
                <w:u w:val="none" w:color="auto"/>
              </w:rPr>
            </w:pPr>
            <w:r>
              <w:rPr>
                <w:rFonts w:hint="eastAsia" w:ascii="Times New Roman" w:hAnsi="Times New Roman" w:cs="Times New Roman"/>
                <w:color w:val="auto"/>
                <w:u w:val="none" w:color="auto"/>
                <w:lang w:val="en-US" w:eastAsia="zh-CN"/>
              </w:rPr>
              <w:t>/</w:t>
            </w:r>
          </w:p>
        </w:tc>
        <w:tc>
          <w:tcPr>
            <w:tcW w:w="1095" w:type="dxa"/>
            <w:noWrap w:val="0"/>
            <w:vAlign w:val="center"/>
          </w:tcPr>
          <w:p w14:paraId="7D2F3F13">
            <w:pPr>
              <w:pStyle w:val="23"/>
              <w:rPr>
                <w:rFonts w:hint="default"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rPr>
              <w:t>20</w:t>
            </w:r>
            <w:r>
              <w:rPr>
                <w:rFonts w:hint="eastAsia" w:ascii="Times New Roman" w:hAnsi="Times New Roman"/>
                <w:color w:val="auto"/>
                <w:sz w:val="21"/>
                <w:szCs w:val="21"/>
                <w:u w:val="none" w:color="auto"/>
                <w:lang w:val="en-US" w:eastAsia="zh-CN"/>
              </w:rPr>
              <w:t>23</w:t>
            </w:r>
            <w:r>
              <w:rPr>
                <w:rFonts w:hint="eastAsia" w:ascii="Times New Roman" w:hAnsi="Times New Roman"/>
                <w:color w:val="auto"/>
                <w:sz w:val="21"/>
                <w:szCs w:val="21"/>
                <w:u w:val="none" w:color="auto"/>
              </w:rPr>
              <w:t>年</w:t>
            </w:r>
            <w:r>
              <w:rPr>
                <w:rFonts w:hint="eastAsia" w:ascii="Times New Roman" w:hAnsi="Times New Roman"/>
                <w:color w:val="auto"/>
                <w:sz w:val="21"/>
                <w:szCs w:val="21"/>
                <w:u w:val="none" w:color="auto"/>
                <w:lang w:val="en-US" w:eastAsia="zh-CN"/>
              </w:rPr>
              <w:t>6</w:t>
            </w:r>
            <w:r>
              <w:rPr>
                <w:rFonts w:hint="eastAsia" w:ascii="Times New Roman" w:hAnsi="Times New Roman"/>
                <w:color w:val="auto"/>
                <w:sz w:val="21"/>
                <w:szCs w:val="21"/>
                <w:u w:val="none" w:color="auto"/>
              </w:rPr>
              <w:t>月</w:t>
            </w:r>
            <w:r>
              <w:rPr>
                <w:rFonts w:hint="eastAsia" w:ascii="Times New Roman" w:hAnsi="Times New Roman"/>
                <w:color w:val="auto"/>
                <w:sz w:val="21"/>
                <w:szCs w:val="21"/>
                <w:u w:val="none" w:color="auto"/>
                <w:lang w:val="en-US" w:eastAsia="zh-CN"/>
              </w:rPr>
              <w:t>6日</w:t>
            </w:r>
          </w:p>
        </w:tc>
        <w:tc>
          <w:tcPr>
            <w:tcW w:w="1629" w:type="dxa"/>
            <w:noWrap w:val="0"/>
            <w:vAlign w:val="center"/>
          </w:tcPr>
          <w:p w14:paraId="4CD9E7BE">
            <w:pPr>
              <w:pStyle w:val="23"/>
              <w:rPr>
                <w:rFonts w:hint="default" w:ascii="Times New Roman" w:hAnsi="Times New Roman" w:eastAsia="宋体"/>
                <w:color w:val="auto"/>
                <w:sz w:val="21"/>
                <w:szCs w:val="21"/>
                <w:u w:val="none" w:color="auto"/>
                <w:lang w:val="en-US" w:eastAsia="zh-CN"/>
              </w:rPr>
            </w:pPr>
            <w:r>
              <w:rPr>
                <w:rFonts w:hint="eastAsia" w:ascii="Times New Roman" w:hAnsi="Times New Roman"/>
                <w:color w:val="auto"/>
                <w:sz w:val="21"/>
                <w:szCs w:val="21"/>
                <w:u w:val="none" w:color="auto"/>
                <w:lang w:val="en-US" w:eastAsia="zh-CN"/>
              </w:rPr>
              <w:t>岳阳市生态环境汨罗分局园区执法大队</w:t>
            </w:r>
          </w:p>
        </w:tc>
      </w:tr>
    </w:tbl>
    <w:p w14:paraId="3EEDF021">
      <w:pPr>
        <w:pStyle w:val="4"/>
        <w:bidi w:val="0"/>
        <w:rPr>
          <w:rFonts w:hint="eastAsia"/>
          <w:color w:val="auto"/>
          <w:u w:val="none" w:color="auto"/>
          <w:lang w:val="en-US" w:eastAsia="zh-CN"/>
        </w:rPr>
      </w:pPr>
      <w:bookmarkStart w:id="575" w:name="_Toc25198"/>
      <w:r>
        <w:rPr>
          <w:rFonts w:hint="eastAsia"/>
          <w:color w:val="auto"/>
          <w:u w:val="none" w:color="auto"/>
          <w:lang w:val="en-US" w:eastAsia="zh-CN"/>
        </w:rPr>
        <w:t>3.1.2迁建前项目工程组成</w:t>
      </w:r>
      <w:bookmarkEnd w:id="575"/>
    </w:p>
    <w:p w14:paraId="615FD855">
      <w:pPr>
        <w:pStyle w:val="22"/>
        <w:bidi w:val="0"/>
        <w:rPr>
          <w:rFonts w:hint="default"/>
          <w:color w:val="auto"/>
          <w:u w:val="none" w:color="auto"/>
          <w:lang w:val="en-US" w:eastAsia="zh-CN"/>
        </w:rPr>
      </w:pPr>
      <w:r>
        <w:rPr>
          <w:rFonts w:hint="eastAsia"/>
          <w:color w:val="auto"/>
          <w:u w:val="none" w:color="auto"/>
          <w:lang w:val="en-US" w:eastAsia="zh-CN"/>
        </w:rPr>
        <w:t>表3.1-3 现有工程组成一览表</w:t>
      </w:r>
    </w:p>
    <w:tbl>
      <w:tblPr>
        <w:tblStyle w:val="33"/>
        <w:tblW w:w="857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925"/>
        <w:gridCol w:w="1678"/>
        <w:gridCol w:w="5975"/>
      </w:tblGrid>
      <w:tr w14:paraId="047B4C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97" w:hRule="atLeast"/>
          <w:jc w:val="center"/>
        </w:trPr>
        <w:tc>
          <w:tcPr>
            <w:tcW w:w="925" w:type="dxa"/>
            <w:tcBorders>
              <w:tl2br w:val="nil"/>
              <w:tr2bl w:val="nil"/>
            </w:tcBorders>
            <w:noWrap w:val="0"/>
            <w:vAlign w:val="center"/>
          </w:tcPr>
          <w:p w14:paraId="4CF30B83">
            <w:pPr>
              <w:pStyle w:val="23"/>
              <w:bidi w:val="0"/>
              <w:jc w:val="center"/>
              <w:rPr>
                <w:b/>
                <w:bCs w:val="0"/>
                <w:color w:val="auto"/>
                <w:u w:val="none" w:color="auto"/>
              </w:rPr>
            </w:pPr>
            <w:r>
              <w:rPr>
                <w:b/>
                <w:bCs w:val="0"/>
                <w:color w:val="auto"/>
                <w:u w:val="none" w:color="auto"/>
              </w:rPr>
              <w:t>类别</w:t>
            </w:r>
          </w:p>
        </w:tc>
        <w:tc>
          <w:tcPr>
            <w:tcW w:w="1678" w:type="dxa"/>
            <w:tcBorders>
              <w:tl2br w:val="nil"/>
              <w:tr2bl w:val="nil"/>
            </w:tcBorders>
            <w:noWrap w:val="0"/>
            <w:vAlign w:val="center"/>
          </w:tcPr>
          <w:p w14:paraId="59D24A9E">
            <w:pPr>
              <w:pStyle w:val="23"/>
              <w:bidi w:val="0"/>
              <w:jc w:val="center"/>
              <w:rPr>
                <w:b/>
                <w:bCs w:val="0"/>
                <w:color w:val="auto"/>
                <w:u w:val="none" w:color="auto"/>
              </w:rPr>
            </w:pPr>
            <w:r>
              <w:rPr>
                <w:b/>
                <w:bCs w:val="0"/>
                <w:color w:val="auto"/>
                <w:u w:val="none" w:color="auto"/>
              </w:rPr>
              <w:t>内容</w:t>
            </w:r>
          </w:p>
        </w:tc>
        <w:tc>
          <w:tcPr>
            <w:tcW w:w="5975" w:type="dxa"/>
            <w:tcBorders>
              <w:tl2br w:val="nil"/>
              <w:tr2bl w:val="nil"/>
            </w:tcBorders>
            <w:noWrap w:val="0"/>
            <w:vAlign w:val="center"/>
          </w:tcPr>
          <w:p w14:paraId="2F3EE6F0">
            <w:pPr>
              <w:pStyle w:val="23"/>
              <w:bidi w:val="0"/>
              <w:jc w:val="center"/>
              <w:rPr>
                <w:rFonts w:hint="eastAsia" w:eastAsia="宋体"/>
                <w:b/>
                <w:bCs w:val="0"/>
                <w:color w:val="auto"/>
                <w:u w:val="none" w:color="auto"/>
                <w:lang w:eastAsia="zh-CN"/>
              </w:rPr>
            </w:pPr>
            <w:r>
              <w:rPr>
                <w:b/>
                <w:bCs w:val="0"/>
                <w:color w:val="auto"/>
                <w:u w:val="none" w:color="auto"/>
              </w:rPr>
              <w:t>实际建设规模</w:t>
            </w:r>
          </w:p>
        </w:tc>
      </w:tr>
      <w:tr w14:paraId="602C1A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restart"/>
            <w:tcBorders>
              <w:tl2br w:val="nil"/>
              <w:tr2bl w:val="nil"/>
            </w:tcBorders>
            <w:noWrap w:val="0"/>
            <w:vAlign w:val="center"/>
          </w:tcPr>
          <w:p w14:paraId="1C7487FC">
            <w:pPr>
              <w:pStyle w:val="23"/>
              <w:bidi w:val="0"/>
              <w:jc w:val="center"/>
              <w:rPr>
                <w:color w:val="auto"/>
                <w:u w:val="none" w:color="auto"/>
              </w:rPr>
            </w:pPr>
            <w:r>
              <w:rPr>
                <w:color w:val="auto"/>
                <w:u w:val="none" w:color="auto"/>
              </w:rPr>
              <w:t>主体</w:t>
            </w:r>
          </w:p>
          <w:p w14:paraId="458145C9">
            <w:pPr>
              <w:pStyle w:val="23"/>
              <w:bidi w:val="0"/>
              <w:jc w:val="center"/>
              <w:rPr>
                <w:color w:val="auto"/>
                <w:u w:val="none" w:color="auto"/>
              </w:rPr>
            </w:pPr>
            <w:r>
              <w:rPr>
                <w:color w:val="auto"/>
                <w:u w:val="none" w:color="auto"/>
              </w:rPr>
              <w:t>工程</w:t>
            </w:r>
          </w:p>
        </w:tc>
        <w:tc>
          <w:tcPr>
            <w:tcW w:w="1678" w:type="dxa"/>
            <w:tcBorders>
              <w:tl2br w:val="nil"/>
              <w:tr2bl w:val="nil"/>
            </w:tcBorders>
            <w:noWrap w:val="0"/>
            <w:vAlign w:val="center"/>
          </w:tcPr>
          <w:p w14:paraId="51C799E0">
            <w:pPr>
              <w:pStyle w:val="25"/>
              <w:bidi w:val="0"/>
              <w:ind w:firstLine="0" w:firstLineChars="0"/>
              <w:rPr>
                <w:rFonts w:hint="default" w:ascii="Times New Roman" w:hAnsi="Times New Roman" w:eastAsia="宋体" w:cs="Times New Roman"/>
                <w:spacing w:val="6"/>
                <w:kern w:val="24"/>
                <w:sz w:val="22"/>
                <w:szCs w:val="18"/>
                <w:lang w:val="en-US" w:eastAsia="zh-CN" w:bidi="ar-SA"/>
              </w:rPr>
            </w:pPr>
            <w:r>
              <w:rPr>
                <w:rFonts w:hint="default"/>
                <w:sz w:val="22"/>
                <w:szCs w:val="18"/>
                <w:lang w:val="en-US" w:eastAsia="zh-CN"/>
              </w:rPr>
              <w:t>破碎、磨粉区</w:t>
            </w:r>
          </w:p>
        </w:tc>
        <w:tc>
          <w:tcPr>
            <w:tcW w:w="5975" w:type="dxa"/>
            <w:tcBorders>
              <w:tl2br w:val="nil"/>
              <w:tr2bl w:val="nil"/>
            </w:tcBorders>
            <w:noWrap w:val="0"/>
            <w:vAlign w:val="center"/>
          </w:tcPr>
          <w:p w14:paraId="7EA821D4">
            <w:pPr>
              <w:pStyle w:val="25"/>
              <w:bidi w:val="0"/>
              <w:ind w:firstLine="0" w:firstLineChars="0"/>
              <w:rPr>
                <w:rFonts w:hint="default" w:ascii="Times New Roman" w:hAnsi="Times New Roman" w:eastAsia="宋体" w:cs="Times New Roman"/>
                <w:spacing w:val="6"/>
                <w:kern w:val="24"/>
                <w:sz w:val="21"/>
                <w:szCs w:val="21"/>
                <w:lang w:val="en-US" w:eastAsia="zh-CN" w:bidi="ar-SA"/>
              </w:rPr>
            </w:pPr>
            <w:r>
              <w:rPr>
                <w:rFonts w:hint="default"/>
                <w:sz w:val="21"/>
                <w:szCs w:val="21"/>
                <w:lang w:val="en-US" w:eastAsia="zh-CN"/>
              </w:rPr>
              <w:t>建筑面积700m</w:t>
            </w:r>
            <w:r>
              <w:rPr>
                <w:rFonts w:hint="default"/>
                <w:sz w:val="21"/>
                <w:szCs w:val="21"/>
                <w:vertAlign w:val="superscript"/>
                <w:lang w:val="en-US" w:eastAsia="zh-CN"/>
              </w:rPr>
              <w:t>2</w:t>
            </w:r>
          </w:p>
        </w:tc>
      </w:tr>
      <w:tr w14:paraId="6F436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584" w:hRule="atLeast"/>
          <w:jc w:val="center"/>
        </w:trPr>
        <w:tc>
          <w:tcPr>
            <w:tcW w:w="925" w:type="dxa"/>
            <w:vMerge w:val="continue"/>
            <w:tcBorders>
              <w:tl2br w:val="nil"/>
              <w:tr2bl w:val="nil"/>
            </w:tcBorders>
            <w:noWrap w:val="0"/>
            <w:vAlign w:val="center"/>
          </w:tcPr>
          <w:p w14:paraId="5FB30F20">
            <w:pPr>
              <w:pStyle w:val="23"/>
              <w:bidi w:val="0"/>
              <w:jc w:val="center"/>
              <w:rPr>
                <w:color w:val="auto"/>
                <w:u w:val="none" w:color="auto"/>
              </w:rPr>
            </w:pPr>
          </w:p>
        </w:tc>
        <w:tc>
          <w:tcPr>
            <w:tcW w:w="1678" w:type="dxa"/>
            <w:tcBorders>
              <w:tl2br w:val="nil"/>
              <w:tr2bl w:val="nil"/>
            </w:tcBorders>
            <w:noWrap w:val="0"/>
            <w:vAlign w:val="center"/>
          </w:tcPr>
          <w:p w14:paraId="2438184A">
            <w:pPr>
              <w:pStyle w:val="25"/>
              <w:bidi w:val="0"/>
              <w:ind w:firstLine="0" w:firstLineChars="0"/>
              <w:rPr>
                <w:rFonts w:hint="default" w:ascii="Times New Roman" w:hAnsi="Times New Roman" w:eastAsia="宋体" w:cs="Times New Roman"/>
                <w:spacing w:val="6"/>
                <w:kern w:val="24"/>
                <w:sz w:val="22"/>
                <w:szCs w:val="18"/>
                <w:lang w:val="en-US" w:eastAsia="zh-CN" w:bidi="ar-SA"/>
              </w:rPr>
            </w:pPr>
            <w:r>
              <w:rPr>
                <w:rFonts w:hint="default"/>
                <w:sz w:val="22"/>
                <w:szCs w:val="18"/>
                <w:lang w:val="en-US" w:eastAsia="zh-CN"/>
              </w:rPr>
              <w:t>混料区</w:t>
            </w:r>
          </w:p>
        </w:tc>
        <w:tc>
          <w:tcPr>
            <w:tcW w:w="5975" w:type="dxa"/>
            <w:tcBorders>
              <w:tl2br w:val="nil"/>
              <w:tr2bl w:val="nil"/>
            </w:tcBorders>
            <w:noWrap w:val="0"/>
            <w:vAlign w:val="center"/>
          </w:tcPr>
          <w:p w14:paraId="6B80B93C">
            <w:pPr>
              <w:pStyle w:val="25"/>
              <w:bidi w:val="0"/>
              <w:ind w:firstLine="0" w:firstLineChars="0"/>
              <w:rPr>
                <w:rFonts w:hint="default" w:ascii="Times New Roman" w:hAnsi="Times New Roman" w:eastAsia="宋体" w:cs="Times New Roman"/>
                <w:spacing w:val="6"/>
                <w:kern w:val="24"/>
                <w:sz w:val="21"/>
                <w:szCs w:val="21"/>
                <w:lang w:val="en-US" w:eastAsia="zh-CN" w:bidi="ar-SA"/>
              </w:rPr>
            </w:pPr>
            <w:r>
              <w:rPr>
                <w:rFonts w:hint="default"/>
                <w:sz w:val="21"/>
                <w:szCs w:val="21"/>
                <w:lang w:val="en-US" w:eastAsia="zh-CN"/>
              </w:rPr>
              <w:t>建筑面积500m</w:t>
            </w:r>
            <w:r>
              <w:rPr>
                <w:rFonts w:hint="default"/>
                <w:sz w:val="21"/>
                <w:szCs w:val="21"/>
                <w:vertAlign w:val="superscript"/>
                <w:lang w:val="en-US" w:eastAsia="zh-CN"/>
              </w:rPr>
              <w:t>2</w:t>
            </w:r>
          </w:p>
        </w:tc>
      </w:tr>
      <w:tr w14:paraId="02AC02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584" w:hRule="atLeast"/>
          <w:jc w:val="center"/>
        </w:trPr>
        <w:tc>
          <w:tcPr>
            <w:tcW w:w="925" w:type="dxa"/>
            <w:vMerge w:val="continue"/>
            <w:tcBorders>
              <w:tl2br w:val="nil"/>
              <w:tr2bl w:val="nil"/>
            </w:tcBorders>
            <w:noWrap w:val="0"/>
            <w:vAlign w:val="center"/>
          </w:tcPr>
          <w:p w14:paraId="5B06D6F3">
            <w:pPr>
              <w:pStyle w:val="23"/>
              <w:bidi w:val="0"/>
              <w:jc w:val="center"/>
              <w:rPr>
                <w:color w:val="auto"/>
                <w:u w:val="none" w:color="auto"/>
              </w:rPr>
            </w:pPr>
          </w:p>
        </w:tc>
        <w:tc>
          <w:tcPr>
            <w:tcW w:w="1678" w:type="dxa"/>
            <w:tcBorders>
              <w:tl2br w:val="nil"/>
              <w:tr2bl w:val="nil"/>
            </w:tcBorders>
            <w:noWrap w:val="0"/>
            <w:vAlign w:val="center"/>
          </w:tcPr>
          <w:p w14:paraId="784DEB2C">
            <w:pPr>
              <w:pStyle w:val="25"/>
              <w:bidi w:val="0"/>
              <w:ind w:firstLine="0" w:firstLineChars="0"/>
              <w:rPr>
                <w:rFonts w:hint="default" w:ascii="Times New Roman" w:hAnsi="Times New Roman" w:eastAsia="宋体" w:cs="Times New Roman"/>
                <w:spacing w:val="6"/>
                <w:kern w:val="24"/>
                <w:sz w:val="22"/>
                <w:szCs w:val="18"/>
                <w:lang w:val="en-US" w:eastAsia="zh-CN" w:bidi="ar-SA"/>
              </w:rPr>
            </w:pPr>
            <w:r>
              <w:rPr>
                <w:rFonts w:hint="default"/>
                <w:sz w:val="22"/>
                <w:szCs w:val="18"/>
                <w:lang w:val="en-US" w:eastAsia="zh-CN"/>
              </w:rPr>
              <w:t>挤出、覆膜区</w:t>
            </w:r>
          </w:p>
        </w:tc>
        <w:tc>
          <w:tcPr>
            <w:tcW w:w="5975" w:type="dxa"/>
            <w:tcBorders>
              <w:tl2br w:val="nil"/>
              <w:tr2bl w:val="nil"/>
            </w:tcBorders>
            <w:noWrap w:val="0"/>
            <w:vAlign w:val="center"/>
          </w:tcPr>
          <w:p w14:paraId="58289BD2">
            <w:pPr>
              <w:pStyle w:val="25"/>
              <w:bidi w:val="0"/>
              <w:ind w:firstLine="0" w:firstLineChars="0"/>
              <w:rPr>
                <w:rFonts w:hint="default" w:ascii="Times New Roman" w:hAnsi="Times New Roman" w:eastAsia="宋体" w:cs="Times New Roman"/>
                <w:spacing w:val="6"/>
                <w:kern w:val="24"/>
                <w:sz w:val="21"/>
                <w:szCs w:val="21"/>
                <w:lang w:val="en-US" w:eastAsia="zh-CN" w:bidi="ar-SA"/>
              </w:rPr>
            </w:pPr>
            <w:r>
              <w:rPr>
                <w:rFonts w:hint="default"/>
                <w:sz w:val="21"/>
                <w:szCs w:val="21"/>
                <w:lang w:val="en-US" w:eastAsia="zh-CN"/>
              </w:rPr>
              <w:t>建筑面积2600m</w:t>
            </w:r>
            <w:r>
              <w:rPr>
                <w:rFonts w:hint="default"/>
                <w:sz w:val="21"/>
                <w:szCs w:val="21"/>
                <w:vertAlign w:val="superscript"/>
                <w:lang w:val="en-US" w:eastAsia="zh-CN"/>
              </w:rPr>
              <w:t>2</w:t>
            </w:r>
          </w:p>
        </w:tc>
      </w:tr>
      <w:tr w14:paraId="6A87F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restart"/>
            <w:tcBorders>
              <w:tl2br w:val="nil"/>
              <w:tr2bl w:val="nil"/>
            </w:tcBorders>
            <w:noWrap w:val="0"/>
            <w:vAlign w:val="center"/>
          </w:tcPr>
          <w:p w14:paraId="4D996CD5">
            <w:pPr>
              <w:pStyle w:val="23"/>
              <w:bidi w:val="0"/>
              <w:jc w:val="center"/>
              <w:rPr>
                <w:color w:val="auto"/>
                <w:u w:val="none" w:color="auto"/>
              </w:rPr>
            </w:pPr>
            <w:r>
              <w:rPr>
                <w:color w:val="auto"/>
                <w:u w:val="none" w:color="auto"/>
              </w:rPr>
              <w:t>辅助</w:t>
            </w:r>
          </w:p>
          <w:p w14:paraId="30ADDA26">
            <w:pPr>
              <w:pStyle w:val="23"/>
              <w:bidi w:val="0"/>
              <w:jc w:val="center"/>
              <w:rPr>
                <w:color w:val="auto"/>
                <w:u w:val="none" w:color="auto"/>
              </w:rPr>
            </w:pPr>
            <w:r>
              <w:rPr>
                <w:color w:val="auto"/>
                <w:u w:val="none" w:color="auto"/>
              </w:rPr>
              <w:t>工程</w:t>
            </w:r>
          </w:p>
        </w:tc>
        <w:tc>
          <w:tcPr>
            <w:tcW w:w="1678" w:type="dxa"/>
            <w:tcBorders>
              <w:tl2br w:val="nil"/>
              <w:tr2bl w:val="nil"/>
            </w:tcBorders>
            <w:noWrap w:val="0"/>
            <w:vAlign w:val="center"/>
          </w:tcPr>
          <w:p w14:paraId="45267FAB">
            <w:pPr>
              <w:pStyle w:val="25"/>
              <w:bidi w:val="0"/>
              <w:ind w:firstLine="0" w:firstLineChars="0"/>
              <w:rPr>
                <w:rFonts w:hint="default" w:ascii="Times New Roman" w:hAnsi="Times New Roman" w:eastAsia="宋体" w:cs="Times New Roman"/>
                <w:spacing w:val="6"/>
                <w:kern w:val="24"/>
                <w:sz w:val="22"/>
                <w:szCs w:val="18"/>
                <w:lang w:val="en-US" w:eastAsia="zh-CN" w:bidi="ar-SA"/>
              </w:rPr>
            </w:pPr>
            <w:r>
              <w:rPr>
                <w:rFonts w:hint="default"/>
                <w:sz w:val="22"/>
                <w:szCs w:val="18"/>
                <w:lang w:val="en-US" w:eastAsia="zh-CN"/>
              </w:rPr>
              <w:t>循环</w:t>
            </w:r>
            <w:r>
              <w:rPr>
                <w:rFonts w:hint="eastAsia"/>
                <w:sz w:val="22"/>
                <w:szCs w:val="18"/>
                <w:lang w:val="en-US" w:eastAsia="zh-CN"/>
              </w:rPr>
              <w:t>沉淀池1#</w:t>
            </w:r>
          </w:p>
        </w:tc>
        <w:tc>
          <w:tcPr>
            <w:tcW w:w="5975" w:type="dxa"/>
            <w:tcBorders>
              <w:tl2br w:val="nil"/>
              <w:tr2bl w:val="nil"/>
            </w:tcBorders>
            <w:noWrap w:val="0"/>
            <w:vAlign w:val="center"/>
          </w:tcPr>
          <w:p w14:paraId="53A2B94F">
            <w:pPr>
              <w:pStyle w:val="25"/>
              <w:bidi w:val="0"/>
              <w:ind w:firstLine="0" w:firstLineChars="0"/>
              <w:rPr>
                <w:rFonts w:hint="default" w:ascii="Times New Roman" w:hAnsi="Times New Roman" w:eastAsia="宋体" w:cs="Times New Roman"/>
                <w:spacing w:val="6"/>
                <w:kern w:val="24"/>
                <w:sz w:val="21"/>
                <w:szCs w:val="21"/>
                <w:lang w:val="en-US" w:eastAsia="zh-CN" w:bidi="ar-SA"/>
              </w:rPr>
            </w:pPr>
            <w:r>
              <w:rPr>
                <w:rFonts w:hint="eastAsia"/>
                <w:sz w:val="21"/>
                <w:szCs w:val="21"/>
                <w:lang w:val="en-US" w:eastAsia="zh-CN"/>
              </w:rPr>
              <w:t>循环沉淀池</w:t>
            </w:r>
            <w:r>
              <w:rPr>
                <w:rFonts w:hint="default"/>
                <w:sz w:val="21"/>
                <w:szCs w:val="21"/>
                <w:lang w:val="en-US" w:eastAsia="zh-CN"/>
              </w:rPr>
              <w:t>规格为</w:t>
            </w:r>
            <w:r>
              <w:rPr>
                <w:rFonts w:hint="eastAsia"/>
                <w:sz w:val="21"/>
                <w:szCs w:val="21"/>
                <w:lang w:val="en-US" w:eastAsia="zh-CN"/>
              </w:rPr>
              <w:t>4</w:t>
            </w:r>
            <w:r>
              <w:rPr>
                <w:rFonts w:hint="default"/>
                <w:sz w:val="21"/>
                <w:szCs w:val="21"/>
                <w:lang w:val="en-US" w:eastAsia="zh-CN"/>
              </w:rPr>
              <w:t>*4.5*2.5m，约</w:t>
            </w:r>
            <w:r>
              <w:rPr>
                <w:rFonts w:hint="eastAsia"/>
                <w:sz w:val="21"/>
                <w:szCs w:val="21"/>
                <w:lang w:val="en-US" w:eastAsia="zh-CN"/>
              </w:rPr>
              <w:t>45</w:t>
            </w:r>
            <w:r>
              <w:rPr>
                <w:rFonts w:hint="default"/>
                <w:sz w:val="21"/>
                <w:szCs w:val="21"/>
                <w:lang w:val="en-US" w:eastAsia="zh-CN"/>
              </w:rPr>
              <w:t>0m</w:t>
            </w:r>
            <w:r>
              <w:rPr>
                <w:rFonts w:hint="default"/>
                <w:sz w:val="21"/>
                <w:szCs w:val="21"/>
                <w:vertAlign w:val="superscript"/>
                <w:lang w:val="en-US" w:eastAsia="zh-CN"/>
              </w:rPr>
              <w:t>3</w:t>
            </w:r>
            <w:r>
              <w:rPr>
                <w:rFonts w:hint="eastAsia"/>
                <w:sz w:val="21"/>
                <w:szCs w:val="21"/>
                <w:lang w:val="en-US" w:eastAsia="zh-CN"/>
              </w:rPr>
              <w:t>（有效容积约40m</w:t>
            </w:r>
            <w:r>
              <w:rPr>
                <w:rFonts w:hint="eastAsia"/>
                <w:sz w:val="21"/>
                <w:szCs w:val="21"/>
                <w:vertAlign w:val="superscript"/>
                <w:lang w:val="en-US" w:eastAsia="zh-CN"/>
              </w:rPr>
              <w:t>3</w:t>
            </w:r>
            <w:r>
              <w:rPr>
                <w:rFonts w:hint="eastAsia"/>
                <w:sz w:val="21"/>
                <w:szCs w:val="21"/>
                <w:lang w:val="en-US" w:eastAsia="zh-CN"/>
              </w:rPr>
              <w:t>）</w:t>
            </w:r>
          </w:p>
        </w:tc>
      </w:tr>
      <w:tr w14:paraId="07FDAE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continue"/>
            <w:tcBorders>
              <w:tl2br w:val="nil"/>
              <w:tr2bl w:val="nil"/>
            </w:tcBorders>
            <w:noWrap w:val="0"/>
            <w:vAlign w:val="center"/>
          </w:tcPr>
          <w:p w14:paraId="47C0FFBA">
            <w:pPr>
              <w:pStyle w:val="23"/>
              <w:bidi w:val="0"/>
              <w:jc w:val="center"/>
              <w:rPr>
                <w:color w:val="auto"/>
                <w:u w:val="none" w:color="auto"/>
              </w:rPr>
            </w:pPr>
          </w:p>
        </w:tc>
        <w:tc>
          <w:tcPr>
            <w:tcW w:w="1678" w:type="dxa"/>
            <w:tcBorders>
              <w:tl2br w:val="nil"/>
              <w:tr2bl w:val="nil"/>
            </w:tcBorders>
            <w:noWrap w:val="0"/>
            <w:vAlign w:val="center"/>
          </w:tcPr>
          <w:p w14:paraId="37075380">
            <w:pPr>
              <w:pStyle w:val="25"/>
              <w:bidi w:val="0"/>
              <w:ind w:firstLine="0" w:firstLineChars="0"/>
              <w:rPr>
                <w:rFonts w:hint="default" w:ascii="Times New Roman" w:hAnsi="Times New Roman" w:eastAsia="宋体" w:cs="Times New Roman"/>
                <w:spacing w:val="6"/>
                <w:kern w:val="24"/>
                <w:sz w:val="22"/>
                <w:szCs w:val="18"/>
                <w:lang w:val="en-US" w:eastAsia="zh-CN" w:bidi="ar-SA"/>
              </w:rPr>
            </w:pPr>
            <w:r>
              <w:rPr>
                <w:rFonts w:hint="eastAsia"/>
                <w:sz w:val="22"/>
                <w:szCs w:val="18"/>
                <w:lang w:val="en-US" w:eastAsia="zh-CN"/>
              </w:rPr>
              <w:t>循环沉淀池2#</w:t>
            </w:r>
          </w:p>
        </w:tc>
        <w:tc>
          <w:tcPr>
            <w:tcW w:w="5975" w:type="dxa"/>
            <w:tcBorders>
              <w:tl2br w:val="nil"/>
              <w:tr2bl w:val="nil"/>
            </w:tcBorders>
            <w:noWrap w:val="0"/>
            <w:vAlign w:val="center"/>
          </w:tcPr>
          <w:p w14:paraId="25741C38">
            <w:pPr>
              <w:pStyle w:val="25"/>
              <w:bidi w:val="0"/>
              <w:ind w:firstLine="0" w:firstLineChars="0"/>
              <w:rPr>
                <w:rFonts w:hint="eastAsia" w:ascii="Times New Roman" w:hAnsi="Times New Roman" w:eastAsia="宋体" w:cs="Times New Roman"/>
                <w:spacing w:val="6"/>
                <w:kern w:val="24"/>
                <w:sz w:val="21"/>
                <w:szCs w:val="21"/>
                <w:lang w:val="en-US" w:eastAsia="zh-CN" w:bidi="ar-SA"/>
              </w:rPr>
            </w:pPr>
            <w:r>
              <w:rPr>
                <w:rFonts w:hint="eastAsia"/>
                <w:sz w:val="21"/>
                <w:szCs w:val="21"/>
                <w:lang w:val="en-US" w:eastAsia="zh-CN"/>
              </w:rPr>
              <w:t>循环沉淀池</w:t>
            </w:r>
            <w:r>
              <w:rPr>
                <w:rFonts w:hint="default"/>
                <w:sz w:val="21"/>
                <w:szCs w:val="21"/>
                <w:lang w:val="en-US" w:eastAsia="zh-CN"/>
              </w:rPr>
              <w:t>规格为</w:t>
            </w:r>
            <w:r>
              <w:rPr>
                <w:rFonts w:hint="eastAsia"/>
                <w:sz w:val="21"/>
                <w:szCs w:val="21"/>
                <w:lang w:val="en-US" w:eastAsia="zh-CN"/>
              </w:rPr>
              <w:t>4</w:t>
            </w:r>
            <w:r>
              <w:rPr>
                <w:rFonts w:hint="default"/>
                <w:sz w:val="21"/>
                <w:szCs w:val="21"/>
                <w:lang w:val="en-US" w:eastAsia="zh-CN"/>
              </w:rPr>
              <w:t>*4.5*2.5m，约</w:t>
            </w:r>
            <w:r>
              <w:rPr>
                <w:rFonts w:hint="eastAsia"/>
                <w:sz w:val="21"/>
                <w:szCs w:val="21"/>
                <w:lang w:val="en-US" w:eastAsia="zh-CN"/>
              </w:rPr>
              <w:t>45</w:t>
            </w:r>
            <w:r>
              <w:rPr>
                <w:rFonts w:hint="default"/>
                <w:sz w:val="21"/>
                <w:szCs w:val="21"/>
                <w:lang w:val="en-US" w:eastAsia="zh-CN"/>
              </w:rPr>
              <w:t>m</w:t>
            </w:r>
            <w:r>
              <w:rPr>
                <w:rFonts w:hint="default"/>
                <w:sz w:val="21"/>
                <w:szCs w:val="21"/>
                <w:vertAlign w:val="superscript"/>
                <w:lang w:val="en-US" w:eastAsia="zh-CN"/>
              </w:rPr>
              <w:t>3</w:t>
            </w:r>
            <w:r>
              <w:rPr>
                <w:rFonts w:hint="eastAsia"/>
                <w:sz w:val="21"/>
                <w:szCs w:val="21"/>
                <w:lang w:val="en-US" w:eastAsia="zh-CN"/>
              </w:rPr>
              <w:t>（有效容积约40m</w:t>
            </w:r>
            <w:r>
              <w:rPr>
                <w:rFonts w:hint="eastAsia"/>
                <w:sz w:val="21"/>
                <w:szCs w:val="21"/>
                <w:vertAlign w:val="superscript"/>
                <w:lang w:val="en-US" w:eastAsia="zh-CN"/>
              </w:rPr>
              <w:t>3</w:t>
            </w:r>
            <w:r>
              <w:rPr>
                <w:rFonts w:hint="eastAsia"/>
                <w:sz w:val="21"/>
                <w:szCs w:val="21"/>
                <w:lang w:val="en-US" w:eastAsia="zh-CN"/>
              </w:rPr>
              <w:t>）</w:t>
            </w:r>
          </w:p>
        </w:tc>
      </w:tr>
      <w:tr w14:paraId="1B0A08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restart"/>
            <w:tcBorders>
              <w:tl2br w:val="nil"/>
              <w:tr2bl w:val="nil"/>
            </w:tcBorders>
            <w:noWrap w:val="0"/>
            <w:vAlign w:val="center"/>
          </w:tcPr>
          <w:p w14:paraId="4CBE8DE7">
            <w:pPr>
              <w:pStyle w:val="23"/>
              <w:bidi w:val="0"/>
              <w:jc w:val="center"/>
              <w:rPr>
                <w:color w:val="auto"/>
                <w:u w:val="none" w:color="auto"/>
              </w:rPr>
            </w:pPr>
            <w:r>
              <w:rPr>
                <w:color w:val="auto"/>
                <w:u w:val="none" w:color="auto"/>
              </w:rPr>
              <w:t>储运</w:t>
            </w:r>
          </w:p>
          <w:p w14:paraId="11D46086">
            <w:pPr>
              <w:pStyle w:val="23"/>
              <w:bidi w:val="0"/>
              <w:jc w:val="center"/>
              <w:rPr>
                <w:color w:val="auto"/>
                <w:u w:val="none" w:color="auto"/>
              </w:rPr>
            </w:pPr>
            <w:r>
              <w:rPr>
                <w:color w:val="auto"/>
                <w:u w:val="none" w:color="auto"/>
              </w:rPr>
              <w:t>工程</w:t>
            </w:r>
          </w:p>
        </w:tc>
        <w:tc>
          <w:tcPr>
            <w:tcW w:w="1678" w:type="dxa"/>
            <w:tcBorders>
              <w:tl2br w:val="nil"/>
              <w:tr2bl w:val="nil"/>
            </w:tcBorders>
            <w:noWrap w:val="0"/>
            <w:vAlign w:val="center"/>
          </w:tcPr>
          <w:p w14:paraId="3F0250D1">
            <w:pPr>
              <w:pStyle w:val="25"/>
              <w:bidi w:val="0"/>
              <w:ind w:firstLine="0" w:firstLineChars="0"/>
              <w:rPr>
                <w:rFonts w:hint="default" w:ascii="Times New Roman" w:hAnsi="Times New Roman" w:eastAsia="宋体" w:cs="Times New Roman"/>
                <w:spacing w:val="6"/>
                <w:kern w:val="24"/>
                <w:sz w:val="22"/>
                <w:szCs w:val="18"/>
                <w:lang w:val="en-US" w:eastAsia="zh-CN" w:bidi="ar-SA"/>
              </w:rPr>
            </w:pPr>
            <w:r>
              <w:rPr>
                <w:rFonts w:hint="default"/>
                <w:sz w:val="22"/>
                <w:szCs w:val="18"/>
                <w:lang w:val="en-US" w:eastAsia="zh-CN"/>
              </w:rPr>
              <w:t>原料储存区</w:t>
            </w:r>
          </w:p>
        </w:tc>
        <w:tc>
          <w:tcPr>
            <w:tcW w:w="5975" w:type="dxa"/>
            <w:tcBorders>
              <w:tl2br w:val="nil"/>
              <w:tr2bl w:val="nil"/>
            </w:tcBorders>
            <w:noWrap w:val="0"/>
            <w:vAlign w:val="center"/>
          </w:tcPr>
          <w:p w14:paraId="0117B99F">
            <w:pPr>
              <w:pStyle w:val="25"/>
              <w:bidi w:val="0"/>
              <w:ind w:firstLine="0" w:firstLineChars="0"/>
              <w:rPr>
                <w:rFonts w:hint="default" w:ascii="Times New Roman" w:hAnsi="Times New Roman" w:eastAsia="宋体" w:cs="Times New Roman"/>
                <w:spacing w:val="6"/>
                <w:kern w:val="24"/>
                <w:sz w:val="21"/>
                <w:szCs w:val="21"/>
                <w:lang w:val="zh-CN" w:eastAsia="zh-CN" w:bidi="ar-SA"/>
              </w:rPr>
            </w:pPr>
            <w:r>
              <w:rPr>
                <w:rFonts w:hint="default"/>
                <w:sz w:val="21"/>
                <w:szCs w:val="21"/>
                <w:lang w:val="en-US" w:eastAsia="zh-CN"/>
              </w:rPr>
              <w:t>建筑面积800m</w:t>
            </w:r>
            <w:r>
              <w:rPr>
                <w:rFonts w:hint="default"/>
                <w:sz w:val="21"/>
                <w:szCs w:val="21"/>
                <w:vertAlign w:val="superscript"/>
                <w:lang w:val="en-US" w:eastAsia="zh-CN"/>
              </w:rPr>
              <w:t>2</w:t>
            </w:r>
          </w:p>
        </w:tc>
      </w:tr>
      <w:tr w14:paraId="40CB7FD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continue"/>
            <w:tcBorders>
              <w:tl2br w:val="nil"/>
              <w:tr2bl w:val="nil"/>
            </w:tcBorders>
            <w:noWrap w:val="0"/>
            <w:vAlign w:val="center"/>
          </w:tcPr>
          <w:p w14:paraId="61FFF315">
            <w:pPr>
              <w:pStyle w:val="23"/>
              <w:bidi w:val="0"/>
              <w:jc w:val="center"/>
              <w:rPr>
                <w:color w:val="auto"/>
                <w:u w:val="none" w:color="auto"/>
              </w:rPr>
            </w:pPr>
          </w:p>
        </w:tc>
        <w:tc>
          <w:tcPr>
            <w:tcW w:w="1678" w:type="dxa"/>
            <w:tcBorders>
              <w:tl2br w:val="nil"/>
              <w:tr2bl w:val="nil"/>
            </w:tcBorders>
            <w:noWrap w:val="0"/>
            <w:vAlign w:val="center"/>
          </w:tcPr>
          <w:p w14:paraId="37CF836D">
            <w:pPr>
              <w:pStyle w:val="25"/>
              <w:bidi w:val="0"/>
              <w:ind w:firstLine="0" w:firstLineChars="0"/>
              <w:rPr>
                <w:rFonts w:hint="default" w:ascii="Times New Roman" w:hAnsi="Times New Roman" w:eastAsia="宋体" w:cs="Times New Roman"/>
                <w:spacing w:val="6"/>
                <w:kern w:val="24"/>
                <w:sz w:val="22"/>
                <w:szCs w:val="18"/>
                <w:lang w:val="en-US" w:eastAsia="zh-CN" w:bidi="ar-SA"/>
              </w:rPr>
            </w:pPr>
            <w:r>
              <w:rPr>
                <w:rFonts w:hint="default"/>
                <w:sz w:val="22"/>
                <w:szCs w:val="18"/>
                <w:lang w:val="en-US" w:eastAsia="zh-CN"/>
              </w:rPr>
              <w:t>成品储存区</w:t>
            </w:r>
          </w:p>
        </w:tc>
        <w:tc>
          <w:tcPr>
            <w:tcW w:w="5975" w:type="dxa"/>
            <w:tcBorders>
              <w:tl2br w:val="nil"/>
              <w:tr2bl w:val="nil"/>
            </w:tcBorders>
            <w:noWrap w:val="0"/>
            <w:vAlign w:val="center"/>
          </w:tcPr>
          <w:p w14:paraId="124B91B0">
            <w:pPr>
              <w:pStyle w:val="25"/>
              <w:bidi w:val="0"/>
              <w:ind w:firstLine="0" w:firstLineChars="0"/>
              <w:rPr>
                <w:rFonts w:hint="default" w:ascii="Times New Roman" w:hAnsi="Times New Roman" w:eastAsia="宋体" w:cs="Times New Roman"/>
                <w:spacing w:val="6"/>
                <w:kern w:val="24"/>
                <w:sz w:val="21"/>
                <w:szCs w:val="21"/>
                <w:lang w:val="zh-CN" w:eastAsia="zh-CN" w:bidi="ar-SA"/>
              </w:rPr>
            </w:pPr>
            <w:r>
              <w:rPr>
                <w:rFonts w:hint="default"/>
                <w:sz w:val="21"/>
                <w:szCs w:val="21"/>
                <w:lang w:val="en-US" w:eastAsia="zh-CN"/>
              </w:rPr>
              <w:t>建筑面积600m</w:t>
            </w:r>
            <w:r>
              <w:rPr>
                <w:rFonts w:hint="default"/>
                <w:sz w:val="21"/>
                <w:szCs w:val="21"/>
                <w:vertAlign w:val="superscript"/>
                <w:lang w:val="en-US" w:eastAsia="zh-CN"/>
              </w:rPr>
              <w:t>2</w:t>
            </w:r>
          </w:p>
        </w:tc>
      </w:tr>
      <w:tr w14:paraId="7D7EF3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restart"/>
            <w:tcBorders>
              <w:tl2br w:val="nil"/>
              <w:tr2bl w:val="nil"/>
            </w:tcBorders>
            <w:noWrap w:val="0"/>
            <w:vAlign w:val="center"/>
          </w:tcPr>
          <w:p w14:paraId="17FCA26C">
            <w:pPr>
              <w:pStyle w:val="23"/>
              <w:bidi w:val="0"/>
              <w:jc w:val="center"/>
              <w:rPr>
                <w:color w:val="auto"/>
                <w:u w:val="none" w:color="auto"/>
              </w:rPr>
            </w:pPr>
            <w:r>
              <w:rPr>
                <w:color w:val="auto"/>
                <w:u w:val="none" w:color="auto"/>
              </w:rPr>
              <w:t>公用</w:t>
            </w:r>
          </w:p>
          <w:p w14:paraId="1404236A">
            <w:pPr>
              <w:pStyle w:val="23"/>
              <w:bidi w:val="0"/>
              <w:jc w:val="center"/>
              <w:rPr>
                <w:color w:val="auto"/>
                <w:u w:val="none" w:color="auto"/>
              </w:rPr>
            </w:pPr>
            <w:r>
              <w:rPr>
                <w:color w:val="auto"/>
                <w:u w:val="none" w:color="auto"/>
              </w:rPr>
              <w:t>工程</w:t>
            </w:r>
          </w:p>
        </w:tc>
        <w:tc>
          <w:tcPr>
            <w:tcW w:w="1678" w:type="dxa"/>
            <w:tcBorders>
              <w:tl2br w:val="nil"/>
              <w:tr2bl w:val="nil"/>
            </w:tcBorders>
            <w:noWrap w:val="0"/>
            <w:vAlign w:val="center"/>
          </w:tcPr>
          <w:p w14:paraId="2A3D0739">
            <w:pPr>
              <w:pStyle w:val="23"/>
              <w:bidi w:val="0"/>
              <w:jc w:val="center"/>
              <w:rPr>
                <w:color w:val="auto"/>
                <w:u w:val="none" w:color="auto"/>
              </w:rPr>
            </w:pPr>
            <w:r>
              <w:rPr>
                <w:color w:val="auto"/>
                <w:u w:val="none" w:color="auto"/>
              </w:rPr>
              <w:t>给水</w:t>
            </w:r>
          </w:p>
        </w:tc>
        <w:tc>
          <w:tcPr>
            <w:tcW w:w="5975" w:type="dxa"/>
            <w:tcBorders>
              <w:tl2br w:val="nil"/>
              <w:tr2bl w:val="nil"/>
            </w:tcBorders>
            <w:noWrap w:val="0"/>
            <w:vAlign w:val="center"/>
          </w:tcPr>
          <w:p w14:paraId="763ECE49">
            <w:pPr>
              <w:pStyle w:val="23"/>
              <w:bidi w:val="0"/>
              <w:jc w:val="center"/>
              <w:rPr>
                <w:rFonts w:hint="default" w:eastAsia="宋体"/>
                <w:color w:val="auto"/>
                <w:u w:val="none" w:color="auto"/>
                <w:lang w:val="en-US" w:eastAsia="zh-CN"/>
              </w:rPr>
            </w:pPr>
            <w:r>
              <w:rPr>
                <w:rFonts w:hint="default"/>
                <w:sz w:val="22"/>
                <w:szCs w:val="18"/>
              </w:rPr>
              <w:t>自来水管网供给</w:t>
            </w:r>
          </w:p>
        </w:tc>
      </w:tr>
      <w:tr w14:paraId="5E8D92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continue"/>
            <w:tcBorders>
              <w:tl2br w:val="nil"/>
              <w:tr2bl w:val="nil"/>
            </w:tcBorders>
            <w:noWrap w:val="0"/>
            <w:vAlign w:val="center"/>
          </w:tcPr>
          <w:p w14:paraId="4C5D19A1">
            <w:pPr>
              <w:pStyle w:val="23"/>
              <w:bidi w:val="0"/>
              <w:jc w:val="center"/>
              <w:rPr>
                <w:color w:val="auto"/>
                <w:u w:val="none" w:color="auto"/>
              </w:rPr>
            </w:pPr>
          </w:p>
        </w:tc>
        <w:tc>
          <w:tcPr>
            <w:tcW w:w="1678" w:type="dxa"/>
            <w:tcBorders>
              <w:tl2br w:val="nil"/>
              <w:tr2bl w:val="nil"/>
            </w:tcBorders>
            <w:noWrap w:val="0"/>
            <w:vAlign w:val="center"/>
          </w:tcPr>
          <w:p w14:paraId="2CCA8D77">
            <w:pPr>
              <w:pStyle w:val="23"/>
              <w:bidi w:val="0"/>
              <w:jc w:val="center"/>
              <w:rPr>
                <w:color w:val="auto"/>
                <w:u w:val="none" w:color="auto"/>
              </w:rPr>
            </w:pPr>
            <w:r>
              <w:rPr>
                <w:color w:val="auto"/>
                <w:u w:val="none" w:color="auto"/>
              </w:rPr>
              <w:t>供电</w:t>
            </w:r>
          </w:p>
        </w:tc>
        <w:tc>
          <w:tcPr>
            <w:tcW w:w="5975" w:type="dxa"/>
            <w:tcBorders>
              <w:tl2br w:val="nil"/>
              <w:tr2bl w:val="nil"/>
            </w:tcBorders>
            <w:noWrap w:val="0"/>
            <w:vAlign w:val="center"/>
          </w:tcPr>
          <w:p w14:paraId="765873B5">
            <w:pPr>
              <w:pStyle w:val="23"/>
              <w:bidi w:val="0"/>
              <w:jc w:val="center"/>
              <w:rPr>
                <w:color w:val="auto"/>
                <w:u w:val="none" w:color="auto"/>
              </w:rPr>
            </w:pPr>
            <w:r>
              <w:rPr>
                <w:color w:val="auto"/>
                <w:u w:val="none" w:color="auto"/>
              </w:rPr>
              <w:t>园区提供</w:t>
            </w:r>
          </w:p>
        </w:tc>
      </w:tr>
      <w:tr w14:paraId="406B2E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restart"/>
            <w:tcBorders>
              <w:tl2br w:val="nil"/>
              <w:tr2bl w:val="nil"/>
            </w:tcBorders>
            <w:noWrap w:val="0"/>
            <w:vAlign w:val="center"/>
          </w:tcPr>
          <w:p w14:paraId="4B170FC7">
            <w:pPr>
              <w:pStyle w:val="23"/>
              <w:bidi w:val="0"/>
              <w:jc w:val="center"/>
              <w:rPr>
                <w:rFonts w:hint="default" w:eastAsia="宋体"/>
                <w:color w:val="auto"/>
                <w:u w:val="none" w:color="auto"/>
                <w:lang w:val="en-US" w:eastAsia="zh-CN"/>
              </w:rPr>
            </w:pPr>
            <w:r>
              <w:rPr>
                <w:rFonts w:hint="eastAsia"/>
                <w:color w:val="auto"/>
                <w:u w:val="none" w:color="auto"/>
                <w:lang w:val="en-US" w:eastAsia="zh-CN"/>
              </w:rPr>
              <w:t>环保工程</w:t>
            </w:r>
          </w:p>
        </w:tc>
        <w:tc>
          <w:tcPr>
            <w:tcW w:w="1678" w:type="dxa"/>
            <w:tcBorders>
              <w:tl2br w:val="nil"/>
              <w:tr2bl w:val="nil"/>
            </w:tcBorders>
            <w:noWrap w:val="0"/>
            <w:vAlign w:val="center"/>
          </w:tcPr>
          <w:p w14:paraId="36900498">
            <w:pPr>
              <w:pStyle w:val="23"/>
              <w:bidi w:val="0"/>
              <w:jc w:val="center"/>
              <w:rPr>
                <w:color w:val="auto"/>
                <w:u w:val="none" w:color="auto"/>
              </w:rPr>
            </w:pPr>
            <w:r>
              <w:rPr>
                <w:color w:val="auto"/>
                <w:u w:val="none" w:color="auto"/>
              </w:rPr>
              <w:t>废气</w:t>
            </w:r>
          </w:p>
        </w:tc>
        <w:tc>
          <w:tcPr>
            <w:tcW w:w="5975" w:type="dxa"/>
            <w:tcBorders>
              <w:tl2br w:val="nil"/>
              <w:tr2bl w:val="nil"/>
            </w:tcBorders>
            <w:noWrap w:val="0"/>
            <w:vAlign w:val="center"/>
          </w:tcPr>
          <w:p w14:paraId="3EEA0657">
            <w:pPr>
              <w:pStyle w:val="23"/>
              <w:numPr>
                <w:ilvl w:val="0"/>
                <w:numId w:val="6"/>
              </w:numPr>
              <w:bidi w:val="0"/>
              <w:jc w:val="center"/>
              <w:rPr>
                <w:rFonts w:hint="eastAsia"/>
                <w:color w:val="auto"/>
                <w:u w:val="none" w:color="auto"/>
                <w:lang w:eastAsia="zh-CN"/>
              </w:rPr>
            </w:pPr>
            <w:r>
              <w:rPr>
                <w:color w:val="auto"/>
                <w:u w:val="none" w:color="auto"/>
              </w:rPr>
              <w:t>破碎</w:t>
            </w:r>
            <w:r>
              <w:rPr>
                <w:rFonts w:hint="eastAsia"/>
                <w:color w:val="auto"/>
                <w:u w:val="none" w:color="auto"/>
                <w:lang w:val="en-US" w:eastAsia="zh-CN"/>
              </w:rPr>
              <w:t>磨粉</w:t>
            </w:r>
            <w:r>
              <w:rPr>
                <w:color w:val="auto"/>
                <w:u w:val="none" w:color="auto"/>
              </w:rPr>
              <w:t>粉尘通过集气罩收集经布袋除尘器处理后通过</w:t>
            </w:r>
            <w:r>
              <w:rPr>
                <w:rFonts w:hint="eastAsia"/>
                <w:color w:val="auto"/>
                <w:u w:val="none" w:color="auto"/>
                <w:lang w:val="en-US" w:eastAsia="zh-CN"/>
              </w:rPr>
              <w:t>15</w:t>
            </w:r>
            <w:r>
              <w:rPr>
                <w:color w:val="auto"/>
                <w:u w:val="none" w:color="auto"/>
              </w:rPr>
              <w:t>m的排气筒</w:t>
            </w:r>
            <w:r>
              <w:rPr>
                <w:rFonts w:hint="eastAsia"/>
                <w:color w:val="auto"/>
                <w:u w:val="none" w:color="auto"/>
                <w:lang w:val="en-US" w:eastAsia="zh-CN"/>
              </w:rPr>
              <w:t>DA003</w:t>
            </w:r>
            <w:r>
              <w:rPr>
                <w:color w:val="auto"/>
                <w:u w:val="none" w:color="auto"/>
              </w:rPr>
              <w:t>高空排放</w:t>
            </w:r>
            <w:r>
              <w:rPr>
                <w:rFonts w:hint="eastAsia"/>
                <w:color w:val="auto"/>
                <w:u w:val="none" w:color="auto"/>
                <w:lang w:eastAsia="zh-CN"/>
              </w:rPr>
              <w:t>；</w:t>
            </w:r>
          </w:p>
          <w:p w14:paraId="6A473218">
            <w:pPr>
              <w:pStyle w:val="23"/>
              <w:numPr>
                <w:ilvl w:val="0"/>
                <w:numId w:val="6"/>
              </w:numPr>
              <w:bidi w:val="0"/>
              <w:jc w:val="center"/>
              <w:rPr>
                <w:color w:val="auto"/>
                <w:u w:val="none" w:color="auto"/>
              </w:rPr>
            </w:pPr>
            <w:r>
              <w:rPr>
                <w:rFonts w:hint="eastAsia"/>
                <w:color w:val="auto"/>
                <w:u w:val="none" w:color="auto"/>
                <w:lang w:val="en-US" w:eastAsia="zh-CN"/>
              </w:rPr>
              <w:t>混料粉尘</w:t>
            </w:r>
            <w:r>
              <w:rPr>
                <w:color w:val="auto"/>
                <w:u w:val="none" w:color="auto"/>
              </w:rPr>
              <w:t>通过集气罩收集经布袋除尘器处理后通过</w:t>
            </w:r>
            <w:r>
              <w:rPr>
                <w:rFonts w:hint="eastAsia"/>
                <w:color w:val="auto"/>
                <w:u w:val="none" w:color="auto"/>
                <w:lang w:val="en-US" w:eastAsia="zh-CN"/>
              </w:rPr>
              <w:t>15</w:t>
            </w:r>
            <w:r>
              <w:rPr>
                <w:color w:val="auto"/>
                <w:u w:val="none" w:color="auto"/>
              </w:rPr>
              <w:t>m的排气筒</w:t>
            </w:r>
            <w:r>
              <w:rPr>
                <w:rFonts w:hint="eastAsia"/>
                <w:color w:val="auto"/>
                <w:u w:val="none" w:color="auto"/>
                <w:lang w:val="en-US" w:eastAsia="zh-CN"/>
              </w:rPr>
              <w:t>DA002</w:t>
            </w:r>
            <w:r>
              <w:rPr>
                <w:color w:val="auto"/>
                <w:u w:val="none" w:color="auto"/>
              </w:rPr>
              <w:t>高空排放。</w:t>
            </w:r>
          </w:p>
          <w:p w14:paraId="12A1F8BA">
            <w:pPr>
              <w:pStyle w:val="23"/>
              <w:bidi w:val="0"/>
              <w:jc w:val="center"/>
              <w:rPr>
                <w:color w:val="auto"/>
                <w:u w:val="none" w:color="auto"/>
              </w:rPr>
            </w:pPr>
            <w:r>
              <w:rPr>
                <w:rFonts w:hint="eastAsia"/>
                <w:color w:val="auto"/>
                <w:u w:val="none" w:color="auto"/>
                <w:lang w:val="en-US" w:eastAsia="zh-CN"/>
              </w:rPr>
              <w:t>3</w:t>
            </w:r>
            <w:r>
              <w:rPr>
                <w:color w:val="auto"/>
                <w:u w:val="none" w:color="auto"/>
              </w:rPr>
              <w:t>、</w:t>
            </w:r>
            <w:r>
              <w:rPr>
                <w:rFonts w:hint="eastAsia"/>
                <w:color w:val="auto"/>
                <w:u w:val="none" w:color="auto"/>
                <w:lang w:val="en-US" w:eastAsia="zh-CN"/>
              </w:rPr>
              <w:t>挤出覆膜</w:t>
            </w:r>
            <w:r>
              <w:rPr>
                <w:color w:val="auto"/>
                <w:u w:val="none" w:color="auto"/>
              </w:rPr>
              <w:t>过程产生的废气经集气罩收集后经UV</w:t>
            </w:r>
            <w:r>
              <w:rPr>
                <w:rFonts w:hint="eastAsia"/>
                <w:color w:val="auto"/>
                <w:u w:val="none" w:color="auto"/>
                <w:lang w:val="en-US" w:eastAsia="zh-CN"/>
              </w:rPr>
              <w:t>光解</w:t>
            </w:r>
            <w:r>
              <w:rPr>
                <w:color w:val="auto"/>
                <w:u w:val="none" w:color="auto"/>
              </w:rPr>
              <w:t>+活性炭吸附装置处理后通过</w:t>
            </w:r>
            <w:r>
              <w:rPr>
                <w:rFonts w:hint="eastAsia"/>
                <w:color w:val="auto"/>
                <w:u w:val="none" w:color="auto"/>
                <w:lang w:val="en-US" w:eastAsia="zh-CN"/>
              </w:rPr>
              <w:t>15</w:t>
            </w:r>
            <w:r>
              <w:rPr>
                <w:color w:val="auto"/>
                <w:u w:val="none" w:color="auto"/>
              </w:rPr>
              <w:t>m排气筒</w:t>
            </w:r>
            <w:r>
              <w:rPr>
                <w:rFonts w:hint="eastAsia"/>
                <w:color w:val="auto"/>
                <w:u w:val="none" w:color="auto"/>
                <w:lang w:val="en-US" w:eastAsia="zh-CN"/>
              </w:rPr>
              <w:t>DA001</w:t>
            </w:r>
            <w:r>
              <w:rPr>
                <w:color w:val="auto"/>
                <w:u w:val="none" w:color="auto"/>
              </w:rPr>
              <w:t>高空排放。</w:t>
            </w:r>
          </w:p>
        </w:tc>
      </w:tr>
      <w:tr w14:paraId="71FD40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continue"/>
            <w:tcBorders>
              <w:tl2br w:val="nil"/>
              <w:tr2bl w:val="nil"/>
            </w:tcBorders>
            <w:noWrap w:val="0"/>
            <w:vAlign w:val="center"/>
          </w:tcPr>
          <w:p w14:paraId="5C1E0C45">
            <w:pPr>
              <w:pStyle w:val="23"/>
              <w:bidi w:val="0"/>
              <w:jc w:val="center"/>
              <w:rPr>
                <w:color w:val="auto"/>
                <w:u w:val="none" w:color="auto"/>
              </w:rPr>
            </w:pPr>
          </w:p>
        </w:tc>
        <w:tc>
          <w:tcPr>
            <w:tcW w:w="1678" w:type="dxa"/>
            <w:tcBorders>
              <w:tl2br w:val="nil"/>
              <w:tr2bl w:val="nil"/>
            </w:tcBorders>
            <w:noWrap w:val="0"/>
            <w:vAlign w:val="center"/>
          </w:tcPr>
          <w:p w14:paraId="7AAF3427">
            <w:pPr>
              <w:pStyle w:val="23"/>
              <w:bidi w:val="0"/>
              <w:jc w:val="center"/>
              <w:rPr>
                <w:color w:val="auto"/>
                <w:u w:val="none" w:color="auto"/>
              </w:rPr>
            </w:pPr>
            <w:r>
              <w:rPr>
                <w:color w:val="auto"/>
                <w:u w:val="none" w:color="auto"/>
              </w:rPr>
              <w:t>废水</w:t>
            </w:r>
          </w:p>
        </w:tc>
        <w:tc>
          <w:tcPr>
            <w:tcW w:w="5975" w:type="dxa"/>
            <w:tcBorders>
              <w:tl2br w:val="nil"/>
              <w:tr2bl w:val="nil"/>
            </w:tcBorders>
            <w:noWrap w:val="0"/>
            <w:vAlign w:val="center"/>
          </w:tcPr>
          <w:p w14:paraId="4E326C8A">
            <w:pPr>
              <w:pStyle w:val="23"/>
              <w:bidi w:val="0"/>
              <w:jc w:val="center"/>
              <w:rPr>
                <w:rFonts w:hint="eastAsia" w:eastAsia="宋体"/>
                <w:color w:val="auto"/>
                <w:u w:val="none" w:color="auto"/>
                <w:lang w:eastAsia="zh-CN"/>
              </w:rPr>
            </w:pPr>
            <w:r>
              <w:rPr>
                <w:rFonts w:hint="eastAsia" w:ascii="Times New Roman" w:hAnsi="Times New Roman" w:cs="Times New Roman"/>
                <w:color w:val="auto"/>
                <w:u w:val="none" w:color="auto"/>
                <w:lang w:val="en-US" w:eastAsia="zh-CN"/>
              </w:rPr>
              <w:t>生活污水依托现代家俱隔油沉淀池、化粪池处理后</w:t>
            </w:r>
            <w:r>
              <w:rPr>
                <w:rFonts w:hint="eastAsia"/>
                <w:color w:val="auto"/>
                <w:u w:val="none" w:color="auto"/>
                <w:lang w:val="en-US" w:eastAsia="zh-CN"/>
              </w:rPr>
              <w:t>排入湖南汨罗高新技术产业开发区（循环园区）污水处理厂；循环冷却水经循环池处理后循环使用，不外排。</w:t>
            </w:r>
          </w:p>
        </w:tc>
      </w:tr>
      <w:tr w14:paraId="44CB8F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97" w:hRule="atLeast"/>
          <w:jc w:val="center"/>
        </w:trPr>
        <w:tc>
          <w:tcPr>
            <w:tcW w:w="925" w:type="dxa"/>
            <w:vMerge w:val="continue"/>
            <w:tcBorders>
              <w:tl2br w:val="nil"/>
              <w:tr2bl w:val="nil"/>
            </w:tcBorders>
            <w:noWrap w:val="0"/>
            <w:vAlign w:val="center"/>
          </w:tcPr>
          <w:p w14:paraId="058E0E19">
            <w:pPr>
              <w:pStyle w:val="23"/>
              <w:bidi w:val="0"/>
              <w:jc w:val="center"/>
              <w:rPr>
                <w:color w:val="auto"/>
                <w:u w:val="none" w:color="auto"/>
              </w:rPr>
            </w:pPr>
          </w:p>
        </w:tc>
        <w:tc>
          <w:tcPr>
            <w:tcW w:w="1678" w:type="dxa"/>
            <w:tcBorders>
              <w:tl2br w:val="nil"/>
              <w:tr2bl w:val="nil"/>
            </w:tcBorders>
            <w:noWrap w:val="0"/>
            <w:vAlign w:val="center"/>
          </w:tcPr>
          <w:p w14:paraId="413B0116">
            <w:pPr>
              <w:pStyle w:val="23"/>
              <w:bidi w:val="0"/>
              <w:jc w:val="center"/>
              <w:rPr>
                <w:color w:val="auto"/>
                <w:u w:val="none" w:color="auto"/>
              </w:rPr>
            </w:pPr>
            <w:r>
              <w:rPr>
                <w:color w:val="auto"/>
                <w:u w:val="none" w:color="auto"/>
              </w:rPr>
              <w:t>固体废物</w:t>
            </w:r>
          </w:p>
        </w:tc>
        <w:tc>
          <w:tcPr>
            <w:tcW w:w="5975" w:type="dxa"/>
            <w:tcBorders>
              <w:tl2br w:val="nil"/>
              <w:tr2bl w:val="nil"/>
            </w:tcBorders>
            <w:noWrap w:val="0"/>
            <w:vAlign w:val="center"/>
          </w:tcPr>
          <w:p w14:paraId="44387CCC">
            <w:pPr>
              <w:pStyle w:val="23"/>
              <w:bidi w:val="0"/>
              <w:jc w:val="center"/>
              <w:rPr>
                <w:rFonts w:hint="eastAsia" w:eastAsia="宋体"/>
                <w:color w:val="auto"/>
                <w:u w:val="none" w:color="auto"/>
                <w:lang w:eastAsia="zh-CN"/>
              </w:rPr>
            </w:pPr>
            <w:r>
              <w:rPr>
                <w:color w:val="auto"/>
                <w:u w:val="none" w:color="auto"/>
              </w:rPr>
              <w:t>已设置一个</w:t>
            </w:r>
            <w:r>
              <w:rPr>
                <w:rFonts w:hint="eastAsia"/>
                <w:color w:val="auto"/>
                <w:u w:val="none" w:color="auto"/>
                <w:lang w:val="en-US" w:eastAsia="zh-CN"/>
              </w:rPr>
              <w:t>6</w:t>
            </w:r>
            <w:r>
              <w:rPr>
                <w:color w:val="auto"/>
                <w:u w:val="none" w:color="auto"/>
              </w:rPr>
              <w:t>0m</w:t>
            </w:r>
            <w:r>
              <w:rPr>
                <w:color w:val="auto"/>
                <w:u w:val="none" w:color="auto"/>
                <w:vertAlign w:val="superscript"/>
              </w:rPr>
              <w:t>2</w:t>
            </w:r>
            <w:r>
              <w:rPr>
                <w:color w:val="auto"/>
                <w:u w:val="none" w:color="auto"/>
              </w:rPr>
              <w:t>的一般固废暂存间及一个10m</w:t>
            </w:r>
            <w:r>
              <w:rPr>
                <w:color w:val="auto"/>
                <w:u w:val="none" w:color="auto"/>
                <w:vertAlign w:val="superscript"/>
              </w:rPr>
              <w:t>2</w:t>
            </w:r>
            <w:r>
              <w:rPr>
                <w:color w:val="auto"/>
                <w:u w:val="none" w:color="auto"/>
              </w:rPr>
              <w:t>的危废暂存间，危险废物收集后交有资质的单位处置</w:t>
            </w:r>
            <w:r>
              <w:rPr>
                <w:rFonts w:hint="eastAsia"/>
                <w:color w:val="auto"/>
                <w:u w:val="none" w:color="auto"/>
                <w:lang w:eastAsia="zh-CN"/>
              </w:rPr>
              <w:t>。</w:t>
            </w:r>
          </w:p>
        </w:tc>
      </w:tr>
    </w:tbl>
    <w:p w14:paraId="5CB7019D">
      <w:pPr>
        <w:pStyle w:val="4"/>
        <w:bidi w:val="0"/>
        <w:rPr>
          <w:rFonts w:hint="eastAsia"/>
          <w:color w:val="auto"/>
          <w:u w:val="none" w:color="auto"/>
          <w:lang w:val="en-US" w:eastAsia="zh-CN"/>
        </w:rPr>
      </w:pPr>
      <w:bookmarkStart w:id="576" w:name="_Toc7725"/>
      <w:r>
        <w:rPr>
          <w:rFonts w:hint="eastAsia"/>
          <w:color w:val="auto"/>
          <w:u w:val="none" w:color="auto"/>
          <w:lang w:val="en-US" w:eastAsia="zh-CN"/>
        </w:rPr>
        <w:t>3.1.3迁建前项目产品方案</w:t>
      </w:r>
      <w:bookmarkEnd w:id="576"/>
    </w:p>
    <w:p w14:paraId="09372290">
      <w:pPr>
        <w:pStyle w:val="20"/>
        <w:bidi w:val="0"/>
        <w:rPr>
          <w:rFonts w:hint="default"/>
          <w:color w:val="auto"/>
          <w:u w:val="none" w:color="auto"/>
          <w:lang w:val="en-US" w:eastAsia="zh-CN"/>
        </w:rPr>
      </w:pPr>
      <w:r>
        <w:rPr>
          <w:rFonts w:hint="eastAsia"/>
          <w:color w:val="auto"/>
          <w:u w:val="none" w:color="auto"/>
          <w:lang w:val="en-US" w:eastAsia="zh-CN"/>
        </w:rPr>
        <w:t>迁建前项目产能为年产13300吨PVC墙板、5700吨PVC装饰线条。</w:t>
      </w:r>
    </w:p>
    <w:p w14:paraId="07111CFC">
      <w:pPr>
        <w:pStyle w:val="4"/>
        <w:bidi w:val="0"/>
        <w:rPr>
          <w:rFonts w:hint="default"/>
          <w:color w:val="auto"/>
          <w:u w:val="none" w:color="auto"/>
          <w:lang w:val="en-US" w:eastAsia="zh-CN"/>
        </w:rPr>
      </w:pPr>
      <w:bookmarkStart w:id="577" w:name="_Toc7371"/>
      <w:r>
        <w:rPr>
          <w:rFonts w:hint="eastAsia"/>
          <w:color w:val="auto"/>
          <w:u w:val="none" w:color="auto"/>
          <w:lang w:val="en-US" w:eastAsia="zh-CN"/>
        </w:rPr>
        <w:t>3.1.4迁建前项目主要原辅材料</w:t>
      </w:r>
      <w:bookmarkEnd w:id="577"/>
    </w:p>
    <w:p w14:paraId="1FE767A8">
      <w:pPr>
        <w:pStyle w:val="20"/>
        <w:bidi w:val="0"/>
        <w:rPr>
          <w:rFonts w:hint="eastAsia"/>
          <w:color w:val="auto"/>
          <w:u w:val="none" w:color="auto"/>
          <w:lang w:val="en-US" w:eastAsia="zh-CN"/>
        </w:rPr>
      </w:pPr>
      <w:r>
        <w:rPr>
          <w:rFonts w:hint="eastAsia"/>
          <w:color w:val="auto"/>
          <w:u w:val="none" w:color="auto"/>
          <w:lang w:val="en-US" w:eastAsia="zh-CN"/>
        </w:rPr>
        <w:t>根据迁建前项目验收数据，主要原辅材料见下表。</w:t>
      </w:r>
    </w:p>
    <w:p w14:paraId="0DE0E48C">
      <w:pPr>
        <w:pStyle w:val="22"/>
        <w:bidi w:val="0"/>
        <w:rPr>
          <w:rFonts w:hint="eastAsia"/>
          <w:color w:val="auto"/>
          <w:u w:val="none" w:color="auto"/>
          <w:lang w:val="en-US" w:eastAsia="zh-CN"/>
        </w:rPr>
      </w:pPr>
      <w:r>
        <w:rPr>
          <w:rFonts w:hint="eastAsia"/>
          <w:color w:val="auto"/>
          <w:u w:val="none" w:color="auto"/>
          <w:lang w:val="en-US" w:eastAsia="zh-CN"/>
        </w:rPr>
        <w:t>表3.1-4 迁建前项目原辅材料消耗表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0"/>
        <w:gridCol w:w="660"/>
        <w:gridCol w:w="2738"/>
        <w:gridCol w:w="2283"/>
        <w:gridCol w:w="1991"/>
      </w:tblGrid>
      <w:tr w14:paraId="463F8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27B417CE">
            <w:pPr>
              <w:pStyle w:val="26"/>
              <w:bidi w:val="0"/>
              <w:rPr>
                <w:rFonts w:hint="default"/>
                <w:lang w:val="en-US" w:eastAsia="zh-CN"/>
              </w:rPr>
            </w:pPr>
            <w:r>
              <w:rPr>
                <w:rFonts w:hint="default"/>
                <w:lang w:val="en-US" w:eastAsia="zh-CN"/>
              </w:rPr>
              <w:t>序号</w:t>
            </w:r>
          </w:p>
        </w:tc>
        <w:tc>
          <w:tcPr>
            <w:tcW w:w="2622" w:type="dxa"/>
            <w:gridSpan w:val="2"/>
            <w:tcBorders>
              <w:tl2br w:val="nil"/>
              <w:tr2bl w:val="nil"/>
            </w:tcBorders>
            <w:noWrap w:val="0"/>
            <w:vAlign w:val="center"/>
          </w:tcPr>
          <w:p w14:paraId="4E05774B">
            <w:pPr>
              <w:pStyle w:val="26"/>
              <w:bidi w:val="0"/>
              <w:rPr>
                <w:rFonts w:hint="default"/>
                <w:lang w:val="en-US" w:eastAsia="zh-CN"/>
              </w:rPr>
            </w:pPr>
            <w:r>
              <w:rPr>
                <w:rFonts w:hint="default"/>
                <w:lang w:val="en-US" w:eastAsia="zh-CN"/>
              </w:rPr>
              <w:t>名称</w:t>
            </w:r>
          </w:p>
        </w:tc>
        <w:tc>
          <w:tcPr>
            <w:tcW w:w="1762" w:type="dxa"/>
            <w:tcBorders>
              <w:tl2br w:val="nil"/>
              <w:tr2bl w:val="nil"/>
            </w:tcBorders>
            <w:noWrap w:val="0"/>
            <w:vAlign w:val="center"/>
          </w:tcPr>
          <w:p w14:paraId="61210C40">
            <w:pPr>
              <w:pStyle w:val="26"/>
              <w:bidi w:val="0"/>
              <w:rPr>
                <w:rFonts w:hint="default"/>
                <w:lang w:val="en-US" w:eastAsia="zh-CN"/>
              </w:rPr>
            </w:pPr>
            <w:r>
              <w:rPr>
                <w:rFonts w:hint="default"/>
                <w:lang w:val="en-US" w:eastAsia="zh-CN"/>
              </w:rPr>
              <w:t>年耗量（t</w:t>
            </w:r>
            <w:r>
              <w:rPr>
                <w:rFonts w:hint="eastAsia"/>
                <w:lang w:val="en-US" w:eastAsia="zh-CN"/>
              </w:rPr>
              <w:t>/a</w:t>
            </w:r>
            <w:r>
              <w:rPr>
                <w:rFonts w:hint="default"/>
                <w:lang w:val="en-US" w:eastAsia="zh-CN"/>
              </w:rPr>
              <w:t>）</w:t>
            </w:r>
          </w:p>
        </w:tc>
        <w:tc>
          <w:tcPr>
            <w:tcW w:w="1536" w:type="dxa"/>
            <w:tcBorders>
              <w:tl2br w:val="nil"/>
              <w:tr2bl w:val="nil"/>
            </w:tcBorders>
            <w:noWrap w:val="0"/>
            <w:vAlign w:val="center"/>
          </w:tcPr>
          <w:p w14:paraId="11A7072B">
            <w:pPr>
              <w:pStyle w:val="26"/>
              <w:bidi w:val="0"/>
              <w:rPr>
                <w:rFonts w:hint="default"/>
                <w:lang w:val="en-US" w:eastAsia="zh-CN"/>
              </w:rPr>
            </w:pPr>
            <w:r>
              <w:rPr>
                <w:rFonts w:hint="default"/>
                <w:lang w:val="en-US" w:eastAsia="zh-CN"/>
              </w:rPr>
              <w:t>形态</w:t>
            </w:r>
          </w:p>
        </w:tc>
      </w:tr>
      <w:tr w14:paraId="7D679F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78FDDC60">
            <w:pPr>
              <w:pStyle w:val="26"/>
              <w:bidi w:val="0"/>
              <w:rPr>
                <w:rFonts w:hint="default"/>
                <w:lang w:val="en-US" w:eastAsia="zh-CN"/>
              </w:rPr>
            </w:pPr>
            <w:r>
              <w:rPr>
                <w:rFonts w:hint="default"/>
                <w:lang w:val="en-US" w:eastAsia="zh-CN"/>
              </w:rPr>
              <w:t>1</w:t>
            </w:r>
          </w:p>
        </w:tc>
        <w:tc>
          <w:tcPr>
            <w:tcW w:w="509" w:type="dxa"/>
            <w:vMerge w:val="restart"/>
            <w:tcBorders>
              <w:tl2br w:val="nil"/>
              <w:tr2bl w:val="nil"/>
            </w:tcBorders>
            <w:noWrap w:val="0"/>
            <w:vAlign w:val="center"/>
          </w:tcPr>
          <w:p w14:paraId="7F014C1D">
            <w:pPr>
              <w:pStyle w:val="26"/>
              <w:bidi w:val="0"/>
              <w:rPr>
                <w:rFonts w:hint="default"/>
                <w:lang w:val="en-US" w:eastAsia="zh-CN"/>
              </w:rPr>
            </w:pPr>
            <w:r>
              <w:rPr>
                <w:rFonts w:hint="default"/>
                <w:lang w:val="en-US" w:eastAsia="zh-CN"/>
              </w:rPr>
              <w:t>主料</w:t>
            </w:r>
          </w:p>
        </w:tc>
        <w:tc>
          <w:tcPr>
            <w:tcW w:w="2113" w:type="dxa"/>
            <w:tcBorders>
              <w:tl2br w:val="nil"/>
              <w:tr2bl w:val="nil"/>
            </w:tcBorders>
            <w:noWrap w:val="0"/>
            <w:vAlign w:val="center"/>
          </w:tcPr>
          <w:p w14:paraId="45E019BD">
            <w:pPr>
              <w:pStyle w:val="26"/>
              <w:bidi w:val="0"/>
              <w:rPr>
                <w:rFonts w:hint="default"/>
                <w:lang w:val="en-US" w:eastAsia="zh-CN"/>
              </w:rPr>
            </w:pPr>
            <w:r>
              <w:rPr>
                <w:rFonts w:hint="default"/>
                <w:lang w:val="en-US" w:eastAsia="zh-CN"/>
              </w:rPr>
              <w:t>PVC再生塑料</w:t>
            </w:r>
          </w:p>
        </w:tc>
        <w:tc>
          <w:tcPr>
            <w:tcW w:w="1762" w:type="dxa"/>
            <w:tcBorders>
              <w:tl2br w:val="nil"/>
              <w:tr2bl w:val="nil"/>
            </w:tcBorders>
            <w:noWrap w:val="0"/>
            <w:vAlign w:val="center"/>
          </w:tcPr>
          <w:p w14:paraId="175BD763">
            <w:pPr>
              <w:pStyle w:val="26"/>
              <w:bidi w:val="0"/>
              <w:rPr>
                <w:rFonts w:hint="default"/>
                <w:lang w:val="en-US" w:eastAsia="zh-CN"/>
              </w:rPr>
            </w:pPr>
            <w:r>
              <w:rPr>
                <w:rFonts w:hint="default"/>
                <w:lang w:val="en-US" w:eastAsia="zh-CN"/>
              </w:rPr>
              <w:t>3610</w:t>
            </w:r>
          </w:p>
        </w:tc>
        <w:tc>
          <w:tcPr>
            <w:tcW w:w="1536" w:type="dxa"/>
            <w:tcBorders>
              <w:tl2br w:val="nil"/>
              <w:tr2bl w:val="nil"/>
            </w:tcBorders>
            <w:noWrap w:val="0"/>
            <w:vAlign w:val="center"/>
          </w:tcPr>
          <w:p w14:paraId="7A9283C3">
            <w:pPr>
              <w:pStyle w:val="26"/>
              <w:bidi w:val="0"/>
              <w:rPr>
                <w:rFonts w:hint="default"/>
                <w:lang w:val="en-US" w:eastAsia="zh-CN"/>
              </w:rPr>
            </w:pPr>
            <w:r>
              <w:rPr>
                <w:rFonts w:hint="default"/>
                <w:lang w:val="en-US" w:eastAsia="zh-CN"/>
              </w:rPr>
              <w:t>粒状、片状</w:t>
            </w:r>
          </w:p>
        </w:tc>
      </w:tr>
      <w:tr w14:paraId="184E5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2DED04E8">
            <w:pPr>
              <w:pStyle w:val="26"/>
              <w:bidi w:val="0"/>
              <w:rPr>
                <w:rFonts w:hint="default"/>
                <w:lang w:val="en-US" w:eastAsia="zh-CN"/>
              </w:rPr>
            </w:pPr>
            <w:r>
              <w:rPr>
                <w:rFonts w:hint="default"/>
                <w:lang w:val="en-US" w:eastAsia="zh-CN"/>
              </w:rPr>
              <w:t>2</w:t>
            </w:r>
          </w:p>
        </w:tc>
        <w:tc>
          <w:tcPr>
            <w:tcW w:w="509" w:type="dxa"/>
            <w:vMerge w:val="continue"/>
            <w:tcBorders>
              <w:tl2br w:val="nil"/>
              <w:tr2bl w:val="nil"/>
            </w:tcBorders>
            <w:noWrap w:val="0"/>
            <w:vAlign w:val="center"/>
          </w:tcPr>
          <w:p w14:paraId="413B7E25">
            <w:pPr>
              <w:pStyle w:val="26"/>
              <w:bidi w:val="0"/>
              <w:rPr>
                <w:rFonts w:hint="default"/>
                <w:lang w:val="en-US" w:eastAsia="zh-CN"/>
              </w:rPr>
            </w:pPr>
          </w:p>
        </w:tc>
        <w:tc>
          <w:tcPr>
            <w:tcW w:w="2113" w:type="dxa"/>
            <w:tcBorders>
              <w:tl2br w:val="nil"/>
              <w:tr2bl w:val="nil"/>
            </w:tcBorders>
            <w:noWrap w:val="0"/>
            <w:vAlign w:val="center"/>
          </w:tcPr>
          <w:p w14:paraId="6F441C77">
            <w:pPr>
              <w:pStyle w:val="26"/>
              <w:bidi w:val="0"/>
              <w:rPr>
                <w:rFonts w:hint="default"/>
                <w:lang w:val="en-US" w:eastAsia="zh-CN"/>
              </w:rPr>
            </w:pPr>
            <w:r>
              <w:rPr>
                <w:rFonts w:hint="default"/>
                <w:lang w:val="en-US" w:eastAsia="zh-CN"/>
              </w:rPr>
              <w:t>PVC树脂粉</w:t>
            </w:r>
          </w:p>
        </w:tc>
        <w:tc>
          <w:tcPr>
            <w:tcW w:w="1762" w:type="dxa"/>
            <w:tcBorders>
              <w:tl2br w:val="nil"/>
              <w:tr2bl w:val="nil"/>
            </w:tcBorders>
            <w:noWrap w:val="0"/>
            <w:vAlign w:val="center"/>
          </w:tcPr>
          <w:p w14:paraId="72F538FD">
            <w:pPr>
              <w:pStyle w:val="26"/>
              <w:bidi w:val="0"/>
              <w:rPr>
                <w:rFonts w:hint="default"/>
                <w:lang w:val="en-US" w:eastAsia="zh-CN"/>
              </w:rPr>
            </w:pPr>
            <w:r>
              <w:rPr>
                <w:rFonts w:hint="default"/>
                <w:lang w:val="en-US" w:eastAsia="zh-CN"/>
              </w:rPr>
              <w:t>3610</w:t>
            </w:r>
          </w:p>
        </w:tc>
        <w:tc>
          <w:tcPr>
            <w:tcW w:w="1536" w:type="dxa"/>
            <w:tcBorders>
              <w:tl2br w:val="nil"/>
              <w:tr2bl w:val="nil"/>
            </w:tcBorders>
            <w:noWrap w:val="0"/>
            <w:vAlign w:val="center"/>
          </w:tcPr>
          <w:p w14:paraId="6AE35C18">
            <w:pPr>
              <w:pStyle w:val="26"/>
              <w:bidi w:val="0"/>
              <w:rPr>
                <w:rFonts w:hint="default"/>
                <w:lang w:val="en-US" w:eastAsia="zh-CN"/>
              </w:rPr>
            </w:pPr>
            <w:r>
              <w:rPr>
                <w:rFonts w:hint="default"/>
                <w:lang w:val="en-US" w:eastAsia="zh-CN"/>
              </w:rPr>
              <w:t>粉状</w:t>
            </w:r>
          </w:p>
        </w:tc>
      </w:tr>
      <w:tr w14:paraId="1D7FD8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3EAFFCA4">
            <w:pPr>
              <w:pStyle w:val="26"/>
              <w:bidi w:val="0"/>
              <w:rPr>
                <w:rFonts w:hint="default"/>
                <w:lang w:val="en-US" w:eastAsia="zh-CN"/>
              </w:rPr>
            </w:pPr>
            <w:r>
              <w:rPr>
                <w:rFonts w:hint="default"/>
                <w:lang w:val="en-US" w:eastAsia="zh-CN"/>
              </w:rPr>
              <w:t>3</w:t>
            </w:r>
          </w:p>
        </w:tc>
        <w:tc>
          <w:tcPr>
            <w:tcW w:w="509" w:type="dxa"/>
            <w:vMerge w:val="continue"/>
            <w:tcBorders>
              <w:tl2br w:val="nil"/>
              <w:tr2bl w:val="nil"/>
            </w:tcBorders>
            <w:noWrap w:val="0"/>
            <w:vAlign w:val="center"/>
          </w:tcPr>
          <w:p w14:paraId="4BE77AFE">
            <w:pPr>
              <w:pStyle w:val="26"/>
              <w:bidi w:val="0"/>
              <w:rPr>
                <w:rFonts w:hint="default"/>
                <w:lang w:val="en-US" w:eastAsia="zh-CN"/>
              </w:rPr>
            </w:pPr>
          </w:p>
        </w:tc>
        <w:tc>
          <w:tcPr>
            <w:tcW w:w="2113" w:type="dxa"/>
            <w:tcBorders>
              <w:tl2br w:val="nil"/>
              <w:tr2bl w:val="nil"/>
            </w:tcBorders>
            <w:noWrap w:val="0"/>
            <w:vAlign w:val="center"/>
          </w:tcPr>
          <w:p w14:paraId="622E4585">
            <w:pPr>
              <w:pStyle w:val="26"/>
              <w:bidi w:val="0"/>
              <w:rPr>
                <w:rFonts w:hint="default"/>
                <w:lang w:val="en-US" w:eastAsia="zh-CN"/>
              </w:rPr>
            </w:pPr>
            <w:r>
              <w:rPr>
                <w:rFonts w:hint="default"/>
                <w:lang w:val="en-US" w:eastAsia="zh-CN"/>
              </w:rPr>
              <w:t>轻质碳酸钙</w:t>
            </w:r>
          </w:p>
        </w:tc>
        <w:tc>
          <w:tcPr>
            <w:tcW w:w="1762" w:type="dxa"/>
            <w:tcBorders>
              <w:tl2br w:val="nil"/>
              <w:tr2bl w:val="nil"/>
            </w:tcBorders>
            <w:noWrap w:val="0"/>
            <w:vAlign w:val="center"/>
          </w:tcPr>
          <w:p w14:paraId="3D1289B2">
            <w:pPr>
              <w:pStyle w:val="26"/>
              <w:bidi w:val="0"/>
              <w:rPr>
                <w:rFonts w:hint="default"/>
                <w:lang w:val="en-US" w:eastAsia="zh-CN"/>
              </w:rPr>
            </w:pPr>
            <w:r>
              <w:rPr>
                <w:rFonts w:hint="default"/>
                <w:lang w:val="en-US" w:eastAsia="zh-CN"/>
              </w:rPr>
              <w:t>9500</w:t>
            </w:r>
          </w:p>
        </w:tc>
        <w:tc>
          <w:tcPr>
            <w:tcW w:w="1536" w:type="dxa"/>
            <w:tcBorders>
              <w:tl2br w:val="nil"/>
              <w:tr2bl w:val="nil"/>
            </w:tcBorders>
            <w:noWrap w:val="0"/>
            <w:vAlign w:val="center"/>
          </w:tcPr>
          <w:p w14:paraId="59696C40">
            <w:pPr>
              <w:pStyle w:val="26"/>
              <w:bidi w:val="0"/>
              <w:rPr>
                <w:rFonts w:hint="default"/>
                <w:lang w:val="en-US" w:eastAsia="zh-CN"/>
              </w:rPr>
            </w:pPr>
            <w:r>
              <w:rPr>
                <w:rFonts w:hint="default"/>
                <w:lang w:val="en-US" w:eastAsia="zh-CN"/>
              </w:rPr>
              <w:t>粉状</w:t>
            </w:r>
          </w:p>
        </w:tc>
      </w:tr>
      <w:tr w14:paraId="464CE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656" w:type="dxa"/>
            <w:tcBorders>
              <w:tl2br w:val="nil"/>
              <w:tr2bl w:val="nil"/>
            </w:tcBorders>
            <w:noWrap w:val="0"/>
            <w:vAlign w:val="center"/>
          </w:tcPr>
          <w:p w14:paraId="10E4083D">
            <w:pPr>
              <w:pStyle w:val="26"/>
              <w:bidi w:val="0"/>
              <w:rPr>
                <w:rFonts w:hint="default"/>
                <w:lang w:val="en-US" w:eastAsia="zh-CN"/>
              </w:rPr>
            </w:pPr>
            <w:r>
              <w:rPr>
                <w:rFonts w:hint="eastAsia"/>
                <w:lang w:val="en-US" w:eastAsia="zh-CN"/>
              </w:rPr>
              <w:t>4</w:t>
            </w:r>
          </w:p>
        </w:tc>
        <w:tc>
          <w:tcPr>
            <w:tcW w:w="509" w:type="dxa"/>
            <w:vMerge w:val="restart"/>
            <w:tcBorders>
              <w:tl2br w:val="nil"/>
              <w:tr2bl w:val="nil"/>
            </w:tcBorders>
            <w:noWrap w:val="0"/>
            <w:vAlign w:val="center"/>
          </w:tcPr>
          <w:p w14:paraId="7D8256DC">
            <w:pPr>
              <w:pStyle w:val="26"/>
              <w:bidi w:val="0"/>
              <w:rPr>
                <w:rFonts w:hint="default"/>
                <w:lang w:val="en-US" w:eastAsia="zh-CN"/>
              </w:rPr>
            </w:pPr>
            <w:r>
              <w:rPr>
                <w:rFonts w:hint="default"/>
                <w:lang w:val="en-US" w:eastAsia="zh-CN"/>
              </w:rPr>
              <w:t>辅料</w:t>
            </w:r>
          </w:p>
        </w:tc>
        <w:tc>
          <w:tcPr>
            <w:tcW w:w="2113" w:type="dxa"/>
            <w:tcBorders>
              <w:tl2br w:val="nil"/>
              <w:tr2bl w:val="nil"/>
            </w:tcBorders>
            <w:noWrap w:val="0"/>
            <w:vAlign w:val="center"/>
          </w:tcPr>
          <w:p w14:paraId="162C7019">
            <w:pPr>
              <w:pStyle w:val="26"/>
              <w:bidi w:val="0"/>
              <w:rPr>
                <w:rFonts w:hint="default"/>
                <w:lang w:val="en-US" w:eastAsia="zh-CN"/>
              </w:rPr>
            </w:pPr>
            <w:r>
              <w:rPr>
                <w:rFonts w:hint="default"/>
                <w:lang w:val="en-US" w:eastAsia="zh-CN"/>
              </w:rPr>
              <w:t>CPE塑料增强剂</w:t>
            </w:r>
          </w:p>
        </w:tc>
        <w:tc>
          <w:tcPr>
            <w:tcW w:w="1762" w:type="dxa"/>
            <w:tcBorders>
              <w:tl2br w:val="nil"/>
              <w:tr2bl w:val="nil"/>
            </w:tcBorders>
            <w:noWrap w:val="0"/>
            <w:vAlign w:val="center"/>
          </w:tcPr>
          <w:p w14:paraId="29EF80C8">
            <w:pPr>
              <w:pStyle w:val="26"/>
              <w:bidi w:val="0"/>
              <w:rPr>
                <w:rFonts w:hint="default"/>
                <w:lang w:val="en-US" w:eastAsia="zh-CN"/>
              </w:rPr>
            </w:pPr>
            <w:r>
              <w:rPr>
                <w:rFonts w:hint="default"/>
                <w:lang w:val="en-US" w:eastAsia="zh-CN"/>
              </w:rPr>
              <w:t>190</w:t>
            </w:r>
          </w:p>
        </w:tc>
        <w:tc>
          <w:tcPr>
            <w:tcW w:w="1536" w:type="dxa"/>
            <w:tcBorders>
              <w:tl2br w:val="nil"/>
              <w:tr2bl w:val="nil"/>
            </w:tcBorders>
            <w:noWrap w:val="0"/>
            <w:vAlign w:val="center"/>
          </w:tcPr>
          <w:p w14:paraId="7133DDA5">
            <w:pPr>
              <w:pStyle w:val="26"/>
              <w:bidi w:val="0"/>
              <w:rPr>
                <w:rFonts w:hint="default"/>
                <w:lang w:val="en-US" w:eastAsia="zh-CN"/>
              </w:rPr>
            </w:pPr>
            <w:r>
              <w:rPr>
                <w:rFonts w:hint="default"/>
                <w:lang w:val="en-US" w:eastAsia="zh-CN"/>
              </w:rPr>
              <w:t>粉状</w:t>
            </w:r>
          </w:p>
        </w:tc>
      </w:tr>
      <w:tr w14:paraId="7BD97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56B7E105">
            <w:pPr>
              <w:pStyle w:val="26"/>
              <w:bidi w:val="0"/>
              <w:rPr>
                <w:rFonts w:hint="default"/>
                <w:lang w:val="en-US" w:eastAsia="zh-CN"/>
              </w:rPr>
            </w:pPr>
            <w:r>
              <w:rPr>
                <w:rFonts w:hint="eastAsia"/>
                <w:lang w:val="en-US" w:eastAsia="zh-CN"/>
              </w:rPr>
              <w:t>5</w:t>
            </w:r>
          </w:p>
        </w:tc>
        <w:tc>
          <w:tcPr>
            <w:tcW w:w="509" w:type="dxa"/>
            <w:vMerge w:val="continue"/>
            <w:tcBorders>
              <w:tl2br w:val="nil"/>
              <w:tr2bl w:val="nil"/>
            </w:tcBorders>
            <w:noWrap w:val="0"/>
            <w:vAlign w:val="center"/>
          </w:tcPr>
          <w:p w14:paraId="070623C2">
            <w:pPr>
              <w:pStyle w:val="26"/>
              <w:bidi w:val="0"/>
              <w:rPr>
                <w:rFonts w:hint="default"/>
                <w:lang w:val="en-US" w:eastAsia="zh-CN"/>
              </w:rPr>
            </w:pPr>
          </w:p>
        </w:tc>
        <w:tc>
          <w:tcPr>
            <w:tcW w:w="2113" w:type="dxa"/>
            <w:tcBorders>
              <w:tl2br w:val="nil"/>
              <w:tr2bl w:val="nil"/>
            </w:tcBorders>
            <w:noWrap w:val="0"/>
            <w:vAlign w:val="center"/>
          </w:tcPr>
          <w:p w14:paraId="552EF55B">
            <w:pPr>
              <w:pStyle w:val="26"/>
              <w:bidi w:val="0"/>
              <w:rPr>
                <w:rFonts w:hint="default"/>
                <w:lang w:val="en-US" w:eastAsia="zh-CN"/>
              </w:rPr>
            </w:pPr>
            <w:r>
              <w:rPr>
                <w:rFonts w:hint="default"/>
                <w:lang w:val="en-US" w:eastAsia="zh-CN"/>
              </w:rPr>
              <w:t>硬脂酸</w:t>
            </w:r>
          </w:p>
        </w:tc>
        <w:tc>
          <w:tcPr>
            <w:tcW w:w="1762" w:type="dxa"/>
            <w:tcBorders>
              <w:tl2br w:val="nil"/>
              <w:tr2bl w:val="nil"/>
            </w:tcBorders>
            <w:noWrap w:val="0"/>
            <w:vAlign w:val="center"/>
          </w:tcPr>
          <w:p w14:paraId="208358AB">
            <w:pPr>
              <w:pStyle w:val="26"/>
              <w:bidi w:val="0"/>
              <w:rPr>
                <w:rFonts w:hint="default"/>
                <w:lang w:val="en-US" w:eastAsia="zh-CN"/>
              </w:rPr>
            </w:pPr>
            <w:r>
              <w:rPr>
                <w:rFonts w:hint="default"/>
                <w:lang w:val="en-US" w:eastAsia="zh-CN"/>
              </w:rPr>
              <w:t>722</w:t>
            </w:r>
          </w:p>
        </w:tc>
        <w:tc>
          <w:tcPr>
            <w:tcW w:w="1536" w:type="dxa"/>
            <w:tcBorders>
              <w:tl2br w:val="nil"/>
              <w:tr2bl w:val="nil"/>
            </w:tcBorders>
            <w:noWrap w:val="0"/>
            <w:vAlign w:val="center"/>
          </w:tcPr>
          <w:p w14:paraId="31F7442B">
            <w:pPr>
              <w:pStyle w:val="26"/>
              <w:bidi w:val="0"/>
              <w:rPr>
                <w:rFonts w:hint="default"/>
                <w:lang w:val="en-US" w:eastAsia="zh-CN"/>
              </w:rPr>
            </w:pPr>
            <w:r>
              <w:rPr>
                <w:rFonts w:hint="default"/>
                <w:lang w:val="en-US" w:eastAsia="zh-CN"/>
              </w:rPr>
              <w:t>粉状</w:t>
            </w:r>
          </w:p>
        </w:tc>
      </w:tr>
      <w:tr w14:paraId="2684D0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088A5611">
            <w:pPr>
              <w:pStyle w:val="26"/>
              <w:bidi w:val="0"/>
              <w:rPr>
                <w:rFonts w:hint="default"/>
                <w:lang w:val="en-US" w:eastAsia="zh-CN"/>
              </w:rPr>
            </w:pPr>
            <w:r>
              <w:rPr>
                <w:rFonts w:hint="default"/>
                <w:lang w:val="en-US" w:eastAsia="zh-CN"/>
              </w:rPr>
              <w:t>5</w:t>
            </w:r>
          </w:p>
        </w:tc>
        <w:tc>
          <w:tcPr>
            <w:tcW w:w="509" w:type="dxa"/>
            <w:vMerge w:val="continue"/>
            <w:tcBorders>
              <w:tl2br w:val="nil"/>
              <w:tr2bl w:val="nil"/>
            </w:tcBorders>
            <w:noWrap w:val="0"/>
            <w:vAlign w:val="center"/>
          </w:tcPr>
          <w:p w14:paraId="042F0A07">
            <w:pPr>
              <w:pStyle w:val="26"/>
              <w:bidi w:val="0"/>
              <w:rPr>
                <w:rFonts w:hint="default"/>
                <w:lang w:val="en-US" w:eastAsia="zh-CN"/>
              </w:rPr>
            </w:pPr>
          </w:p>
        </w:tc>
        <w:tc>
          <w:tcPr>
            <w:tcW w:w="2113" w:type="dxa"/>
            <w:tcBorders>
              <w:tl2br w:val="nil"/>
              <w:tr2bl w:val="nil"/>
            </w:tcBorders>
            <w:noWrap w:val="0"/>
            <w:vAlign w:val="center"/>
          </w:tcPr>
          <w:p w14:paraId="5888C9ED">
            <w:pPr>
              <w:pStyle w:val="26"/>
              <w:bidi w:val="0"/>
              <w:rPr>
                <w:rFonts w:hint="default"/>
                <w:lang w:val="en-US" w:eastAsia="zh-CN"/>
              </w:rPr>
            </w:pPr>
            <w:r>
              <w:rPr>
                <w:rFonts w:hint="default"/>
                <w:lang w:val="en-US" w:eastAsia="zh-CN"/>
              </w:rPr>
              <w:t>发泡剂</w:t>
            </w:r>
          </w:p>
        </w:tc>
        <w:tc>
          <w:tcPr>
            <w:tcW w:w="1762" w:type="dxa"/>
            <w:tcBorders>
              <w:tl2br w:val="nil"/>
              <w:tr2bl w:val="nil"/>
            </w:tcBorders>
            <w:noWrap w:val="0"/>
            <w:vAlign w:val="center"/>
          </w:tcPr>
          <w:p w14:paraId="383E3DA6">
            <w:pPr>
              <w:pStyle w:val="26"/>
              <w:bidi w:val="0"/>
              <w:rPr>
                <w:rFonts w:hint="default"/>
                <w:lang w:val="en-US" w:eastAsia="zh-CN"/>
              </w:rPr>
            </w:pPr>
            <w:r>
              <w:rPr>
                <w:rFonts w:hint="default"/>
                <w:lang w:val="en-US" w:eastAsia="zh-CN"/>
              </w:rPr>
              <w:t>190</w:t>
            </w:r>
          </w:p>
        </w:tc>
        <w:tc>
          <w:tcPr>
            <w:tcW w:w="1536" w:type="dxa"/>
            <w:tcBorders>
              <w:tl2br w:val="nil"/>
              <w:tr2bl w:val="nil"/>
            </w:tcBorders>
            <w:noWrap w:val="0"/>
            <w:vAlign w:val="center"/>
          </w:tcPr>
          <w:p w14:paraId="786A0581">
            <w:pPr>
              <w:pStyle w:val="26"/>
              <w:bidi w:val="0"/>
              <w:rPr>
                <w:rFonts w:hint="default"/>
                <w:lang w:val="en-US" w:eastAsia="zh-CN"/>
              </w:rPr>
            </w:pPr>
            <w:r>
              <w:rPr>
                <w:rFonts w:hint="default"/>
                <w:lang w:val="en-US" w:eastAsia="zh-CN"/>
              </w:rPr>
              <w:t>粉状</w:t>
            </w:r>
          </w:p>
        </w:tc>
      </w:tr>
      <w:tr w14:paraId="76514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5C88B0C4">
            <w:pPr>
              <w:pStyle w:val="26"/>
              <w:bidi w:val="0"/>
              <w:rPr>
                <w:rFonts w:hint="default"/>
                <w:lang w:val="en-US" w:eastAsia="zh-CN"/>
              </w:rPr>
            </w:pPr>
            <w:r>
              <w:rPr>
                <w:rFonts w:hint="default"/>
                <w:lang w:val="en-US" w:eastAsia="zh-CN"/>
              </w:rPr>
              <w:t>6</w:t>
            </w:r>
          </w:p>
        </w:tc>
        <w:tc>
          <w:tcPr>
            <w:tcW w:w="509" w:type="dxa"/>
            <w:vMerge w:val="continue"/>
            <w:tcBorders>
              <w:tl2br w:val="nil"/>
              <w:tr2bl w:val="nil"/>
            </w:tcBorders>
            <w:noWrap w:val="0"/>
            <w:vAlign w:val="center"/>
          </w:tcPr>
          <w:p w14:paraId="1A2A97C8">
            <w:pPr>
              <w:pStyle w:val="26"/>
              <w:bidi w:val="0"/>
              <w:rPr>
                <w:rFonts w:hint="default"/>
                <w:lang w:val="en-US" w:eastAsia="zh-CN"/>
              </w:rPr>
            </w:pPr>
          </w:p>
        </w:tc>
        <w:tc>
          <w:tcPr>
            <w:tcW w:w="2113" w:type="dxa"/>
            <w:tcBorders>
              <w:tl2br w:val="nil"/>
              <w:tr2bl w:val="nil"/>
            </w:tcBorders>
            <w:noWrap w:val="0"/>
            <w:vAlign w:val="center"/>
          </w:tcPr>
          <w:p w14:paraId="1843813C">
            <w:pPr>
              <w:pStyle w:val="26"/>
              <w:bidi w:val="0"/>
              <w:rPr>
                <w:rFonts w:hint="default"/>
                <w:lang w:val="en-US" w:eastAsia="zh-CN"/>
              </w:rPr>
            </w:pPr>
            <w:r>
              <w:rPr>
                <w:rFonts w:hint="default"/>
                <w:lang w:val="en-US" w:eastAsia="zh-CN"/>
              </w:rPr>
              <w:t>复合稳定剂</w:t>
            </w:r>
          </w:p>
        </w:tc>
        <w:tc>
          <w:tcPr>
            <w:tcW w:w="1762" w:type="dxa"/>
            <w:tcBorders>
              <w:tl2br w:val="nil"/>
              <w:tr2bl w:val="nil"/>
            </w:tcBorders>
            <w:noWrap w:val="0"/>
            <w:vAlign w:val="center"/>
          </w:tcPr>
          <w:p w14:paraId="22984256">
            <w:pPr>
              <w:pStyle w:val="26"/>
              <w:bidi w:val="0"/>
              <w:rPr>
                <w:rFonts w:hint="default"/>
                <w:lang w:val="en-US" w:eastAsia="zh-CN"/>
              </w:rPr>
            </w:pPr>
            <w:r>
              <w:rPr>
                <w:rFonts w:hint="default"/>
                <w:lang w:val="en-US" w:eastAsia="zh-CN"/>
              </w:rPr>
              <w:t>760</w:t>
            </w:r>
          </w:p>
        </w:tc>
        <w:tc>
          <w:tcPr>
            <w:tcW w:w="1536" w:type="dxa"/>
            <w:tcBorders>
              <w:tl2br w:val="nil"/>
              <w:tr2bl w:val="nil"/>
            </w:tcBorders>
            <w:noWrap w:val="0"/>
            <w:vAlign w:val="center"/>
          </w:tcPr>
          <w:p w14:paraId="413DD8DB">
            <w:pPr>
              <w:pStyle w:val="26"/>
              <w:bidi w:val="0"/>
              <w:rPr>
                <w:rFonts w:hint="default"/>
                <w:lang w:val="en-US" w:eastAsia="zh-CN"/>
              </w:rPr>
            </w:pPr>
            <w:r>
              <w:rPr>
                <w:rFonts w:hint="default"/>
                <w:lang w:val="en-US" w:eastAsia="zh-CN"/>
              </w:rPr>
              <w:t>粉状</w:t>
            </w:r>
          </w:p>
        </w:tc>
      </w:tr>
      <w:tr w14:paraId="0B4850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7BC697AB">
            <w:pPr>
              <w:pStyle w:val="26"/>
              <w:bidi w:val="0"/>
              <w:rPr>
                <w:rFonts w:hint="default"/>
                <w:lang w:val="en-US" w:eastAsia="zh-CN"/>
              </w:rPr>
            </w:pPr>
            <w:r>
              <w:rPr>
                <w:rFonts w:hint="eastAsia"/>
                <w:lang w:val="en-US" w:eastAsia="zh-CN"/>
              </w:rPr>
              <w:t>7</w:t>
            </w:r>
          </w:p>
        </w:tc>
        <w:tc>
          <w:tcPr>
            <w:tcW w:w="509" w:type="dxa"/>
            <w:vMerge w:val="continue"/>
            <w:tcBorders>
              <w:tl2br w:val="nil"/>
              <w:tr2bl w:val="nil"/>
            </w:tcBorders>
            <w:noWrap w:val="0"/>
            <w:vAlign w:val="center"/>
          </w:tcPr>
          <w:p w14:paraId="5E33F7DF">
            <w:pPr>
              <w:pStyle w:val="26"/>
              <w:bidi w:val="0"/>
              <w:rPr>
                <w:rFonts w:hint="default"/>
                <w:lang w:val="en-US" w:eastAsia="zh-CN"/>
              </w:rPr>
            </w:pPr>
          </w:p>
        </w:tc>
        <w:tc>
          <w:tcPr>
            <w:tcW w:w="2113" w:type="dxa"/>
            <w:tcBorders>
              <w:tl2br w:val="nil"/>
              <w:tr2bl w:val="nil"/>
            </w:tcBorders>
            <w:noWrap w:val="0"/>
            <w:vAlign w:val="center"/>
          </w:tcPr>
          <w:p w14:paraId="5B28B3B0">
            <w:pPr>
              <w:pStyle w:val="26"/>
              <w:bidi w:val="0"/>
              <w:rPr>
                <w:rFonts w:hint="default"/>
                <w:lang w:val="en-US" w:eastAsia="zh-CN"/>
              </w:rPr>
            </w:pPr>
            <w:r>
              <w:rPr>
                <w:rFonts w:hint="default"/>
                <w:lang w:val="en-US" w:eastAsia="zh-CN"/>
              </w:rPr>
              <w:t>色母</w:t>
            </w:r>
          </w:p>
        </w:tc>
        <w:tc>
          <w:tcPr>
            <w:tcW w:w="1762" w:type="dxa"/>
            <w:tcBorders>
              <w:tl2br w:val="nil"/>
              <w:tr2bl w:val="nil"/>
            </w:tcBorders>
            <w:noWrap w:val="0"/>
            <w:vAlign w:val="center"/>
          </w:tcPr>
          <w:p w14:paraId="68B75B2C">
            <w:pPr>
              <w:pStyle w:val="26"/>
              <w:bidi w:val="0"/>
              <w:rPr>
                <w:rFonts w:hint="default"/>
                <w:lang w:val="en-US" w:eastAsia="zh-CN"/>
              </w:rPr>
            </w:pPr>
            <w:r>
              <w:rPr>
                <w:rFonts w:hint="eastAsia"/>
                <w:lang w:val="en-US" w:eastAsia="zh-CN"/>
              </w:rPr>
              <w:t>39.68</w:t>
            </w:r>
          </w:p>
        </w:tc>
        <w:tc>
          <w:tcPr>
            <w:tcW w:w="1536" w:type="dxa"/>
            <w:tcBorders>
              <w:tl2br w:val="nil"/>
              <w:tr2bl w:val="nil"/>
            </w:tcBorders>
            <w:noWrap w:val="0"/>
            <w:vAlign w:val="center"/>
          </w:tcPr>
          <w:p w14:paraId="717197B0">
            <w:pPr>
              <w:pStyle w:val="26"/>
              <w:bidi w:val="0"/>
              <w:rPr>
                <w:rFonts w:hint="default"/>
                <w:lang w:val="en-US" w:eastAsia="zh-CN"/>
              </w:rPr>
            </w:pPr>
            <w:r>
              <w:rPr>
                <w:rFonts w:hint="default"/>
                <w:lang w:val="en-US" w:eastAsia="zh-CN"/>
              </w:rPr>
              <w:t>粉状</w:t>
            </w:r>
          </w:p>
        </w:tc>
      </w:tr>
      <w:tr w14:paraId="12427E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56" w:type="dxa"/>
            <w:tcBorders>
              <w:tl2br w:val="nil"/>
              <w:tr2bl w:val="nil"/>
            </w:tcBorders>
            <w:noWrap w:val="0"/>
            <w:vAlign w:val="center"/>
          </w:tcPr>
          <w:p w14:paraId="23594487">
            <w:pPr>
              <w:pStyle w:val="26"/>
              <w:bidi w:val="0"/>
              <w:rPr>
                <w:rFonts w:hint="default"/>
                <w:lang w:val="en-US" w:eastAsia="zh-CN"/>
              </w:rPr>
            </w:pPr>
            <w:r>
              <w:rPr>
                <w:rFonts w:hint="default"/>
                <w:lang w:val="en-US" w:eastAsia="zh-CN"/>
              </w:rPr>
              <w:t>8</w:t>
            </w:r>
          </w:p>
        </w:tc>
        <w:tc>
          <w:tcPr>
            <w:tcW w:w="509" w:type="dxa"/>
            <w:vMerge w:val="continue"/>
            <w:tcBorders>
              <w:tl2br w:val="nil"/>
              <w:tr2bl w:val="nil"/>
            </w:tcBorders>
            <w:noWrap w:val="0"/>
            <w:vAlign w:val="center"/>
          </w:tcPr>
          <w:p w14:paraId="759E233C">
            <w:pPr>
              <w:pStyle w:val="26"/>
              <w:bidi w:val="0"/>
              <w:rPr>
                <w:rFonts w:hint="default"/>
                <w:lang w:val="en-US" w:eastAsia="zh-CN"/>
              </w:rPr>
            </w:pPr>
          </w:p>
        </w:tc>
        <w:tc>
          <w:tcPr>
            <w:tcW w:w="2113" w:type="dxa"/>
            <w:tcBorders>
              <w:tl2br w:val="nil"/>
              <w:tr2bl w:val="nil"/>
            </w:tcBorders>
            <w:noWrap w:val="0"/>
            <w:vAlign w:val="center"/>
          </w:tcPr>
          <w:p w14:paraId="148B3FDC">
            <w:pPr>
              <w:pStyle w:val="26"/>
              <w:bidi w:val="0"/>
              <w:rPr>
                <w:rFonts w:hint="default"/>
                <w:lang w:val="en-US" w:eastAsia="zh-CN"/>
              </w:rPr>
            </w:pPr>
            <w:r>
              <w:rPr>
                <w:rFonts w:hint="default"/>
                <w:lang w:val="en-US" w:eastAsia="zh-CN"/>
              </w:rPr>
              <w:t>PVC膜</w:t>
            </w:r>
          </w:p>
        </w:tc>
        <w:tc>
          <w:tcPr>
            <w:tcW w:w="1762" w:type="dxa"/>
            <w:tcBorders>
              <w:tl2br w:val="nil"/>
              <w:tr2bl w:val="nil"/>
            </w:tcBorders>
            <w:noWrap w:val="0"/>
            <w:vAlign w:val="center"/>
          </w:tcPr>
          <w:p w14:paraId="68BCFD9C">
            <w:pPr>
              <w:pStyle w:val="26"/>
              <w:bidi w:val="0"/>
              <w:rPr>
                <w:rFonts w:hint="default"/>
                <w:lang w:val="en-US" w:eastAsia="zh-CN"/>
              </w:rPr>
            </w:pPr>
            <w:r>
              <w:rPr>
                <w:rFonts w:hint="default"/>
                <w:lang w:val="en-US" w:eastAsia="zh-CN"/>
              </w:rPr>
              <w:t>350</w:t>
            </w:r>
          </w:p>
        </w:tc>
        <w:tc>
          <w:tcPr>
            <w:tcW w:w="1536" w:type="dxa"/>
            <w:tcBorders>
              <w:tl2br w:val="nil"/>
              <w:tr2bl w:val="nil"/>
            </w:tcBorders>
            <w:noWrap w:val="0"/>
            <w:vAlign w:val="center"/>
          </w:tcPr>
          <w:p w14:paraId="4058CC3A">
            <w:pPr>
              <w:pStyle w:val="26"/>
              <w:bidi w:val="0"/>
              <w:rPr>
                <w:rFonts w:hint="default"/>
                <w:lang w:val="en-US" w:eastAsia="zh-CN"/>
              </w:rPr>
            </w:pPr>
            <w:r>
              <w:rPr>
                <w:rFonts w:hint="default"/>
                <w:lang w:val="en-US" w:eastAsia="zh-CN"/>
              </w:rPr>
              <w:t>固体</w:t>
            </w:r>
          </w:p>
        </w:tc>
      </w:tr>
      <w:tr w14:paraId="6062D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149FD122">
            <w:pPr>
              <w:pStyle w:val="26"/>
              <w:bidi w:val="0"/>
              <w:rPr>
                <w:rFonts w:hint="default"/>
                <w:lang w:val="en-US" w:eastAsia="zh-CN"/>
              </w:rPr>
            </w:pPr>
            <w:r>
              <w:rPr>
                <w:rFonts w:hint="default"/>
                <w:lang w:val="en-US" w:eastAsia="zh-CN"/>
              </w:rPr>
              <w:t>9</w:t>
            </w:r>
          </w:p>
        </w:tc>
        <w:tc>
          <w:tcPr>
            <w:tcW w:w="509" w:type="dxa"/>
            <w:vMerge w:val="continue"/>
            <w:tcBorders>
              <w:tl2br w:val="nil"/>
              <w:tr2bl w:val="nil"/>
            </w:tcBorders>
            <w:noWrap w:val="0"/>
            <w:vAlign w:val="center"/>
          </w:tcPr>
          <w:p w14:paraId="384C1FD4">
            <w:pPr>
              <w:pStyle w:val="26"/>
              <w:bidi w:val="0"/>
              <w:rPr>
                <w:rFonts w:hint="default"/>
                <w:lang w:val="en-US" w:eastAsia="zh-CN"/>
              </w:rPr>
            </w:pPr>
          </w:p>
        </w:tc>
        <w:tc>
          <w:tcPr>
            <w:tcW w:w="2113" w:type="dxa"/>
            <w:tcBorders>
              <w:tl2br w:val="nil"/>
              <w:tr2bl w:val="nil"/>
            </w:tcBorders>
            <w:noWrap w:val="0"/>
            <w:vAlign w:val="center"/>
          </w:tcPr>
          <w:p w14:paraId="2D7E98BB">
            <w:pPr>
              <w:pStyle w:val="26"/>
              <w:bidi w:val="0"/>
              <w:rPr>
                <w:rFonts w:hint="default"/>
                <w:lang w:val="en-US" w:eastAsia="zh-CN"/>
              </w:rPr>
            </w:pPr>
            <w:r>
              <w:rPr>
                <w:rFonts w:hint="default"/>
                <w:lang w:val="en-US" w:eastAsia="zh-CN"/>
              </w:rPr>
              <w:t>白乳胶</w:t>
            </w:r>
          </w:p>
        </w:tc>
        <w:tc>
          <w:tcPr>
            <w:tcW w:w="1762" w:type="dxa"/>
            <w:tcBorders>
              <w:tl2br w:val="nil"/>
              <w:tr2bl w:val="nil"/>
            </w:tcBorders>
            <w:noWrap w:val="0"/>
            <w:vAlign w:val="center"/>
          </w:tcPr>
          <w:p w14:paraId="340DC0AE">
            <w:pPr>
              <w:pStyle w:val="26"/>
              <w:bidi w:val="0"/>
              <w:rPr>
                <w:rFonts w:hint="default"/>
                <w:lang w:val="en-US" w:eastAsia="zh-CN"/>
              </w:rPr>
            </w:pPr>
            <w:r>
              <w:rPr>
                <w:rFonts w:hint="default"/>
                <w:lang w:val="en-US" w:eastAsia="zh-CN"/>
              </w:rPr>
              <w:t>38</w:t>
            </w:r>
          </w:p>
        </w:tc>
        <w:tc>
          <w:tcPr>
            <w:tcW w:w="1536" w:type="dxa"/>
            <w:tcBorders>
              <w:tl2br w:val="nil"/>
              <w:tr2bl w:val="nil"/>
            </w:tcBorders>
            <w:noWrap w:val="0"/>
            <w:vAlign w:val="center"/>
          </w:tcPr>
          <w:p w14:paraId="1C48197F">
            <w:pPr>
              <w:pStyle w:val="26"/>
              <w:bidi w:val="0"/>
              <w:rPr>
                <w:rFonts w:hint="default"/>
                <w:lang w:val="en-US" w:eastAsia="zh-CN"/>
              </w:rPr>
            </w:pPr>
            <w:r>
              <w:rPr>
                <w:rFonts w:hint="default"/>
                <w:lang w:val="en-US" w:eastAsia="zh-CN"/>
              </w:rPr>
              <w:t>液体</w:t>
            </w:r>
          </w:p>
        </w:tc>
      </w:tr>
      <w:tr w14:paraId="4BA7F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0183EC2F">
            <w:pPr>
              <w:pStyle w:val="26"/>
              <w:bidi w:val="0"/>
              <w:rPr>
                <w:rFonts w:hint="default"/>
                <w:lang w:val="en-US" w:eastAsia="zh-CN"/>
              </w:rPr>
            </w:pPr>
            <w:r>
              <w:rPr>
                <w:rFonts w:hint="default"/>
                <w:lang w:val="en-US" w:eastAsia="zh-CN"/>
              </w:rPr>
              <w:t>10</w:t>
            </w:r>
          </w:p>
        </w:tc>
        <w:tc>
          <w:tcPr>
            <w:tcW w:w="509" w:type="dxa"/>
            <w:vMerge w:val="restart"/>
            <w:tcBorders>
              <w:tl2br w:val="nil"/>
              <w:tr2bl w:val="nil"/>
            </w:tcBorders>
            <w:noWrap w:val="0"/>
            <w:vAlign w:val="center"/>
          </w:tcPr>
          <w:p w14:paraId="1F17A3B1">
            <w:pPr>
              <w:pStyle w:val="26"/>
              <w:bidi w:val="0"/>
              <w:rPr>
                <w:rFonts w:hint="default"/>
                <w:lang w:val="en-US" w:eastAsia="zh-CN"/>
              </w:rPr>
            </w:pPr>
            <w:r>
              <w:rPr>
                <w:rFonts w:hint="default"/>
                <w:lang w:val="en-US" w:eastAsia="zh-CN"/>
              </w:rPr>
              <w:t>能源</w:t>
            </w:r>
          </w:p>
        </w:tc>
        <w:tc>
          <w:tcPr>
            <w:tcW w:w="2113" w:type="dxa"/>
            <w:tcBorders>
              <w:tl2br w:val="nil"/>
              <w:tr2bl w:val="nil"/>
            </w:tcBorders>
            <w:noWrap w:val="0"/>
            <w:vAlign w:val="center"/>
          </w:tcPr>
          <w:p w14:paraId="439409C4">
            <w:pPr>
              <w:pStyle w:val="26"/>
              <w:bidi w:val="0"/>
              <w:rPr>
                <w:rFonts w:hint="default"/>
                <w:lang w:val="en-US" w:eastAsia="zh-CN"/>
              </w:rPr>
            </w:pPr>
            <w:r>
              <w:rPr>
                <w:rFonts w:hint="default"/>
                <w:lang w:val="en-US" w:eastAsia="zh-CN"/>
              </w:rPr>
              <w:t>水</w:t>
            </w:r>
          </w:p>
        </w:tc>
        <w:tc>
          <w:tcPr>
            <w:tcW w:w="1762" w:type="dxa"/>
            <w:tcBorders>
              <w:tl2br w:val="nil"/>
              <w:tr2bl w:val="nil"/>
            </w:tcBorders>
            <w:noWrap w:val="0"/>
            <w:vAlign w:val="center"/>
          </w:tcPr>
          <w:p w14:paraId="77B7C7C3">
            <w:pPr>
              <w:pStyle w:val="26"/>
              <w:bidi w:val="0"/>
              <w:rPr>
                <w:rFonts w:hint="default"/>
                <w:lang w:val="en-US" w:eastAsia="zh-CN"/>
              </w:rPr>
            </w:pPr>
            <w:r>
              <w:rPr>
                <w:rFonts w:hint="eastAsia"/>
                <w:lang w:val="en-US" w:eastAsia="zh-CN"/>
              </w:rPr>
              <w:t>3375</w:t>
            </w:r>
          </w:p>
        </w:tc>
        <w:tc>
          <w:tcPr>
            <w:tcW w:w="1536" w:type="dxa"/>
            <w:tcBorders>
              <w:tl2br w:val="nil"/>
              <w:tr2bl w:val="nil"/>
            </w:tcBorders>
            <w:noWrap w:val="0"/>
            <w:vAlign w:val="center"/>
          </w:tcPr>
          <w:p w14:paraId="381DEAB2">
            <w:pPr>
              <w:pStyle w:val="26"/>
              <w:bidi w:val="0"/>
              <w:rPr>
                <w:rFonts w:hint="default"/>
                <w:lang w:val="en-US" w:eastAsia="zh-CN"/>
              </w:rPr>
            </w:pPr>
            <w:r>
              <w:rPr>
                <w:rFonts w:hint="default"/>
                <w:lang w:val="en-US" w:eastAsia="zh-CN"/>
              </w:rPr>
              <w:t>/</w:t>
            </w:r>
          </w:p>
        </w:tc>
      </w:tr>
      <w:tr w14:paraId="01DB4E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7E627DF3">
            <w:pPr>
              <w:pStyle w:val="26"/>
              <w:bidi w:val="0"/>
              <w:rPr>
                <w:rFonts w:hint="default"/>
                <w:lang w:val="en-US" w:eastAsia="zh-CN"/>
              </w:rPr>
            </w:pPr>
            <w:r>
              <w:rPr>
                <w:rFonts w:hint="default"/>
                <w:lang w:val="en-US" w:eastAsia="zh-CN"/>
              </w:rPr>
              <w:t>11</w:t>
            </w:r>
          </w:p>
        </w:tc>
        <w:tc>
          <w:tcPr>
            <w:tcW w:w="509" w:type="dxa"/>
            <w:vMerge w:val="continue"/>
            <w:tcBorders>
              <w:tl2br w:val="nil"/>
              <w:tr2bl w:val="nil"/>
            </w:tcBorders>
            <w:noWrap w:val="0"/>
            <w:vAlign w:val="center"/>
          </w:tcPr>
          <w:p w14:paraId="207B214E">
            <w:pPr>
              <w:pStyle w:val="26"/>
              <w:bidi w:val="0"/>
              <w:rPr>
                <w:rFonts w:hint="default"/>
                <w:lang w:val="en-US" w:eastAsia="zh-CN"/>
              </w:rPr>
            </w:pPr>
          </w:p>
        </w:tc>
        <w:tc>
          <w:tcPr>
            <w:tcW w:w="2113" w:type="dxa"/>
            <w:tcBorders>
              <w:tl2br w:val="nil"/>
              <w:tr2bl w:val="nil"/>
            </w:tcBorders>
            <w:noWrap w:val="0"/>
            <w:vAlign w:val="center"/>
          </w:tcPr>
          <w:p w14:paraId="6A71419A">
            <w:pPr>
              <w:pStyle w:val="26"/>
              <w:bidi w:val="0"/>
              <w:rPr>
                <w:rFonts w:hint="default"/>
                <w:lang w:val="en-US" w:eastAsia="zh-CN"/>
              </w:rPr>
            </w:pPr>
            <w:r>
              <w:rPr>
                <w:rFonts w:hint="default"/>
                <w:lang w:val="en-US" w:eastAsia="zh-CN"/>
              </w:rPr>
              <w:t>电</w:t>
            </w:r>
          </w:p>
        </w:tc>
        <w:tc>
          <w:tcPr>
            <w:tcW w:w="1762" w:type="dxa"/>
            <w:tcBorders>
              <w:tl2br w:val="nil"/>
              <w:tr2bl w:val="nil"/>
            </w:tcBorders>
            <w:noWrap w:val="0"/>
            <w:vAlign w:val="center"/>
          </w:tcPr>
          <w:p w14:paraId="1C34438C">
            <w:pPr>
              <w:pStyle w:val="26"/>
              <w:bidi w:val="0"/>
              <w:rPr>
                <w:rFonts w:hint="default"/>
                <w:lang w:val="en-US" w:eastAsia="zh-CN"/>
              </w:rPr>
            </w:pPr>
            <w:r>
              <w:rPr>
                <w:rFonts w:hint="eastAsia"/>
                <w:lang w:val="en-US" w:eastAsia="zh-CN"/>
              </w:rPr>
              <w:t>160万</w:t>
            </w:r>
            <w:r>
              <w:rPr>
                <w:rFonts w:hint="default"/>
                <w:lang w:val="en-US" w:eastAsia="zh-CN"/>
              </w:rPr>
              <w:t>度/a</w:t>
            </w:r>
          </w:p>
        </w:tc>
        <w:tc>
          <w:tcPr>
            <w:tcW w:w="1536" w:type="dxa"/>
            <w:tcBorders>
              <w:tl2br w:val="nil"/>
              <w:tr2bl w:val="nil"/>
            </w:tcBorders>
            <w:noWrap w:val="0"/>
            <w:vAlign w:val="center"/>
          </w:tcPr>
          <w:p w14:paraId="7E1B5A32">
            <w:pPr>
              <w:pStyle w:val="26"/>
              <w:bidi w:val="0"/>
              <w:rPr>
                <w:rFonts w:hint="default"/>
                <w:lang w:val="en-US" w:eastAsia="zh-CN"/>
              </w:rPr>
            </w:pPr>
            <w:r>
              <w:rPr>
                <w:rFonts w:hint="default"/>
                <w:lang w:val="en-US" w:eastAsia="zh-CN"/>
              </w:rPr>
              <w:t>/</w:t>
            </w:r>
          </w:p>
        </w:tc>
      </w:tr>
      <w:tr w14:paraId="5CECDB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tcBorders>
              <w:tl2br w:val="nil"/>
              <w:tr2bl w:val="nil"/>
            </w:tcBorders>
            <w:noWrap w:val="0"/>
            <w:vAlign w:val="center"/>
          </w:tcPr>
          <w:p w14:paraId="62654717">
            <w:pPr>
              <w:pStyle w:val="26"/>
              <w:bidi w:val="0"/>
              <w:rPr>
                <w:rFonts w:hint="default"/>
                <w:lang w:val="en-US" w:eastAsia="zh-CN"/>
              </w:rPr>
            </w:pPr>
            <w:r>
              <w:rPr>
                <w:rFonts w:hint="default"/>
                <w:lang w:val="en-US" w:eastAsia="zh-CN"/>
              </w:rPr>
              <w:t>12</w:t>
            </w:r>
          </w:p>
        </w:tc>
        <w:tc>
          <w:tcPr>
            <w:tcW w:w="509" w:type="dxa"/>
            <w:tcBorders>
              <w:tl2br w:val="nil"/>
              <w:tr2bl w:val="nil"/>
            </w:tcBorders>
            <w:noWrap w:val="0"/>
            <w:vAlign w:val="center"/>
          </w:tcPr>
          <w:p w14:paraId="1486F4BE">
            <w:pPr>
              <w:pStyle w:val="26"/>
              <w:bidi w:val="0"/>
              <w:rPr>
                <w:rFonts w:hint="default"/>
                <w:lang w:val="en-US" w:eastAsia="zh-CN"/>
              </w:rPr>
            </w:pPr>
            <w:r>
              <w:rPr>
                <w:rFonts w:hint="default"/>
                <w:lang w:val="en-US" w:eastAsia="zh-CN"/>
              </w:rPr>
              <w:t>耗材</w:t>
            </w:r>
          </w:p>
        </w:tc>
        <w:tc>
          <w:tcPr>
            <w:tcW w:w="2113" w:type="dxa"/>
            <w:tcBorders>
              <w:tl2br w:val="nil"/>
              <w:tr2bl w:val="nil"/>
            </w:tcBorders>
            <w:noWrap w:val="0"/>
            <w:vAlign w:val="center"/>
          </w:tcPr>
          <w:p w14:paraId="6945C290">
            <w:pPr>
              <w:pStyle w:val="26"/>
              <w:bidi w:val="0"/>
              <w:rPr>
                <w:rFonts w:hint="default"/>
                <w:lang w:val="en-US" w:eastAsia="zh-CN"/>
              </w:rPr>
            </w:pPr>
            <w:r>
              <w:rPr>
                <w:rFonts w:hint="default"/>
                <w:lang w:val="en-US" w:eastAsia="zh-CN"/>
              </w:rPr>
              <w:t>活性炭</w:t>
            </w:r>
          </w:p>
        </w:tc>
        <w:tc>
          <w:tcPr>
            <w:tcW w:w="1762" w:type="dxa"/>
            <w:tcBorders>
              <w:tl2br w:val="nil"/>
              <w:tr2bl w:val="nil"/>
            </w:tcBorders>
            <w:noWrap w:val="0"/>
            <w:vAlign w:val="center"/>
          </w:tcPr>
          <w:p w14:paraId="79DF811E">
            <w:pPr>
              <w:pStyle w:val="26"/>
              <w:bidi w:val="0"/>
              <w:rPr>
                <w:rFonts w:hint="default"/>
                <w:lang w:val="en-US" w:eastAsia="zh-CN"/>
              </w:rPr>
            </w:pPr>
            <w:r>
              <w:rPr>
                <w:rFonts w:hint="eastAsia"/>
                <w:lang w:val="en-US" w:eastAsia="zh-CN"/>
              </w:rPr>
              <w:t>4.8</w:t>
            </w:r>
          </w:p>
        </w:tc>
        <w:tc>
          <w:tcPr>
            <w:tcW w:w="1536" w:type="dxa"/>
            <w:tcBorders>
              <w:tl2br w:val="nil"/>
              <w:tr2bl w:val="nil"/>
            </w:tcBorders>
            <w:noWrap w:val="0"/>
            <w:vAlign w:val="center"/>
          </w:tcPr>
          <w:p w14:paraId="267264CB">
            <w:pPr>
              <w:pStyle w:val="26"/>
              <w:bidi w:val="0"/>
              <w:rPr>
                <w:rFonts w:hint="default"/>
                <w:lang w:val="en-US" w:eastAsia="zh-CN"/>
              </w:rPr>
            </w:pPr>
            <w:r>
              <w:rPr>
                <w:rFonts w:hint="default"/>
                <w:lang w:val="en-US" w:eastAsia="zh-CN"/>
              </w:rPr>
              <w:t>固体</w:t>
            </w:r>
          </w:p>
        </w:tc>
      </w:tr>
    </w:tbl>
    <w:p w14:paraId="6228B25A">
      <w:pPr>
        <w:pStyle w:val="4"/>
        <w:bidi w:val="0"/>
        <w:rPr>
          <w:rFonts w:hint="default"/>
          <w:color w:val="auto"/>
          <w:u w:val="none" w:color="auto"/>
          <w:lang w:val="en-US" w:eastAsia="zh-CN"/>
        </w:rPr>
      </w:pPr>
      <w:bookmarkStart w:id="578" w:name="_Toc4816"/>
      <w:r>
        <w:rPr>
          <w:rFonts w:hint="eastAsia"/>
          <w:color w:val="auto"/>
          <w:u w:val="none" w:color="auto"/>
          <w:lang w:val="en-US" w:eastAsia="zh-CN"/>
        </w:rPr>
        <w:t>3.1.5迁建前项目主要生产设备</w:t>
      </w:r>
      <w:bookmarkEnd w:id="578"/>
    </w:p>
    <w:p w14:paraId="2FF8736E">
      <w:pPr>
        <w:pStyle w:val="20"/>
        <w:bidi w:val="0"/>
        <w:rPr>
          <w:rFonts w:hint="default"/>
          <w:color w:val="auto"/>
          <w:u w:val="none" w:color="auto"/>
          <w:lang w:val="en-US" w:eastAsia="zh-CN"/>
        </w:rPr>
      </w:pPr>
      <w:r>
        <w:rPr>
          <w:rFonts w:hint="eastAsia"/>
          <w:color w:val="auto"/>
          <w:u w:val="none" w:color="auto"/>
          <w:lang w:val="en-US" w:eastAsia="zh-CN"/>
        </w:rPr>
        <w:t>迁建前主要生产设备见下表。</w:t>
      </w:r>
    </w:p>
    <w:p w14:paraId="7A992FE1">
      <w:pPr>
        <w:pStyle w:val="22"/>
        <w:bidi w:val="0"/>
        <w:rPr>
          <w:rFonts w:hint="eastAsia"/>
          <w:color w:val="auto"/>
          <w:u w:val="none" w:color="auto"/>
          <w:lang w:val="en-US" w:eastAsia="zh-CN"/>
        </w:rPr>
      </w:pPr>
      <w:r>
        <w:rPr>
          <w:rFonts w:hint="eastAsia"/>
          <w:color w:val="auto"/>
          <w:u w:val="none" w:color="auto"/>
          <w:lang w:val="en-US" w:eastAsia="zh-CN"/>
        </w:rPr>
        <w:t>表3.1-5 迁建前主要生产设备一览表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70"/>
        <w:gridCol w:w="3037"/>
        <w:gridCol w:w="2491"/>
        <w:gridCol w:w="2024"/>
      </w:tblGrid>
      <w:tr w14:paraId="64562B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9" w:type="pct"/>
            <w:tcBorders>
              <w:tl2br w:val="nil"/>
              <w:tr2bl w:val="nil"/>
            </w:tcBorders>
            <w:noWrap w:val="0"/>
            <w:vAlign w:val="center"/>
          </w:tcPr>
          <w:p w14:paraId="582E2588">
            <w:pPr>
              <w:pStyle w:val="26"/>
              <w:bidi w:val="0"/>
            </w:pPr>
            <w:r>
              <w:t>序号</w:t>
            </w:r>
          </w:p>
        </w:tc>
        <w:tc>
          <w:tcPr>
            <w:tcW w:w="1781" w:type="pct"/>
            <w:tcBorders>
              <w:tl2br w:val="nil"/>
              <w:tr2bl w:val="nil"/>
            </w:tcBorders>
            <w:noWrap w:val="0"/>
            <w:vAlign w:val="center"/>
          </w:tcPr>
          <w:p w14:paraId="78BFA7DC">
            <w:pPr>
              <w:pStyle w:val="26"/>
              <w:bidi w:val="0"/>
            </w:pPr>
            <w:r>
              <w:t>设备名称</w:t>
            </w:r>
          </w:p>
        </w:tc>
        <w:tc>
          <w:tcPr>
            <w:tcW w:w="1461" w:type="pct"/>
            <w:tcBorders>
              <w:tl2br w:val="nil"/>
              <w:tr2bl w:val="nil"/>
            </w:tcBorders>
            <w:noWrap w:val="0"/>
            <w:vAlign w:val="center"/>
          </w:tcPr>
          <w:p w14:paraId="2DAFA59B">
            <w:pPr>
              <w:pStyle w:val="26"/>
              <w:bidi w:val="0"/>
            </w:pPr>
            <w:r>
              <w:t>规格（型号）</w:t>
            </w:r>
          </w:p>
        </w:tc>
        <w:tc>
          <w:tcPr>
            <w:tcW w:w="1187" w:type="pct"/>
            <w:tcBorders>
              <w:tl2br w:val="nil"/>
              <w:tr2bl w:val="nil"/>
            </w:tcBorders>
            <w:noWrap w:val="0"/>
            <w:vAlign w:val="center"/>
          </w:tcPr>
          <w:p w14:paraId="6330436E">
            <w:pPr>
              <w:pStyle w:val="26"/>
              <w:bidi w:val="0"/>
            </w:pPr>
            <w:r>
              <w:t>数量（台）</w:t>
            </w:r>
          </w:p>
        </w:tc>
      </w:tr>
      <w:tr w14:paraId="5527F0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9" w:type="pct"/>
            <w:tcBorders>
              <w:tl2br w:val="nil"/>
              <w:tr2bl w:val="nil"/>
            </w:tcBorders>
            <w:noWrap w:val="0"/>
            <w:vAlign w:val="center"/>
          </w:tcPr>
          <w:p w14:paraId="51604A7E">
            <w:pPr>
              <w:pStyle w:val="26"/>
              <w:bidi w:val="0"/>
            </w:pPr>
            <w:r>
              <w:rPr>
                <w:rFonts w:hint="default"/>
                <w:lang w:val="en-US" w:eastAsia="zh-CN"/>
              </w:rPr>
              <w:t>1</w:t>
            </w:r>
          </w:p>
        </w:tc>
        <w:tc>
          <w:tcPr>
            <w:tcW w:w="1781" w:type="pct"/>
            <w:tcBorders>
              <w:tl2br w:val="nil"/>
              <w:tr2bl w:val="nil"/>
            </w:tcBorders>
            <w:noWrap w:val="0"/>
            <w:vAlign w:val="center"/>
          </w:tcPr>
          <w:p w14:paraId="3C08023B">
            <w:pPr>
              <w:pStyle w:val="26"/>
              <w:bidi w:val="0"/>
            </w:pPr>
            <w:r>
              <w:rPr>
                <w:rFonts w:hint="default"/>
                <w:lang w:val="en-US" w:eastAsia="zh-CN"/>
              </w:rPr>
              <w:t>搅拌机</w:t>
            </w:r>
          </w:p>
        </w:tc>
        <w:tc>
          <w:tcPr>
            <w:tcW w:w="1461" w:type="pct"/>
            <w:tcBorders>
              <w:tl2br w:val="nil"/>
              <w:tr2bl w:val="nil"/>
            </w:tcBorders>
            <w:noWrap w:val="0"/>
            <w:vAlign w:val="center"/>
          </w:tcPr>
          <w:p w14:paraId="67DFEBAF">
            <w:pPr>
              <w:pStyle w:val="26"/>
              <w:bidi w:val="0"/>
            </w:pPr>
            <w:r>
              <w:rPr>
                <w:rFonts w:hint="default"/>
                <w:lang w:val="en-US" w:eastAsia="zh-CN"/>
              </w:rPr>
              <w:t>500-1000</w:t>
            </w:r>
          </w:p>
        </w:tc>
        <w:tc>
          <w:tcPr>
            <w:tcW w:w="1187" w:type="pct"/>
            <w:tcBorders>
              <w:tl2br w:val="nil"/>
              <w:tr2bl w:val="nil"/>
            </w:tcBorders>
            <w:noWrap w:val="0"/>
            <w:vAlign w:val="center"/>
          </w:tcPr>
          <w:p w14:paraId="495C3F70">
            <w:pPr>
              <w:pStyle w:val="26"/>
              <w:bidi w:val="0"/>
            </w:pPr>
            <w:r>
              <w:rPr>
                <w:rFonts w:hint="default"/>
                <w:lang w:val="en-US" w:eastAsia="zh-CN"/>
              </w:rPr>
              <w:t>6</w:t>
            </w:r>
          </w:p>
        </w:tc>
      </w:tr>
      <w:tr w14:paraId="2E5C9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9" w:type="pct"/>
            <w:tcBorders>
              <w:tl2br w:val="nil"/>
              <w:tr2bl w:val="nil"/>
            </w:tcBorders>
            <w:noWrap w:val="0"/>
            <w:vAlign w:val="center"/>
          </w:tcPr>
          <w:p w14:paraId="33B1D11B">
            <w:pPr>
              <w:pStyle w:val="26"/>
              <w:bidi w:val="0"/>
            </w:pPr>
            <w:r>
              <w:rPr>
                <w:rFonts w:hint="eastAsia"/>
                <w:lang w:val="en-US" w:eastAsia="zh-CN"/>
              </w:rPr>
              <w:t>2</w:t>
            </w:r>
          </w:p>
        </w:tc>
        <w:tc>
          <w:tcPr>
            <w:tcW w:w="1781" w:type="pct"/>
            <w:tcBorders>
              <w:tl2br w:val="nil"/>
              <w:tr2bl w:val="nil"/>
            </w:tcBorders>
            <w:noWrap w:val="0"/>
            <w:vAlign w:val="center"/>
          </w:tcPr>
          <w:p w14:paraId="30404388">
            <w:pPr>
              <w:pStyle w:val="26"/>
              <w:bidi w:val="0"/>
            </w:pPr>
            <w:r>
              <w:rPr>
                <w:rFonts w:hint="default"/>
                <w:lang w:val="en-US" w:eastAsia="zh-CN"/>
              </w:rPr>
              <w:t>挤出机</w:t>
            </w:r>
          </w:p>
        </w:tc>
        <w:tc>
          <w:tcPr>
            <w:tcW w:w="1461" w:type="pct"/>
            <w:tcBorders>
              <w:tl2br w:val="nil"/>
              <w:tr2bl w:val="nil"/>
            </w:tcBorders>
            <w:noWrap w:val="0"/>
            <w:vAlign w:val="center"/>
          </w:tcPr>
          <w:p w14:paraId="5D47C4BD">
            <w:pPr>
              <w:pStyle w:val="26"/>
              <w:bidi w:val="0"/>
            </w:pPr>
            <w:r>
              <w:rPr>
                <w:rFonts w:hint="default"/>
                <w:lang w:val="en-US" w:eastAsia="zh-CN"/>
              </w:rPr>
              <w:t>SJZ65/132</w:t>
            </w:r>
          </w:p>
        </w:tc>
        <w:tc>
          <w:tcPr>
            <w:tcW w:w="1187" w:type="pct"/>
            <w:tcBorders>
              <w:tl2br w:val="nil"/>
              <w:tr2bl w:val="nil"/>
            </w:tcBorders>
            <w:noWrap w:val="0"/>
            <w:vAlign w:val="center"/>
          </w:tcPr>
          <w:p w14:paraId="42950E40">
            <w:pPr>
              <w:pStyle w:val="26"/>
              <w:bidi w:val="0"/>
            </w:pPr>
            <w:r>
              <w:rPr>
                <w:rFonts w:hint="default"/>
                <w:lang w:val="en-US" w:eastAsia="zh-CN"/>
              </w:rPr>
              <w:t>20</w:t>
            </w:r>
          </w:p>
        </w:tc>
      </w:tr>
      <w:tr w14:paraId="2A8768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7" w:hRule="atLeast"/>
          <w:tblHeader/>
          <w:jc w:val="center"/>
        </w:trPr>
        <w:tc>
          <w:tcPr>
            <w:tcW w:w="569" w:type="pct"/>
            <w:tcBorders>
              <w:tl2br w:val="nil"/>
              <w:tr2bl w:val="nil"/>
            </w:tcBorders>
            <w:noWrap w:val="0"/>
            <w:vAlign w:val="center"/>
          </w:tcPr>
          <w:p w14:paraId="416564F2">
            <w:pPr>
              <w:pStyle w:val="26"/>
              <w:bidi w:val="0"/>
            </w:pPr>
            <w:r>
              <w:rPr>
                <w:rFonts w:hint="default"/>
                <w:lang w:val="en-US" w:eastAsia="zh-CN"/>
              </w:rPr>
              <w:t>3</w:t>
            </w:r>
          </w:p>
        </w:tc>
        <w:tc>
          <w:tcPr>
            <w:tcW w:w="1781" w:type="pct"/>
            <w:tcBorders>
              <w:tl2br w:val="nil"/>
              <w:tr2bl w:val="nil"/>
            </w:tcBorders>
            <w:noWrap w:val="0"/>
            <w:vAlign w:val="center"/>
          </w:tcPr>
          <w:p w14:paraId="622C6FFF">
            <w:pPr>
              <w:pStyle w:val="26"/>
              <w:bidi w:val="0"/>
            </w:pPr>
            <w:r>
              <w:rPr>
                <w:rFonts w:hint="default"/>
                <w:lang w:val="en-US" w:eastAsia="zh-CN"/>
              </w:rPr>
              <w:t>磨粉机</w:t>
            </w:r>
          </w:p>
        </w:tc>
        <w:tc>
          <w:tcPr>
            <w:tcW w:w="1461" w:type="pct"/>
            <w:tcBorders>
              <w:tl2br w:val="nil"/>
              <w:tr2bl w:val="nil"/>
            </w:tcBorders>
            <w:noWrap w:val="0"/>
            <w:vAlign w:val="center"/>
          </w:tcPr>
          <w:p w14:paraId="519D97B3">
            <w:pPr>
              <w:pStyle w:val="26"/>
              <w:bidi w:val="0"/>
            </w:pPr>
            <w:r>
              <w:rPr>
                <w:rFonts w:hint="default"/>
                <w:lang w:val="en-US" w:eastAsia="zh-CN"/>
              </w:rPr>
              <w:t>SHX1000</w:t>
            </w:r>
          </w:p>
        </w:tc>
        <w:tc>
          <w:tcPr>
            <w:tcW w:w="1187" w:type="pct"/>
            <w:tcBorders>
              <w:tl2br w:val="nil"/>
              <w:tr2bl w:val="nil"/>
            </w:tcBorders>
            <w:noWrap w:val="0"/>
            <w:vAlign w:val="center"/>
          </w:tcPr>
          <w:p w14:paraId="33078320">
            <w:pPr>
              <w:pStyle w:val="26"/>
              <w:bidi w:val="0"/>
            </w:pPr>
            <w:r>
              <w:rPr>
                <w:rFonts w:hint="default"/>
                <w:lang w:val="en-US" w:eastAsia="zh-CN"/>
              </w:rPr>
              <w:t>6</w:t>
            </w:r>
          </w:p>
        </w:tc>
      </w:tr>
      <w:tr w14:paraId="279FC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9" w:type="pct"/>
            <w:tcBorders>
              <w:tl2br w:val="nil"/>
              <w:tr2bl w:val="nil"/>
            </w:tcBorders>
            <w:noWrap w:val="0"/>
            <w:vAlign w:val="center"/>
          </w:tcPr>
          <w:p w14:paraId="078C0893">
            <w:pPr>
              <w:pStyle w:val="26"/>
              <w:bidi w:val="0"/>
            </w:pPr>
            <w:r>
              <w:rPr>
                <w:rFonts w:hint="default"/>
                <w:lang w:val="en-US" w:eastAsia="zh-CN"/>
              </w:rPr>
              <w:t>4</w:t>
            </w:r>
          </w:p>
        </w:tc>
        <w:tc>
          <w:tcPr>
            <w:tcW w:w="1781" w:type="pct"/>
            <w:tcBorders>
              <w:tl2br w:val="nil"/>
              <w:tr2bl w:val="nil"/>
            </w:tcBorders>
            <w:noWrap w:val="0"/>
            <w:vAlign w:val="center"/>
          </w:tcPr>
          <w:p w14:paraId="1B1100BD">
            <w:pPr>
              <w:pStyle w:val="26"/>
              <w:bidi w:val="0"/>
            </w:pPr>
            <w:r>
              <w:rPr>
                <w:rFonts w:hint="default"/>
                <w:lang w:eastAsia="zh-CN"/>
              </w:rPr>
              <w:t>自动裁切机</w:t>
            </w:r>
          </w:p>
        </w:tc>
        <w:tc>
          <w:tcPr>
            <w:tcW w:w="1461" w:type="pct"/>
            <w:tcBorders>
              <w:tl2br w:val="nil"/>
              <w:tr2bl w:val="nil"/>
            </w:tcBorders>
            <w:noWrap w:val="0"/>
            <w:vAlign w:val="center"/>
          </w:tcPr>
          <w:p w14:paraId="402AD1F0">
            <w:pPr>
              <w:pStyle w:val="26"/>
              <w:bidi w:val="0"/>
            </w:pPr>
            <w:r>
              <w:rPr>
                <w:rFonts w:hint="default"/>
                <w:lang w:val="en-US" w:eastAsia="zh-CN"/>
              </w:rPr>
              <w:t>FMT/300</w:t>
            </w:r>
          </w:p>
        </w:tc>
        <w:tc>
          <w:tcPr>
            <w:tcW w:w="1187" w:type="pct"/>
            <w:tcBorders>
              <w:tl2br w:val="nil"/>
              <w:tr2bl w:val="nil"/>
            </w:tcBorders>
            <w:noWrap w:val="0"/>
            <w:vAlign w:val="center"/>
          </w:tcPr>
          <w:p w14:paraId="44E67A97">
            <w:pPr>
              <w:pStyle w:val="26"/>
              <w:bidi w:val="0"/>
            </w:pPr>
            <w:r>
              <w:rPr>
                <w:rFonts w:hint="default"/>
                <w:lang w:val="en-US" w:eastAsia="zh-CN"/>
              </w:rPr>
              <w:t>20</w:t>
            </w:r>
          </w:p>
        </w:tc>
      </w:tr>
      <w:tr w14:paraId="74AE8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9" w:type="pct"/>
            <w:tcBorders>
              <w:tl2br w:val="nil"/>
              <w:tr2bl w:val="nil"/>
            </w:tcBorders>
            <w:noWrap w:val="0"/>
            <w:vAlign w:val="center"/>
          </w:tcPr>
          <w:p w14:paraId="3EF04DB9">
            <w:pPr>
              <w:pStyle w:val="26"/>
              <w:bidi w:val="0"/>
            </w:pPr>
            <w:r>
              <w:rPr>
                <w:rFonts w:hint="default"/>
                <w:lang w:val="en-US" w:eastAsia="zh-CN"/>
              </w:rPr>
              <w:t>5</w:t>
            </w:r>
          </w:p>
        </w:tc>
        <w:tc>
          <w:tcPr>
            <w:tcW w:w="1781" w:type="pct"/>
            <w:tcBorders>
              <w:tl2br w:val="nil"/>
              <w:tr2bl w:val="nil"/>
            </w:tcBorders>
            <w:noWrap w:val="0"/>
            <w:vAlign w:val="center"/>
          </w:tcPr>
          <w:p w14:paraId="230B1435">
            <w:pPr>
              <w:pStyle w:val="26"/>
              <w:bidi w:val="0"/>
            </w:pPr>
            <w:r>
              <w:rPr>
                <w:rFonts w:hint="default"/>
              </w:rPr>
              <w:t>覆膜机</w:t>
            </w:r>
          </w:p>
        </w:tc>
        <w:tc>
          <w:tcPr>
            <w:tcW w:w="1461" w:type="pct"/>
            <w:tcBorders>
              <w:tl2br w:val="nil"/>
              <w:tr2bl w:val="nil"/>
            </w:tcBorders>
            <w:noWrap w:val="0"/>
            <w:vAlign w:val="center"/>
          </w:tcPr>
          <w:p w14:paraId="62ADCA4B">
            <w:pPr>
              <w:pStyle w:val="26"/>
              <w:bidi w:val="0"/>
            </w:pPr>
            <w:r>
              <w:rPr>
                <w:rFonts w:hint="default"/>
              </w:rPr>
              <w:t>TCB-Ⅱ</w:t>
            </w:r>
          </w:p>
        </w:tc>
        <w:tc>
          <w:tcPr>
            <w:tcW w:w="1187" w:type="pct"/>
            <w:tcBorders>
              <w:tl2br w:val="nil"/>
              <w:tr2bl w:val="nil"/>
            </w:tcBorders>
            <w:noWrap w:val="0"/>
            <w:vAlign w:val="center"/>
          </w:tcPr>
          <w:p w14:paraId="613C675E">
            <w:pPr>
              <w:pStyle w:val="26"/>
              <w:bidi w:val="0"/>
            </w:pPr>
            <w:r>
              <w:rPr>
                <w:rFonts w:hint="default"/>
                <w:lang w:val="en-US" w:eastAsia="zh-CN"/>
              </w:rPr>
              <w:t>20</w:t>
            </w:r>
          </w:p>
        </w:tc>
      </w:tr>
      <w:tr w14:paraId="0D0EFA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9" w:type="pct"/>
            <w:tcBorders>
              <w:tl2br w:val="nil"/>
              <w:tr2bl w:val="nil"/>
            </w:tcBorders>
            <w:noWrap w:val="0"/>
            <w:vAlign w:val="center"/>
          </w:tcPr>
          <w:p w14:paraId="099A8107">
            <w:pPr>
              <w:pStyle w:val="26"/>
              <w:bidi w:val="0"/>
            </w:pPr>
            <w:r>
              <w:rPr>
                <w:rFonts w:hint="default"/>
                <w:lang w:val="en-US" w:eastAsia="zh-CN"/>
              </w:rPr>
              <w:t>6</w:t>
            </w:r>
          </w:p>
        </w:tc>
        <w:tc>
          <w:tcPr>
            <w:tcW w:w="1781" w:type="pct"/>
            <w:tcBorders>
              <w:tl2br w:val="nil"/>
              <w:tr2bl w:val="nil"/>
            </w:tcBorders>
            <w:noWrap w:val="0"/>
            <w:vAlign w:val="center"/>
          </w:tcPr>
          <w:p w14:paraId="07F9FB2C">
            <w:pPr>
              <w:pStyle w:val="26"/>
              <w:bidi w:val="0"/>
            </w:pPr>
            <w:r>
              <w:rPr>
                <w:rFonts w:hint="default"/>
                <w:lang w:eastAsia="zh-CN"/>
              </w:rPr>
              <w:t>破碎机</w:t>
            </w:r>
          </w:p>
        </w:tc>
        <w:tc>
          <w:tcPr>
            <w:tcW w:w="1461" w:type="pct"/>
            <w:tcBorders>
              <w:tl2br w:val="nil"/>
              <w:tr2bl w:val="nil"/>
            </w:tcBorders>
            <w:noWrap w:val="0"/>
            <w:vAlign w:val="center"/>
          </w:tcPr>
          <w:p w14:paraId="4BD6A796">
            <w:pPr>
              <w:pStyle w:val="26"/>
              <w:bidi w:val="0"/>
            </w:pPr>
            <w:r>
              <w:rPr>
                <w:rFonts w:hint="default"/>
              </w:rPr>
              <w:t>YGL-1000</w:t>
            </w:r>
          </w:p>
        </w:tc>
        <w:tc>
          <w:tcPr>
            <w:tcW w:w="1187" w:type="pct"/>
            <w:tcBorders>
              <w:tl2br w:val="nil"/>
              <w:tr2bl w:val="nil"/>
            </w:tcBorders>
            <w:noWrap w:val="0"/>
            <w:vAlign w:val="center"/>
          </w:tcPr>
          <w:p w14:paraId="222AA55C">
            <w:pPr>
              <w:pStyle w:val="26"/>
              <w:bidi w:val="0"/>
            </w:pPr>
            <w:r>
              <w:rPr>
                <w:rFonts w:hint="default"/>
                <w:lang w:val="en-US" w:eastAsia="zh-CN"/>
              </w:rPr>
              <w:t>4</w:t>
            </w:r>
          </w:p>
        </w:tc>
      </w:tr>
      <w:tr w14:paraId="4F99CF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569" w:type="pct"/>
            <w:tcBorders>
              <w:tl2br w:val="nil"/>
              <w:tr2bl w:val="nil"/>
            </w:tcBorders>
            <w:noWrap w:val="0"/>
            <w:vAlign w:val="center"/>
          </w:tcPr>
          <w:p w14:paraId="55F696DA">
            <w:pPr>
              <w:pStyle w:val="26"/>
              <w:bidi w:val="0"/>
            </w:pPr>
            <w:r>
              <w:rPr>
                <w:rFonts w:hint="default"/>
                <w:lang w:val="en-US" w:eastAsia="zh-CN"/>
              </w:rPr>
              <w:t>7</w:t>
            </w:r>
          </w:p>
        </w:tc>
        <w:tc>
          <w:tcPr>
            <w:tcW w:w="1781" w:type="pct"/>
            <w:tcBorders>
              <w:tl2br w:val="nil"/>
              <w:tr2bl w:val="nil"/>
            </w:tcBorders>
            <w:noWrap w:val="0"/>
            <w:vAlign w:val="center"/>
          </w:tcPr>
          <w:p w14:paraId="3D2CB7E4">
            <w:pPr>
              <w:pStyle w:val="26"/>
              <w:bidi w:val="0"/>
            </w:pPr>
            <w:r>
              <w:rPr>
                <w:rFonts w:hint="default"/>
                <w:lang w:val="en-US" w:eastAsia="zh-CN"/>
              </w:rPr>
              <w:t>风机</w:t>
            </w:r>
          </w:p>
        </w:tc>
        <w:tc>
          <w:tcPr>
            <w:tcW w:w="1461" w:type="pct"/>
            <w:tcBorders>
              <w:tl2br w:val="nil"/>
              <w:tr2bl w:val="nil"/>
            </w:tcBorders>
            <w:noWrap w:val="0"/>
            <w:vAlign w:val="center"/>
          </w:tcPr>
          <w:p w14:paraId="70C00100">
            <w:pPr>
              <w:pStyle w:val="26"/>
              <w:bidi w:val="0"/>
            </w:pPr>
            <w:r>
              <w:rPr>
                <w:rFonts w:hint="default"/>
              </w:rPr>
              <w:t>2475K7/12</w:t>
            </w:r>
          </w:p>
        </w:tc>
        <w:tc>
          <w:tcPr>
            <w:tcW w:w="1187" w:type="pct"/>
            <w:tcBorders>
              <w:tl2br w:val="nil"/>
              <w:tr2bl w:val="nil"/>
            </w:tcBorders>
            <w:noWrap w:val="0"/>
            <w:vAlign w:val="center"/>
          </w:tcPr>
          <w:p w14:paraId="3B407740">
            <w:pPr>
              <w:pStyle w:val="26"/>
              <w:bidi w:val="0"/>
            </w:pPr>
            <w:r>
              <w:rPr>
                <w:rFonts w:hint="default"/>
                <w:lang w:val="en-US" w:eastAsia="zh-CN"/>
              </w:rPr>
              <w:t>20</w:t>
            </w:r>
          </w:p>
        </w:tc>
      </w:tr>
    </w:tbl>
    <w:p w14:paraId="1328AF13">
      <w:pPr>
        <w:pStyle w:val="4"/>
        <w:bidi w:val="0"/>
        <w:rPr>
          <w:rFonts w:hint="default"/>
          <w:color w:val="auto"/>
          <w:u w:val="none" w:color="auto"/>
          <w:lang w:val="en-US" w:eastAsia="zh-CN"/>
        </w:rPr>
      </w:pPr>
      <w:bookmarkStart w:id="579" w:name="_Toc1236"/>
      <w:bookmarkStart w:id="580" w:name="_Toc13651"/>
      <w:bookmarkStart w:id="581" w:name="_Toc25961"/>
      <w:r>
        <w:rPr>
          <w:rFonts w:hint="eastAsia"/>
          <w:color w:val="auto"/>
          <w:u w:val="none" w:color="auto"/>
          <w:lang w:val="en-US" w:eastAsia="zh-CN"/>
        </w:rPr>
        <w:t>3.1.6迁建前项目平面布局</w:t>
      </w:r>
      <w:bookmarkEnd w:id="579"/>
    </w:p>
    <w:p w14:paraId="4C2CDFC4">
      <w:pPr>
        <w:pStyle w:val="20"/>
        <w:bidi w:val="0"/>
        <w:rPr>
          <w:rFonts w:hint="eastAsia"/>
          <w:color w:val="auto"/>
          <w:u w:val="none" w:color="auto"/>
          <w:lang w:val="en-US" w:eastAsia="zh-CN"/>
        </w:rPr>
      </w:pPr>
      <w:r>
        <w:rPr>
          <w:rFonts w:hint="eastAsia"/>
          <w:color w:val="auto"/>
          <w:u w:val="none" w:color="auto"/>
          <w:lang w:val="en-US" w:eastAsia="zh-CN"/>
        </w:rPr>
        <w:t>迁建前项目位于</w:t>
      </w:r>
      <w:r>
        <w:rPr>
          <w:rFonts w:hint="eastAsia" w:ascii="Times New Roman" w:hAnsi="Times New Roman" w:cs="Times New Roman"/>
          <w:color w:val="auto"/>
          <w:u w:val="none" w:color="auto"/>
          <w:lang w:val="en-US" w:eastAsia="zh-CN"/>
        </w:rPr>
        <w:t>湖南</w:t>
      </w:r>
      <w:r>
        <w:rPr>
          <w:rFonts w:hint="eastAsia" w:ascii="Times New Roman" w:hAnsi="Times New Roman"/>
          <w:color w:val="auto"/>
          <w:sz w:val="24"/>
          <w:szCs w:val="24"/>
          <w:u w:val="none" w:color="auto"/>
        </w:rPr>
        <w:t>汨罗高新技术产业开发区新市片区西片区S308南侧湖南现代家俱装饰有限公司现有闲置厂房内</w:t>
      </w:r>
      <w:r>
        <w:rPr>
          <w:rFonts w:hint="eastAsia"/>
          <w:color w:val="auto"/>
          <w:u w:val="none" w:color="auto"/>
          <w:lang w:val="en-US" w:eastAsia="zh-CN"/>
        </w:rPr>
        <w:t>，项目总用地面积5310m</w:t>
      </w:r>
      <w:r>
        <w:rPr>
          <w:rFonts w:hint="eastAsia"/>
          <w:color w:val="auto"/>
          <w:u w:val="none" w:color="auto"/>
          <w:vertAlign w:val="superscript"/>
          <w:lang w:val="en-US" w:eastAsia="zh-CN"/>
        </w:rPr>
        <w:t>2</w:t>
      </w:r>
      <w:r>
        <w:rPr>
          <w:rFonts w:hint="eastAsia"/>
          <w:color w:val="auto"/>
          <w:u w:val="none" w:color="auto"/>
          <w:lang w:val="en-US" w:eastAsia="zh-CN"/>
        </w:rPr>
        <w:t>。</w:t>
      </w:r>
    </w:p>
    <w:p w14:paraId="2F9C9B8F">
      <w:pPr>
        <w:pStyle w:val="20"/>
        <w:bidi w:val="0"/>
        <w:rPr>
          <w:rFonts w:hint="eastAsia"/>
          <w:color w:val="auto"/>
          <w:u w:val="none" w:color="auto"/>
          <w:lang w:val="en-US" w:eastAsia="zh-CN"/>
        </w:rPr>
      </w:pPr>
      <w:r>
        <w:rPr>
          <w:rFonts w:hint="eastAsia"/>
          <w:color w:val="auto"/>
          <w:u w:val="none" w:color="auto"/>
          <w:lang w:val="en-US" w:eastAsia="zh-CN"/>
        </w:rPr>
        <w:t>项目厂区大门位于厂房南侧，与泓昱新路相连，便于车辆出入。厂区总设一栋生产厂房，厂房内设置有办公区、成品储存区、生产区（挤出、覆膜区、原料加工区）、原料储存区；厂房北部从西到东依次为原料加工区（破碎磨粉区、混料区）、原料储存区、成品储存区；厂房南部主要为挤出、覆膜区、一般固废暂存区及办公区，挤出区自西向东依次排布20条生产线。</w:t>
      </w:r>
    </w:p>
    <w:p w14:paraId="132201E2">
      <w:pPr>
        <w:pStyle w:val="20"/>
        <w:bidi w:val="0"/>
        <w:rPr>
          <w:rFonts w:hint="eastAsia"/>
          <w:color w:val="auto"/>
          <w:u w:val="none" w:color="auto"/>
          <w:lang w:val="en-US" w:eastAsia="zh-CN"/>
        </w:rPr>
      </w:pPr>
      <w:r>
        <w:rPr>
          <w:rFonts w:hint="eastAsia"/>
          <w:color w:val="auto"/>
          <w:u w:val="none" w:color="auto"/>
          <w:lang w:val="en-US" w:eastAsia="zh-CN"/>
        </w:rPr>
        <w:t>废气处理设施、循环沉淀池及危险废物暂存间均设置在厂房外西部，远离项目周边的最近的居民点（东侧112m的新市镇居民）。项目设置3根排气筒，其中3#破碎磨粉废气排气筒位于破碎磨粉区西侧，2#投料混料废气排气筒位于破碎磨粉区北侧，1#有机废气排气筒位于原料加工区西侧。</w:t>
      </w:r>
    </w:p>
    <w:p w14:paraId="4FCAB32C">
      <w:pPr>
        <w:pStyle w:val="3"/>
        <w:bidi w:val="0"/>
        <w:rPr>
          <w:rFonts w:hint="default"/>
          <w:color w:val="auto"/>
          <w:u w:val="none" w:color="auto"/>
          <w:lang w:val="en-US" w:eastAsia="zh-CN"/>
        </w:rPr>
      </w:pPr>
      <w:bookmarkStart w:id="582" w:name="_Toc30078"/>
      <w:r>
        <w:rPr>
          <w:rFonts w:hint="eastAsia"/>
          <w:color w:val="auto"/>
          <w:u w:val="none" w:color="auto"/>
          <w:lang w:val="en-US" w:eastAsia="zh-CN"/>
        </w:rPr>
        <w:t>3.2迁建前项目生产工艺流程及产污节点</w:t>
      </w:r>
      <w:bookmarkEnd w:id="582"/>
    </w:p>
    <w:bookmarkEnd w:id="580"/>
    <w:bookmarkEnd w:id="581"/>
    <w:p w14:paraId="750A73F3">
      <w:pPr>
        <w:pStyle w:val="20"/>
        <w:bidi w:val="0"/>
        <w:rPr>
          <w:rFonts w:hint="eastAsia"/>
          <w:color w:val="auto"/>
          <w:u w:val="none" w:color="auto"/>
          <w:lang w:val="en-US" w:eastAsia="zh-CN"/>
        </w:rPr>
      </w:pPr>
      <w:r>
        <w:rPr>
          <w:rFonts w:hint="eastAsia"/>
          <w:color w:val="auto"/>
          <w:u w:val="none" w:color="auto"/>
          <w:lang w:val="en-US" w:eastAsia="zh-CN"/>
        </w:rPr>
        <w:t>（1）迁建前项目生产工艺流程及产污环节</w:t>
      </w:r>
    </w:p>
    <w:p w14:paraId="5C4CBECB">
      <w:pPr>
        <w:pStyle w:val="20"/>
        <w:bidi w:val="0"/>
        <w:ind w:left="0" w:leftChars="0" w:firstLine="0" w:firstLineChars="0"/>
        <w:jc w:val="center"/>
        <w:rPr>
          <w:rFonts w:hint="eastAsia" w:ascii="Times New Roman" w:hAnsi="Times New Roman" w:eastAsia="宋体" w:cs="Times New Roman"/>
          <w:color w:val="auto"/>
          <w:sz w:val="24"/>
          <w:u w:val="none" w:color="auto"/>
          <w:lang w:eastAsia="zh-CN"/>
        </w:rPr>
      </w:pPr>
      <w:r>
        <w:rPr>
          <w:rFonts w:hint="default" w:ascii="Times New Roman" w:hAnsi="Times New Roman" w:cs="Times New Roman"/>
          <w:color w:val="0000FF"/>
          <w:u w:val="none"/>
        </w:rPr>
        <w:object>
          <v:shape id="_x0000_i1037" o:spt="75" type="#_x0000_t75" style="height:327.65pt;width:310.2pt;" o:ole="t" filled="f" o:preferrelative="t" stroked="f" coordsize="21600,21600">
            <v:path/>
            <v:fill on="f" focussize="0,0"/>
            <v:stroke on="f"/>
            <v:imagedata r:id="rId32" o:title=""/>
            <o:lock v:ext="edit" aspectratio="f"/>
            <w10:wrap type="none"/>
            <w10:anchorlock/>
          </v:shape>
          <o:OLEObject Type="Embed" ProgID="Visio.Drawing.15" ShapeID="_x0000_i1037" DrawAspect="Content" ObjectID="_1468075729" r:id="rId31">
            <o:LockedField>false</o:LockedField>
          </o:OLEObject>
        </w:object>
      </w:r>
    </w:p>
    <w:p w14:paraId="57EB1CBE">
      <w:pPr>
        <w:pStyle w:val="22"/>
        <w:bidi w:val="0"/>
        <w:rPr>
          <w:rFonts w:hint="eastAsia"/>
          <w:color w:val="auto"/>
          <w:u w:val="none" w:color="auto"/>
          <w:lang w:val="en-US" w:eastAsia="zh-CN"/>
        </w:rPr>
      </w:pPr>
      <w:r>
        <w:rPr>
          <w:rFonts w:hint="eastAsia"/>
          <w:color w:val="auto"/>
          <w:u w:val="none" w:color="auto"/>
          <w:lang w:val="en-US" w:eastAsia="zh-CN"/>
        </w:rPr>
        <w:t>图3.1-1 迁建前项目生产工艺及产污节点图</w:t>
      </w:r>
    </w:p>
    <w:p w14:paraId="3258AB07">
      <w:pPr>
        <w:pStyle w:val="20"/>
        <w:bidi w:val="0"/>
        <w:rPr>
          <w:rFonts w:hint="eastAsia"/>
          <w:color w:val="auto"/>
          <w:u w:val="none" w:color="auto"/>
          <w:lang w:val="en-US" w:eastAsia="zh-CN"/>
        </w:rPr>
      </w:pPr>
      <w:r>
        <w:rPr>
          <w:rFonts w:hint="eastAsia"/>
          <w:color w:val="auto"/>
          <w:u w:val="none" w:color="auto"/>
          <w:lang w:val="en-US" w:eastAsia="zh-CN"/>
        </w:rPr>
        <w:t>（2）迁建前项目工艺流程简述</w:t>
      </w:r>
    </w:p>
    <w:p w14:paraId="37101424">
      <w:pPr>
        <w:pStyle w:val="20"/>
        <w:bidi w:val="0"/>
        <w:rPr>
          <w:rFonts w:hint="eastAsia"/>
          <w:color w:val="auto"/>
          <w:u w:val="none" w:color="auto"/>
          <w:lang w:val="en-US" w:eastAsia="zh-CN"/>
        </w:rPr>
      </w:pPr>
      <w:r>
        <w:rPr>
          <w:rFonts w:hint="eastAsia"/>
          <w:color w:val="auto"/>
          <w:u w:val="none" w:color="auto"/>
          <w:lang w:val="en-US" w:eastAsia="zh-CN"/>
        </w:rPr>
        <w:t>原料入库：外购的原料入库待加工。</w:t>
      </w:r>
    </w:p>
    <w:p w14:paraId="4E880590">
      <w:pPr>
        <w:pStyle w:val="20"/>
        <w:bidi w:val="0"/>
        <w:rPr>
          <w:rFonts w:hint="eastAsia"/>
          <w:color w:val="auto"/>
          <w:u w:val="none" w:color="auto"/>
          <w:lang w:val="en-US" w:eastAsia="zh-CN"/>
        </w:rPr>
      </w:pPr>
      <w:r>
        <w:rPr>
          <w:rFonts w:hint="eastAsia"/>
          <w:color w:val="auto"/>
          <w:u w:val="none" w:color="auto"/>
          <w:lang w:val="en-US" w:eastAsia="zh-CN"/>
        </w:rPr>
        <w:t>破碎：项目产生的不合格产品、边角料通过破碎机后重新用于生产。对于回用的项目不合格产品，要求未被使用过、未受到油污等污染的。</w:t>
      </w:r>
    </w:p>
    <w:p w14:paraId="01221786">
      <w:pPr>
        <w:pStyle w:val="20"/>
        <w:bidi w:val="0"/>
        <w:rPr>
          <w:rFonts w:hint="eastAsia"/>
          <w:color w:val="auto"/>
          <w:u w:val="none" w:color="auto"/>
          <w:lang w:val="en-US" w:eastAsia="zh-CN"/>
        </w:rPr>
      </w:pPr>
      <w:r>
        <w:rPr>
          <w:rFonts w:hint="eastAsia"/>
          <w:color w:val="auto"/>
          <w:u w:val="none" w:color="auto"/>
          <w:lang w:val="en-US" w:eastAsia="zh-CN"/>
        </w:rPr>
        <w:t>磨粉：本项目使用的各种粒料以及经破碎后回用的不合格品、边角料，根据种类的不同分别采用磨粉机磨成粉末状，以备后续混料使用。</w:t>
      </w:r>
    </w:p>
    <w:p w14:paraId="45D8C0F4">
      <w:pPr>
        <w:pStyle w:val="20"/>
        <w:bidi w:val="0"/>
        <w:rPr>
          <w:rFonts w:hint="eastAsia"/>
          <w:color w:val="auto"/>
          <w:u w:val="none" w:color="auto"/>
          <w:lang w:val="en-US" w:eastAsia="zh-CN"/>
        </w:rPr>
      </w:pPr>
      <w:r>
        <w:rPr>
          <w:rFonts w:hint="eastAsia"/>
          <w:color w:val="auto"/>
          <w:u w:val="none" w:color="auto"/>
          <w:lang w:val="en-US" w:eastAsia="zh-CN"/>
        </w:rPr>
        <w:t>混合：根据产品要求，本项目将已磨成粉状的主要原料和辅料按照一定的比例配料，配料后采用人工投入地面上的料斗内，后通过螺旋输送机送至混合机内进行混合搅拌。目的是使各种物料均匀混合，并达到一定程度的塑化。物料经与机械内璧的高速碰撞摩擦快速升温至设定温度，通过控制搅拌机转速，使其温度控制在100℃以下，搅拌时间约20分钟，搅拌混合完毕后的物料冷却至40℃以下后经混合机出料口出料至料池待用。</w:t>
      </w:r>
    </w:p>
    <w:p w14:paraId="4EE04E63">
      <w:pPr>
        <w:pStyle w:val="20"/>
        <w:bidi w:val="0"/>
        <w:rPr>
          <w:rFonts w:hint="eastAsia"/>
          <w:color w:val="auto"/>
          <w:u w:val="none" w:color="auto"/>
          <w:lang w:val="en-US" w:eastAsia="zh-CN"/>
        </w:rPr>
      </w:pPr>
      <w:r>
        <w:rPr>
          <w:rFonts w:hint="eastAsia"/>
          <w:color w:val="auto"/>
          <w:u w:val="none" w:color="auto"/>
          <w:lang w:val="en-US" w:eastAsia="zh-CN"/>
        </w:rPr>
        <w:t>挤出成型：原料进入挤出机仓室，经电加热后，原料呈熔融状态。熔融的物料、通过模具成型，初步成型后的半成品通过循环冷却水直接冷却。挤出工段加热采用电加热，PVC料物料温度在170℃左右，时间为1h。</w:t>
      </w:r>
    </w:p>
    <w:p w14:paraId="0F28FFCF">
      <w:pPr>
        <w:pStyle w:val="20"/>
        <w:bidi w:val="0"/>
        <w:rPr>
          <w:rFonts w:hint="eastAsia"/>
          <w:color w:val="auto"/>
          <w:u w:val="none" w:color="auto"/>
          <w:lang w:val="en-US" w:eastAsia="zh-CN"/>
        </w:rPr>
      </w:pPr>
      <w:r>
        <w:rPr>
          <w:rFonts w:hint="eastAsia"/>
          <w:color w:val="auto"/>
          <w:u w:val="none" w:color="auto"/>
          <w:lang w:val="en-US" w:eastAsia="zh-CN"/>
        </w:rPr>
        <w:t>直接水冷却：冷却的作用是使板材、线材尺寸定型，冷却至36℃左右。本项目产品冷却采用循环冷却水直接冷却，即冷却水在隔套内直接与产品接触，产品冷却水（直接冷却水）循环使用，按时补充损耗，不外排。</w:t>
      </w:r>
    </w:p>
    <w:p w14:paraId="7751C537">
      <w:pPr>
        <w:pStyle w:val="20"/>
        <w:bidi w:val="0"/>
        <w:rPr>
          <w:rFonts w:hint="eastAsia"/>
          <w:color w:val="auto"/>
          <w:u w:val="none" w:color="auto"/>
          <w:lang w:val="en-US" w:eastAsia="zh-CN"/>
        </w:rPr>
      </w:pPr>
      <w:r>
        <w:rPr>
          <w:rFonts w:hint="eastAsia"/>
          <w:color w:val="auto"/>
          <w:u w:val="none" w:color="auto"/>
          <w:lang w:val="en-US" w:eastAsia="zh-CN"/>
        </w:rPr>
        <w:t>风机吹干：使用风机直接对冷却后的板材、线材吹风，吹干表面水分。</w:t>
      </w:r>
    </w:p>
    <w:p w14:paraId="5739A2F7">
      <w:pPr>
        <w:pStyle w:val="20"/>
        <w:bidi w:val="0"/>
        <w:rPr>
          <w:rFonts w:hint="eastAsia"/>
          <w:color w:val="auto"/>
          <w:u w:val="none" w:color="auto"/>
          <w:lang w:val="en-US" w:eastAsia="zh-CN"/>
        </w:rPr>
      </w:pPr>
      <w:r>
        <w:rPr>
          <w:rFonts w:hint="eastAsia"/>
          <w:color w:val="auto"/>
          <w:u w:val="none" w:color="auto"/>
          <w:lang w:val="en-US" w:eastAsia="zh-CN"/>
        </w:rPr>
        <w:t>覆膜：覆膜所用材料为PVC包装膜，采用自动覆膜机进行，起到保护和装饰功能。覆膜时为增强膜与板材表面包裹的紧密性，需对使用白乳胶增强附着力，同时PVC包装膜进行烤灼，采用电加热，温度最高为120℃（夏季高温时仅需加热至60℃），时间约5~10s。</w:t>
      </w:r>
    </w:p>
    <w:p w14:paraId="3D8FCF69">
      <w:pPr>
        <w:pStyle w:val="20"/>
        <w:bidi w:val="0"/>
        <w:rPr>
          <w:rFonts w:hint="eastAsia"/>
          <w:color w:val="auto"/>
          <w:u w:val="none" w:color="auto"/>
          <w:lang w:val="en-US" w:eastAsia="zh-CN"/>
        </w:rPr>
      </w:pPr>
      <w:r>
        <w:rPr>
          <w:rFonts w:hint="eastAsia"/>
          <w:color w:val="auto"/>
          <w:u w:val="none" w:color="auto"/>
          <w:lang w:val="en-US" w:eastAsia="zh-CN"/>
        </w:rPr>
        <w:t>切割：冷却好的材料由裁切设备裁切。本项目裁切属于机器闸刀快速裁切，产生粉尘量可忽略不计，裁切过程中产生边角废料收集后外售。</w:t>
      </w:r>
    </w:p>
    <w:p w14:paraId="2B936517">
      <w:pPr>
        <w:pStyle w:val="20"/>
        <w:bidi w:val="0"/>
        <w:rPr>
          <w:rFonts w:hint="eastAsia"/>
          <w:color w:val="auto"/>
          <w:u w:val="none" w:color="auto"/>
          <w:lang w:val="en-US" w:eastAsia="zh-CN"/>
        </w:rPr>
      </w:pPr>
      <w:r>
        <w:rPr>
          <w:rFonts w:hint="eastAsia"/>
          <w:color w:val="auto"/>
          <w:u w:val="none" w:color="auto"/>
          <w:lang w:val="en-US" w:eastAsia="zh-CN"/>
        </w:rPr>
        <w:t>检验入库：切割后的产品进入人工检验工序，检测出来的不合格产品回用，合格产品入库待售。</w:t>
      </w:r>
    </w:p>
    <w:p w14:paraId="35BA7878">
      <w:pPr>
        <w:pStyle w:val="20"/>
        <w:bidi w:val="0"/>
        <w:rPr>
          <w:rFonts w:hint="eastAsia"/>
          <w:color w:val="auto"/>
          <w:u w:val="none" w:color="auto"/>
          <w:lang w:val="en-US" w:eastAsia="zh-CN"/>
        </w:rPr>
      </w:pPr>
      <w:r>
        <w:rPr>
          <w:rFonts w:hint="eastAsia"/>
          <w:color w:val="auto"/>
          <w:u w:val="none" w:color="auto"/>
          <w:lang w:val="en-US" w:eastAsia="zh-CN"/>
        </w:rPr>
        <w:t>成品入库待售。</w:t>
      </w:r>
    </w:p>
    <w:p w14:paraId="4E26A5FF">
      <w:pPr>
        <w:pStyle w:val="20"/>
        <w:bidi w:val="0"/>
        <w:rPr>
          <w:rFonts w:hint="eastAsia"/>
          <w:color w:val="auto"/>
          <w:u w:val="none" w:color="auto"/>
          <w:lang w:val="en-US" w:eastAsia="zh-CN"/>
        </w:rPr>
      </w:pPr>
      <w:r>
        <w:rPr>
          <w:rFonts w:hint="eastAsia"/>
          <w:color w:val="auto"/>
          <w:u w:val="none" w:color="auto"/>
          <w:lang w:val="en-US" w:eastAsia="zh-CN"/>
        </w:rPr>
        <w:t>本项目无造粒工序，本项目所有加热均采用电加热，不使用其他能源。</w:t>
      </w:r>
    </w:p>
    <w:p w14:paraId="10355F3C">
      <w:pPr>
        <w:pStyle w:val="20"/>
        <w:bidi w:val="0"/>
        <w:rPr>
          <w:rFonts w:hint="eastAsia"/>
          <w:color w:val="auto"/>
          <w:u w:val="none" w:color="auto"/>
          <w:lang w:val="en-US" w:eastAsia="zh-CN"/>
        </w:rPr>
      </w:pPr>
      <w:r>
        <w:rPr>
          <w:rFonts w:hint="eastAsia"/>
          <w:color w:val="auto"/>
          <w:u w:val="none" w:color="auto"/>
          <w:lang w:val="en-US" w:eastAsia="zh-CN"/>
        </w:rPr>
        <w:t>注：本项目原辅材料中有使用再生塑料颗粒，但再生塑料颗粒均来源于合法塑料回收企业，且塑料回收料已被处理完毕。故本项目无废旧塑料清洗、造粒等工序，严禁购入医疗废物。同时本项目不得从事废旧塑料清洗、造粒等废旧塑料预处理加工。回用的项目边角料和不合格产品，要求未被使用过、未受到油污等污染。</w:t>
      </w:r>
    </w:p>
    <w:p w14:paraId="0EF73710">
      <w:pPr>
        <w:pStyle w:val="20"/>
        <w:bidi w:val="0"/>
        <w:rPr>
          <w:rFonts w:hint="eastAsia"/>
          <w:color w:val="auto"/>
          <w:u w:val="none" w:color="auto"/>
          <w:lang w:val="en-US" w:eastAsia="zh-CN"/>
        </w:rPr>
      </w:pPr>
      <w:r>
        <w:rPr>
          <w:rFonts w:hint="eastAsia"/>
          <w:color w:val="auto"/>
          <w:u w:val="none" w:color="auto"/>
          <w:lang w:val="en-US" w:eastAsia="zh-CN"/>
        </w:rPr>
        <w:t>投料转运方式说明：</w:t>
      </w:r>
    </w:p>
    <w:p w14:paraId="7884B135">
      <w:pPr>
        <w:pStyle w:val="20"/>
        <w:bidi w:val="0"/>
        <w:rPr>
          <w:rFonts w:hint="eastAsia"/>
          <w:color w:val="auto"/>
          <w:u w:val="none" w:color="auto"/>
          <w:lang w:val="en-US" w:eastAsia="zh-CN"/>
        </w:rPr>
      </w:pPr>
      <w:r>
        <w:rPr>
          <w:rFonts w:hint="eastAsia"/>
          <w:color w:val="auto"/>
          <w:u w:val="none" w:color="auto"/>
          <w:lang w:val="en-US" w:eastAsia="zh-CN"/>
        </w:rPr>
        <w:t>本项目的投料采用人工投入地面上的料斗内，后通过螺旋输送机送至混合机内进行混合搅拌。磨粉后粉状材料采用临时料仓保存后转运再投入生产，而在生产工艺过程中，原料的转移也使用人工。</w:t>
      </w:r>
    </w:p>
    <w:p w14:paraId="1CB50442">
      <w:pPr>
        <w:pStyle w:val="3"/>
        <w:bidi w:val="0"/>
        <w:rPr>
          <w:rFonts w:hint="default"/>
          <w:color w:val="auto"/>
          <w:u w:val="none" w:color="auto"/>
          <w:lang w:val="en-US" w:eastAsia="zh-CN"/>
        </w:rPr>
      </w:pPr>
      <w:bookmarkStart w:id="583" w:name="_Toc18066"/>
      <w:bookmarkStart w:id="584" w:name="_Toc23179"/>
      <w:bookmarkStart w:id="585" w:name="_Toc16659"/>
      <w:r>
        <w:rPr>
          <w:rFonts w:hint="eastAsia"/>
          <w:color w:val="auto"/>
          <w:u w:val="none" w:color="auto"/>
          <w:lang w:val="en-US" w:eastAsia="zh-CN"/>
        </w:rPr>
        <w:t>3.3迁建前项目主要污染源及采取的污染防治措施</w:t>
      </w:r>
      <w:bookmarkEnd w:id="583"/>
    </w:p>
    <w:p w14:paraId="607B5356">
      <w:pPr>
        <w:pStyle w:val="4"/>
        <w:bidi w:val="0"/>
        <w:rPr>
          <w:rFonts w:hint="eastAsia"/>
          <w:color w:val="auto"/>
          <w:u w:val="none" w:color="auto"/>
          <w:lang w:val="en-US" w:eastAsia="zh-CN"/>
        </w:rPr>
      </w:pPr>
      <w:bookmarkStart w:id="586" w:name="_Toc17547"/>
      <w:r>
        <w:rPr>
          <w:rFonts w:hint="eastAsia"/>
          <w:color w:val="auto"/>
          <w:u w:val="none" w:color="auto"/>
          <w:lang w:val="en-US" w:eastAsia="zh-CN"/>
        </w:rPr>
        <w:t>3.3.</w:t>
      </w:r>
      <w:bookmarkEnd w:id="584"/>
      <w:bookmarkEnd w:id="585"/>
      <w:r>
        <w:rPr>
          <w:rFonts w:hint="eastAsia"/>
          <w:color w:val="auto"/>
          <w:u w:val="none" w:color="auto"/>
          <w:lang w:val="en-US" w:eastAsia="zh-CN"/>
        </w:rPr>
        <w:t>1废气</w:t>
      </w:r>
      <w:bookmarkEnd w:id="586"/>
    </w:p>
    <w:p w14:paraId="456BCE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1、迁建前项目废气产排情况</w:t>
      </w:r>
    </w:p>
    <w:p w14:paraId="5C03940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eastAsia="zh-CN"/>
        </w:rPr>
      </w:pPr>
      <w:r>
        <w:rPr>
          <w:rFonts w:hint="eastAsia" w:ascii="Times New Roman" w:hAnsi="Times New Roman" w:eastAsia="宋体" w:cs="Times New Roman"/>
          <w:color w:val="auto"/>
          <w:sz w:val="24"/>
          <w:szCs w:val="24"/>
          <w:u w:val="none" w:color="auto"/>
          <w:lang w:val="en-US" w:eastAsia="zh-CN"/>
        </w:rPr>
        <w:t>迁建前</w:t>
      </w:r>
      <w:r>
        <w:rPr>
          <w:rFonts w:hint="default" w:ascii="Times New Roman" w:hAnsi="Times New Roman" w:eastAsia="宋体" w:cs="Times New Roman"/>
          <w:color w:val="auto"/>
          <w:sz w:val="24"/>
          <w:szCs w:val="24"/>
          <w:u w:val="none" w:color="auto"/>
          <w:lang w:eastAsia="zh-CN"/>
        </w:rPr>
        <w:t>项目产生的主要废气为破碎</w:t>
      </w:r>
      <w:r>
        <w:rPr>
          <w:rFonts w:hint="eastAsia" w:ascii="Times New Roman" w:hAnsi="Times New Roman" w:eastAsia="宋体" w:cs="Times New Roman"/>
          <w:color w:val="auto"/>
          <w:sz w:val="24"/>
          <w:szCs w:val="24"/>
          <w:u w:val="none" w:color="auto"/>
          <w:lang w:val="en-US" w:eastAsia="zh-CN"/>
        </w:rPr>
        <w:t>粉尘、磨粉</w:t>
      </w:r>
      <w:r>
        <w:rPr>
          <w:rFonts w:hint="default" w:ascii="Times New Roman" w:hAnsi="Times New Roman" w:eastAsia="宋体" w:cs="Times New Roman"/>
          <w:color w:val="auto"/>
          <w:sz w:val="24"/>
          <w:szCs w:val="24"/>
          <w:u w:val="none" w:color="auto"/>
          <w:lang w:eastAsia="zh-CN"/>
        </w:rPr>
        <w:t>粉尘、</w:t>
      </w:r>
      <w:r>
        <w:rPr>
          <w:rFonts w:hint="eastAsia" w:ascii="Times New Roman" w:hAnsi="Times New Roman" w:eastAsia="宋体" w:cs="Times New Roman"/>
          <w:color w:val="auto"/>
          <w:sz w:val="24"/>
          <w:szCs w:val="24"/>
          <w:u w:val="none" w:color="auto"/>
          <w:lang w:val="en-US" w:eastAsia="zh-CN"/>
        </w:rPr>
        <w:t>投料混料粉尘</w:t>
      </w:r>
      <w:r>
        <w:rPr>
          <w:rFonts w:hint="default"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挤出覆膜废气</w:t>
      </w:r>
      <w:r>
        <w:rPr>
          <w:rFonts w:hint="default" w:ascii="Times New Roman" w:hAnsi="Times New Roman" w:eastAsia="宋体" w:cs="Times New Roman"/>
          <w:color w:val="auto"/>
          <w:sz w:val="24"/>
          <w:szCs w:val="24"/>
          <w:u w:val="none" w:color="auto"/>
          <w:lang w:eastAsia="zh-CN"/>
        </w:rPr>
        <w:t>。项目挤出废气主要来源于塑料热熔后挤出、吸塑工序散发出来的塑料中有机烃类单体成分，主要成分因塑料种类不同而不同，废气成分复杂多变，其污染因子按VOCs（非甲烷总烃）计。</w:t>
      </w:r>
    </w:p>
    <w:p w14:paraId="7BBEA9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eastAsia="zh-CN"/>
        </w:rPr>
        <w:t>（1）破碎粉尘</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磨粉粉尘</w:t>
      </w:r>
    </w:p>
    <w:p w14:paraId="4701658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项目产生的不合格品、边角料需经破碎机破碎，仅破碎成小块状物料，在破碎过程中，破碎机处于封闭状态，只有极少量碎料溅出，且破碎机外设置密闭破碎间，将破碎机整个封闭起来，减少噪声影响，同时在破碎机喂料口上方设置集气罩，收集的粉尘引至</w:t>
      </w:r>
      <w:r>
        <w:rPr>
          <w:rFonts w:hint="eastAsia" w:ascii="Times New Roman" w:hAnsi="Times New Roman" w:eastAsia="宋体" w:cs="Times New Roman"/>
          <w:color w:val="auto"/>
          <w:sz w:val="24"/>
          <w:szCs w:val="24"/>
          <w:u w:val="none" w:color="auto"/>
          <w:lang w:val="en-US" w:eastAsia="zh-CN"/>
        </w:rPr>
        <w:t>与磨粉粉尘</w:t>
      </w:r>
      <w:r>
        <w:rPr>
          <w:rFonts w:hint="default" w:ascii="Times New Roman" w:hAnsi="Times New Roman" w:eastAsia="宋体" w:cs="Times New Roman"/>
          <w:color w:val="auto"/>
          <w:sz w:val="24"/>
          <w:szCs w:val="24"/>
          <w:u w:val="none" w:color="auto"/>
          <w:lang w:eastAsia="zh-CN"/>
        </w:rPr>
        <w:t>同一套袋式除尘器处理后由15m高排气筒排放（1#排气筒）。项目产生的不合格品、边角料经破碎机破碎后和再生塑料颗粒进入磨粉机磨粉，磨粉工序会产生一定量的粉尘，在磨粉进出料口设置集气罩，粉尘经集气罩收集后引至一套袋式除尘器处理后由15m高排气筒排放（1#排气筒）</w:t>
      </w:r>
      <w:r>
        <w:rPr>
          <w:rFonts w:hint="eastAsia" w:ascii="Times New Roman" w:hAnsi="Times New Roman" w:eastAsia="宋体" w:cs="Times New Roman"/>
          <w:color w:val="auto"/>
          <w:sz w:val="24"/>
          <w:szCs w:val="24"/>
          <w:u w:val="none" w:color="auto"/>
          <w:lang w:eastAsia="zh-CN"/>
        </w:rPr>
        <w:t>。</w:t>
      </w:r>
    </w:p>
    <w:p w14:paraId="5CAC8B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根据表3.3-2计算可得DA003排气筒颗粒物排放量为0.082t/a。</w:t>
      </w:r>
    </w:p>
    <w:p w14:paraId="5915F7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2</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混料粉尘</w:t>
      </w:r>
    </w:p>
    <w:p w14:paraId="5CA690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将原料PVC树脂粉料及碳酸钙等辅助剂一起投入料斗，物料由料斗向混料机进料口的输送、由混料机出料口向中间槽的输送，以及由中间槽的放料口向挤出机进料口的输送均采用螺旋输送，混料机进料口和挤出机进料口分别与螺旋输送机末端进行封闭软连接，输送过程无粉尘产生。搅拌过程中，混料机全封闭，仅顶部留有通气孔，在搅拌过程会有粉尘产生，故在混料机通气孔处设抽风装置，收料坑封闭加罩，罩子顶部设抽风装置，粉尘经集气罩收集后引至一套脉冲式布袋除尘器处理后由15m高排气筒排放（</w:t>
      </w:r>
      <w:r>
        <w:rPr>
          <w:rFonts w:hint="eastAsia"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lang w:eastAsia="zh-CN"/>
        </w:rPr>
        <w:t>#排气筒）</w:t>
      </w:r>
      <w:r>
        <w:rPr>
          <w:rFonts w:hint="eastAsia" w:ascii="Times New Roman" w:hAnsi="Times New Roman" w:eastAsia="宋体" w:cs="Times New Roman"/>
          <w:color w:val="auto"/>
          <w:sz w:val="24"/>
          <w:szCs w:val="24"/>
          <w:u w:val="none" w:color="auto"/>
          <w:lang w:eastAsia="zh-CN"/>
        </w:rPr>
        <w:t>。</w:t>
      </w:r>
    </w:p>
    <w:p w14:paraId="4039313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eastAsia="zh-CN"/>
        </w:rPr>
      </w:pPr>
      <w:r>
        <w:rPr>
          <w:rFonts w:hint="eastAsia" w:ascii="Times New Roman" w:hAnsi="Times New Roman" w:eastAsia="宋体" w:cs="Times New Roman"/>
          <w:color w:val="auto"/>
          <w:sz w:val="24"/>
          <w:szCs w:val="24"/>
          <w:u w:val="none" w:color="auto"/>
          <w:lang w:val="en-US" w:eastAsia="zh-CN"/>
        </w:rPr>
        <w:t>根据表3.3-2计算可得DA002排气筒颗粒物排放量为0.048t/a。</w:t>
      </w:r>
    </w:p>
    <w:p w14:paraId="628A46E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lang w:eastAsia="zh-CN"/>
        </w:rPr>
        <w:t>）挤出</w:t>
      </w:r>
      <w:r>
        <w:rPr>
          <w:rFonts w:hint="eastAsia" w:ascii="Times New Roman" w:hAnsi="Times New Roman" w:eastAsia="宋体" w:cs="Times New Roman"/>
          <w:color w:val="auto"/>
          <w:sz w:val="24"/>
          <w:szCs w:val="24"/>
          <w:u w:val="none" w:color="auto"/>
          <w:lang w:val="en-US" w:eastAsia="zh-CN"/>
        </w:rPr>
        <w:t>覆膜</w:t>
      </w:r>
      <w:r>
        <w:rPr>
          <w:rFonts w:hint="default" w:ascii="Times New Roman" w:hAnsi="Times New Roman" w:eastAsia="宋体" w:cs="Times New Roman"/>
          <w:color w:val="auto"/>
          <w:sz w:val="24"/>
          <w:szCs w:val="24"/>
          <w:u w:val="none" w:color="auto"/>
          <w:lang w:eastAsia="zh-CN"/>
        </w:rPr>
        <w:t>废气</w:t>
      </w:r>
    </w:p>
    <w:p w14:paraId="11B696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none" w:color="auto"/>
          <w:lang w:eastAsia="zh-CN"/>
        </w:rPr>
      </w:pPr>
      <w:r>
        <w:rPr>
          <w:rFonts w:hint="default" w:ascii="Times New Roman" w:hAnsi="Times New Roman" w:eastAsia="宋体" w:cs="Times New Roman"/>
          <w:color w:val="auto"/>
          <w:sz w:val="24"/>
          <w:szCs w:val="24"/>
          <w:u w:val="none" w:color="auto"/>
          <w:lang w:eastAsia="zh-CN"/>
        </w:rPr>
        <w:t>项目采用电加热方式，加热温度150~180℃左右，PVC树脂粉在热解过程（180~200℃）由于分子间的剪切挤压下断链、分解、降解过程中产生游离单体和</w:t>
      </w:r>
      <w:r>
        <w:rPr>
          <w:rFonts w:hint="eastAsia" w:ascii="Times New Roman" w:hAnsi="Times New Roman" w:eastAsia="宋体" w:cs="Times New Roman"/>
          <w:color w:val="auto"/>
          <w:sz w:val="24"/>
          <w:szCs w:val="24"/>
          <w:u w:val="none" w:color="auto"/>
          <w:lang w:val="en-US" w:eastAsia="zh-CN"/>
        </w:rPr>
        <w:t>氯化氢；覆膜所用材料为PVC膜，膜底层为背涂胶白乳胶，挤出后的物料经牵引机牵引至覆膜机时，温度为60℃，在此温度下，PVC不会熔融，故只有膜底层的背涂胶粘合剂会产生非甲烷总烃。</w:t>
      </w:r>
      <w:r>
        <w:rPr>
          <w:rFonts w:hint="default" w:ascii="Times New Roman" w:hAnsi="Times New Roman" w:eastAsia="宋体" w:cs="Times New Roman"/>
          <w:color w:val="auto"/>
          <w:sz w:val="24"/>
          <w:szCs w:val="24"/>
          <w:u w:val="none" w:color="auto"/>
          <w:lang w:eastAsia="zh-CN"/>
        </w:rPr>
        <w:t>挤出</w:t>
      </w:r>
      <w:r>
        <w:rPr>
          <w:rFonts w:hint="eastAsia" w:ascii="Times New Roman" w:hAnsi="Times New Roman" w:eastAsia="宋体" w:cs="Times New Roman"/>
          <w:color w:val="auto"/>
          <w:sz w:val="24"/>
          <w:szCs w:val="24"/>
          <w:u w:val="none" w:color="auto"/>
          <w:lang w:val="en-US" w:eastAsia="zh-CN"/>
        </w:rPr>
        <w:t>和覆膜</w:t>
      </w:r>
      <w:r>
        <w:rPr>
          <w:rFonts w:hint="default" w:ascii="Times New Roman" w:hAnsi="Times New Roman" w:eastAsia="宋体" w:cs="Times New Roman"/>
          <w:color w:val="auto"/>
          <w:sz w:val="24"/>
          <w:szCs w:val="24"/>
          <w:u w:val="none" w:color="auto"/>
          <w:lang w:eastAsia="zh-CN"/>
        </w:rPr>
        <w:t>过程对挤出口</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施胶处</w:t>
      </w:r>
      <w:r>
        <w:rPr>
          <w:rFonts w:hint="default" w:ascii="Times New Roman" w:hAnsi="Times New Roman" w:eastAsia="宋体" w:cs="Times New Roman"/>
          <w:color w:val="auto"/>
          <w:sz w:val="24"/>
          <w:szCs w:val="24"/>
          <w:u w:val="none" w:color="auto"/>
          <w:lang w:eastAsia="zh-CN"/>
        </w:rPr>
        <w:t>进行集气罩收集，集气罩距离出气口较近，并采用半封闭收集，再经UV</w:t>
      </w:r>
      <w:r>
        <w:rPr>
          <w:rFonts w:hint="eastAsia" w:ascii="Times New Roman" w:hAnsi="Times New Roman" w:eastAsia="宋体" w:cs="Times New Roman"/>
          <w:color w:val="auto"/>
          <w:sz w:val="24"/>
          <w:szCs w:val="24"/>
          <w:u w:val="none" w:color="auto"/>
          <w:lang w:val="en-US" w:eastAsia="zh-CN"/>
        </w:rPr>
        <w:t>光解</w:t>
      </w:r>
      <w:r>
        <w:rPr>
          <w:rFonts w:hint="default" w:ascii="Times New Roman" w:hAnsi="Times New Roman" w:eastAsia="宋体" w:cs="Times New Roman"/>
          <w:color w:val="auto"/>
          <w:sz w:val="24"/>
          <w:szCs w:val="24"/>
          <w:u w:val="none" w:color="auto"/>
          <w:lang w:eastAsia="zh-CN"/>
        </w:rPr>
        <w:t>+活性炭吸附装置处理后由</w:t>
      </w:r>
      <w:r>
        <w:rPr>
          <w:rFonts w:hint="eastAsia" w:ascii="Times New Roman" w:hAnsi="Times New Roman" w:eastAsia="宋体" w:cs="Times New Roman"/>
          <w:color w:val="auto"/>
          <w:sz w:val="24"/>
          <w:szCs w:val="24"/>
          <w:u w:val="none" w:color="auto"/>
          <w:lang w:val="en-US" w:eastAsia="zh-CN"/>
        </w:rPr>
        <w:t>15</w:t>
      </w:r>
      <w:r>
        <w:rPr>
          <w:rFonts w:hint="default" w:ascii="Times New Roman" w:hAnsi="Times New Roman" w:eastAsia="宋体" w:cs="Times New Roman"/>
          <w:color w:val="auto"/>
          <w:sz w:val="24"/>
          <w:szCs w:val="24"/>
          <w:u w:val="none" w:color="auto"/>
          <w:lang w:eastAsia="zh-CN"/>
        </w:rPr>
        <w:t>m排气筒</w:t>
      </w:r>
      <w:r>
        <w:rPr>
          <w:rFonts w:hint="eastAsia" w:ascii="Times New Roman" w:hAnsi="Times New Roman" w:eastAsia="宋体" w:cs="Times New Roman"/>
          <w:color w:val="auto"/>
          <w:sz w:val="24"/>
          <w:szCs w:val="24"/>
          <w:u w:val="none" w:color="auto"/>
          <w:lang w:val="en-US" w:eastAsia="zh-CN"/>
        </w:rPr>
        <w:t>DA001</w:t>
      </w:r>
      <w:r>
        <w:rPr>
          <w:rFonts w:hint="default" w:ascii="Times New Roman" w:hAnsi="Times New Roman" w:eastAsia="宋体" w:cs="Times New Roman"/>
          <w:color w:val="auto"/>
          <w:sz w:val="24"/>
          <w:szCs w:val="24"/>
          <w:u w:val="none" w:color="auto"/>
          <w:lang w:eastAsia="zh-CN"/>
        </w:rPr>
        <w:t>排放。</w:t>
      </w:r>
    </w:p>
    <w:p w14:paraId="7DDCE2BA">
      <w:pPr>
        <w:pStyle w:val="20"/>
        <w:bidi w:val="0"/>
        <w:rPr>
          <w:rFonts w:hint="default"/>
          <w:color w:val="auto"/>
          <w:u w:val="none" w:color="auto"/>
          <w:lang w:eastAsia="zh-CN"/>
        </w:rPr>
      </w:pPr>
      <w:r>
        <w:rPr>
          <w:rFonts w:hint="eastAsia" w:ascii="Times New Roman" w:hAnsi="Times New Roman" w:eastAsia="宋体" w:cs="Times New Roman"/>
          <w:color w:val="auto"/>
          <w:sz w:val="24"/>
          <w:szCs w:val="24"/>
          <w:u w:val="none" w:color="auto"/>
          <w:lang w:val="en-US" w:eastAsia="zh-CN"/>
        </w:rPr>
        <w:t>根据表3.3-2计算可得DA001排气筒氯化氢排放量为0.384t/a，非甲烷总烃的排放量为0.432t/a。</w:t>
      </w:r>
    </w:p>
    <w:p w14:paraId="277E7DD8">
      <w:pPr>
        <w:pStyle w:val="21"/>
        <w:spacing w:after="24"/>
        <w:ind w:firstLine="422"/>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表</w:t>
      </w:r>
      <w:r>
        <w:rPr>
          <w:rFonts w:hint="default" w:ascii="Times New Roman" w:hAnsi="Times New Roman" w:eastAsia="宋体" w:cs="Times New Roman"/>
          <w:color w:val="auto"/>
          <w:highlight w:val="none"/>
          <w:u w:val="none" w:color="auto"/>
          <w:lang w:val="en-US" w:eastAsia="zh-CN"/>
        </w:rPr>
        <w:t>3.</w:t>
      </w:r>
      <w:r>
        <w:rPr>
          <w:rFonts w:hint="eastAsia" w:ascii="Times New Roman" w:hAnsi="Times New Roman" w:eastAsia="宋体"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lang w:val="en-US" w:eastAsia="zh-CN"/>
        </w:rPr>
        <w:t>-1</w:t>
      </w:r>
      <w:r>
        <w:rPr>
          <w:rFonts w:hint="default" w:ascii="Times New Roman" w:hAnsi="Times New Roman" w:eastAsia="宋体" w:cs="Times New Roman"/>
          <w:color w:val="auto"/>
          <w:highlight w:val="none"/>
          <w:u w:val="none" w:color="auto"/>
        </w:rPr>
        <w:t xml:space="preserve"> </w:t>
      </w:r>
      <w:r>
        <w:rPr>
          <w:rFonts w:hint="eastAsia" w:ascii="Times New Roman" w:hAnsi="Times New Roman" w:eastAsia="宋体" w:cs="Times New Roman"/>
          <w:color w:val="auto"/>
          <w:highlight w:val="none"/>
          <w:u w:val="none" w:color="auto"/>
          <w:lang w:val="en-US" w:eastAsia="zh-CN"/>
        </w:rPr>
        <w:t>迁建前</w:t>
      </w:r>
      <w:r>
        <w:rPr>
          <w:rFonts w:hint="default" w:ascii="Times New Roman" w:hAnsi="Times New Roman" w:eastAsia="宋体" w:cs="Times New Roman"/>
          <w:color w:val="auto"/>
          <w:highlight w:val="none"/>
          <w:u w:val="none" w:color="auto"/>
          <w:lang w:eastAsia="zh-CN"/>
        </w:rPr>
        <w:t>工程</w:t>
      </w:r>
      <w:r>
        <w:rPr>
          <w:rFonts w:hint="default" w:ascii="Times New Roman" w:hAnsi="Times New Roman" w:eastAsia="宋体" w:cs="Times New Roman"/>
          <w:color w:val="auto"/>
          <w:highlight w:val="none"/>
          <w:u w:val="none" w:color="auto"/>
        </w:rPr>
        <w:t>废气排放及防治措施</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9"/>
        <w:gridCol w:w="1660"/>
        <w:gridCol w:w="5365"/>
      </w:tblGrid>
      <w:tr w14:paraId="35727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79" w:type="dxa"/>
            <w:tcBorders>
              <w:tl2br w:val="nil"/>
              <w:tr2bl w:val="nil"/>
            </w:tcBorders>
            <w:noWrap w:val="0"/>
            <w:vAlign w:val="center"/>
          </w:tcPr>
          <w:p w14:paraId="0155BA6A">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生产设施/排放源</w:t>
            </w:r>
          </w:p>
        </w:tc>
        <w:tc>
          <w:tcPr>
            <w:tcW w:w="1660" w:type="dxa"/>
            <w:tcBorders>
              <w:tl2br w:val="nil"/>
              <w:tr2bl w:val="nil"/>
            </w:tcBorders>
            <w:noWrap w:val="0"/>
            <w:vAlign w:val="center"/>
          </w:tcPr>
          <w:p w14:paraId="5EABFDA5">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主要污染因子</w:t>
            </w:r>
          </w:p>
        </w:tc>
        <w:tc>
          <w:tcPr>
            <w:tcW w:w="5365" w:type="dxa"/>
            <w:tcBorders>
              <w:tl2br w:val="nil"/>
              <w:tr2bl w:val="nil"/>
            </w:tcBorders>
            <w:noWrap w:val="0"/>
            <w:vAlign w:val="center"/>
          </w:tcPr>
          <w:p w14:paraId="0CA14EBF">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处理设施及排放去向</w:t>
            </w:r>
          </w:p>
        </w:tc>
      </w:tr>
      <w:tr w14:paraId="3FF48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dxa"/>
            <w:tcBorders>
              <w:tl2br w:val="nil"/>
              <w:tr2bl w:val="nil"/>
            </w:tcBorders>
            <w:noWrap w:val="0"/>
            <w:vAlign w:val="center"/>
          </w:tcPr>
          <w:p w14:paraId="350CCB02">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u w:val="none" w:color="auto"/>
                <w:lang w:val="en-US" w:eastAsia="zh-CN"/>
              </w:rPr>
              <w:t>破碎磨粉粉尘</w:t>
            </w:r>
          </w:p>
        </w:tc>
        <w:tc>
          <w:tcPr>
            <w:tcW w:w="1660" w:type="dxa"/>
            <w:tcBorders>
              <w:tl2br w:val="nil"/>
              <w:tr2bl w:val="nil"/>
            </w:tcBorders>
            <w:noWrap w:val="0"/>
            <w:vAlign w:val="center"/>
          </w:tcPr>
          <w:p w14:paraId="3C052F58">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颗粒物</w:t>
            </w:r>
          </w:p>
        </w:tc>
        <w:tc>
          <w:tcPr>
            <w:tcW w:w="5365" w:type="dxa"/>
            <w:tcBorders>
              <w:tl2br w:val="nil"/>
              <w:tr2bl w:val="nil"/>
            </w:tcBorders>
            <w:noWrap w:val="0"/>
            <w:vAlign w:val="center"/>
          </w:tcPr>
          <w:p w14:paraId="05B26A1B">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集气罩+布袋除尘器+15</w:t>
            </w:r>
            <w:r>
              <w:rPr>
                <w:rFonts w:hint="default" w:ascii="Times New Roman" w:hAnsi="Times New Roman" w:eastAsia="宋体" w:cs="Times New Roman"/>
                <w:color w:val="auto"/>
                <w:sz w:val="21"/>
                <w:szCs w:val="21"/>
                <w:u w:val="none" w:color="auto"/>
                <w:lang w:val="en-US" w:eastAsia="zh-CN"/>
              </w:rPr>
              <w:t>m排气筒</w:t>
            </w:r>
          </w:p>
        </w:tc>
      </w:tr>
      <w:tr w14:paraId="13E62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dxa"/>
            <w:tcBorders>
              <w:tl2br w:val="nil"/>
              <w:tr2bl w:val="nil"/>
            </w:tcBorders>
            <w:noWrap w:val="0"/>
            <w:vAlign w:val="center"/>
          </w:tcPr>
          <w:p w14:paraId="46FF1922">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u w:val="none" w:color="auto"/>
                <w:lang w:val="en-US"/>
              </w:rPr>
            </w:pPr>
            <w:r>
              <w:rPr>
                <w:rFonts w:hint="eastAsia" w:ascii="Times New Roman" w:hAnsi="Times New Roman" w:eastAsia="宋体" w:cs="Times New Roman"/>
                <w:color w:val="auto"/>
                <w:sz w:val="21"/>
                <w:szCs w:val="21"/>
                <w:u w:val="none" w:color="auto"/>
                <w:lang w:val="en-US" w:eastAsia="zh-CN"/>
              </w:rPr>
              <w:t>投料混料粉尘</w:t>
            </w:r>
          </w:p>
        </w:tc>
        <w:tc>
          <w:tcPr>
            <w:tcW w:w="1660" w:type="dxa"/>
            <w:tcBorders>
              <w:tl2br w:val="nil"/>
              <w:tr2bl w:val="nil"/>
            </w:tcBorders>
            <w:noWrap w:val="0"/>
            <w:vAlign w:val="center"/>
          </w:tcPr>
          <w:p w14:paraId="72F9D8EE">
            <w:pPr>
              <w:pStyle w:val="3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颗粒物</w:t>
            </w:r>
          </w:p>
        </w:tc>
        <w:tc>
          <w:tcPr>
            <w:tcW w:w="5365" w:type="dxa"/>
            <w:tcBorders>
              <w:tl2br w:val="nil"/>
              <w:tr2bl w:val="nil"/>
            </w:tcBorders>
            <w:noWrap w:val="0"/>
            <w:vAlign w:val="center"/>
          </w:tcPr>
          <w:p w14:paraId="3C937D9D">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u w:val="none" w:color="auto"/>
                <w:lang w:eastAsia="zh-CN"/>
              </w:rPr>
            </w:pPr>
            <w:r>
              <w:rPr>
                <w:rFonts w:hint="eastAsia" w:ascii="Times New Roman" w:hAnsi="Times New Roman" w:eastAsia="宋体" w:cs="Times New Roman"/>
                <w:color w:val="auto"/>
                <w:sz w:val="21"/>
                <w:szCs w:val="21"/>
                <w:u w:val="none" w:color="auto"/>
                <w:lang w:val="en-US" w:eastAsia="zh-CN"/>
              </w:rPr>
              <w:t>集气罩+布袋除尘器+15</w:t>
            </w:r>
            <w:r>
              <w:rPr>
                <w:rFonts w:hint="default" w:ascii="Times New Roman" w:hAnsi="Times New Roman" w:eastAsia="宋体" w:cs="Times New Roman"/>
                <w:color w:val="auto"/>
                <w:sz w:val="21"/>
                <w:szCs w:val="21"/>
                <w:u w:val="none" w:color="auto"/>
                <w:lang w:val="en-US" w:eastAsia="zh-CN"/>
              </w:rPr>
              <w:t>m排气筒</w:t>
            </w:r>
          </w:p>
        </w:tc>
      </w:tr>
      <w:tr w14:paraId="3BD3C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79" w:type="dxa"/>
            <w:tcBorders>
              <w:tl2br w:val="nil"/>
              <w:tr2bl w:val="nil"/>
            </w:tcBorders>
            <w:noWrap w:val="0"/>
            <w:vAlign w:val="center"/>
          </w:tcPr>
          <w:p w14:paraId="7A511E24">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u w:val="none" w:color="auto"/>
                <w:lang w:val="en-US" w:eastAsia="zh-CN"/>
              </w:rPr>
              <w:t>挤出覆膜废气</w:t>
            </w:r>
          </w:p>
        </w:tc>
        <w:tc>
          <w:tcPr>
            <w:tcW w:w="1660" w:type="dxa"/>
            <w:tcBorders>
              <w:tl2br w:val="nil"/>
              <w:tr2bl w:val="nil"/>
            </w:tcBorders>
            <w:noWrap w:val="0"/>
            <w:vAlign w:val="center"/>
          </w:tcPr>
          <w:p w14:paraId="3283C257">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VOCs、氯化氢</w:t>
            </w:r>
          </w:p>
        </w:tc>
        <w:tc>
          <w:tcPr>
            <w:tcW w:w="5365" w:type="dxa"/>
            <w:tcBorders>
              <w:tl2br w:val="nil"/>
              <w:tr2bl w:val="nil"/>
            </w:tcBorders>
            <w:noWrap w:val="0"/>
            <w:vAlign w:val="center"/>
          </w:tcPr>
          <w:p w14:paraId="4986CE59">
            <w:pPr>
              <w:pStyle w:val="34"/>
              <w:keepNext w:val="0"/>
              <w:keepLines w:val="0"/>
              <w:pageBreakBefore w:val="0"/>
              <w:widowControl w:val="0"/>
              <w:kinsoku/>
              <w:wordWrap/>
              <w:overflowPunct/>
              <w:topLinePunct w:val="0"/>
              <w:autoSpaceDE/>
              <w:autoSpaceDN/>
              <w:bidi w:val="0"/>
              <w:adjustRightInd/>
              <w:snapToGrid/>
              <w:ind w:firstLine="0" w:firstLineChars="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u w:val="none" w:color="auto"/>
                <w:lang w:eastAsia="zh-CN"/>
              </w:rPr>
              <w:t>集气</w:t>
            </w:r>
            <w:r>
              <w:rPr>
                <w:rFonts w:hint="eastAsia" w:ascii="Times New Roman" w:hAnsi="Times New Roman" w:eastAsia="宋体" w:cs="Times New Roman"/>
                <w:color w:val="auto"/>
                <w:sz w:val="21"/>
                <w:szCs w:val="21"/>
                <w:u w:val="none" w:color="auto"/>
                <w:lang w:val="en-US" w:eastAsia="zh-CN"/>
              </w:rPr>
              <w:t>罩</w:t>
            </w:r>
            <w:r>
              <w:rPr>
                <w:rFonts w:hint="default"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UV光解+活性炭吸附装置</w:t>
            </w:r>
            <w:r>
              <w:rPr>
                <w:rFonts w:hint="default"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15</w:t>
            </w:r>
            <w:r>
              <w:rPr>
                <w:rFonts w:hint="default" w:ascii="Times New Roman" w:hAnsi="Times New Roman" w:eastAsia="宋体" w:cs="Times New Roman"/>
                <w:color w:val="auto"/>
                <w:sz w:val="21"/>
                <w:szCs w:val="21"/>
                <w:u w:val="none" w:color="auto"/>
                <w:lang w:eastAsia="zh-CN"/>
              </w:rPr>
              <w:t>米排气筒</w:t>
            </w:r>
          </w:p>
        </w:tc>
      </w:tr>
    </w:tbl>
    <w:p w14:paraId="3B2F898E">
      <w:pPr>
        <w:pStyle w:val="20"/>
        <w:rPr>
          <w:rFonts w:hint="default" w:ascii="Times New Roman" w:hAnsi="Times New Roman" w:eastAsia="宋体" w:cs="Times New Roman"/>
          <w:color w:val="auto"/>
          <w:u w:val="none" w:color="auto"/>
        </w:rPr>
      </w:pPr>
      <w:r>
        <w:rPr>
          <w:rFonts w:hint="eastAsia" w:ascii="Times New Roman" w:hAnsi="Times New Roman" w:eastAsia="宋体" w:cs="Times New Roman"/>
          <w:color w:val="auto"/>
          <w:u w:val="none" w:color="auto"/>
          <w:lang w:val="en-US" w:eastAsia="zh-CN"/>
        </w:rPr>
        <w:t>2、迁建前项目</w:t>
      </w:r>
      <w:r>
        <w:rPr>
          <w:rFonts w:hint="default" w:ascii="Times New Roman" w:hAnsi="Times New Roman" w:eastAsia="宋体" w:cs="Times New Roman"/>
          <w:color w:val="auto"/>
          <w:u w:val="none" w:color="auto"/>
          <w:lang w:eastAsia="zh-CN"/>
        </w:rPr>
        <w:t>废气达标情况</w:t>
      </w:r>
    </w:p>
    <w:p w14:paraId="7981E5E7">
      <w:pPr>
        <w:pStyle w:val="20"/>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根据建设单位委托湖南科俊环境检测有限公司于2025年4月11日对迁建前项目有组织废气和无组织废气进行采样监测，监测期间，企业正常运营（报告编号：HNKJ2504099）。迁建前工程废气污染物排放情况汇总3.3-2。</w:t>
      </w:r>
    </w:p>
    <w:p w14:paraId="16F90F06">
      <w:pPr>
        <w:pStyle w:val="22"/>
        <w:bidi w:val="0"/>
        <w:rPr>
          <w:rFonts w:hint="default"/>
          <w:color w:val="auto"/>
          <w:highlight w:val="green"/>
          <w:u w:val="none" w:color="auto"/>
          <w:lang w:val="en-US" w:eastAsia="zh-CN"/>
        </w:rPr>
      </w:pPr>
      <w:r>
        <w:rPr>
          <w:rFonts w:hint="eastAsia"/>
          <w:color w:val="auto"/>
          <w:highlight w:val="none"/>
          <w:u w:val="none" w:color="auto"/>
          <w:lang w:val="en-US" w:eastAsia="zh-CN"/>
        </w:rPr>
        <w:t>表3.3-2 迁建前项目常规废气监测结果表1</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7"/>
        <w:gridCol w:w="763"/>
        <w:gridCol w:w="915"/>
        <w:gridCol w:w="1115"/>
        <w:gridCol w:w="1043"/>
        <w:gridCol w:w="1043"/>
        <w:gridCol w:w="1044"/>
        <w:gridCol w:w="881"/>
        <w:gridCol w:w="881"/>
      </w:tblGrid>
      <w:tr w14:paraId="1EDA2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restart"/>
            <w:tcBorders>
              <w:tl2br w:val="nil"/>
              <w:tr2bl w:val="nil"/>
            </w:tcBorders>
            <w:noWrap w:val="0"/>
            <w:vAlign w:val="center"/>
          </w:tcPr>
          <w:p w14:paraId="0F1E6650">
            <w:pPr>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采样时间</w:t>
            </w:r>
          </w:p>
        </w:tc>
        <w:tc>
          <w:tcPr>
            <w:tcW w:w="763" w:type="dxa"/>
            <w:vMerge w:val="restart"/>
            <w:tcBorders>
              <w:tl2br w:val="nil"/>
              <w:tr2bl w:val="nil"/>
            </w:tcBorders>
            <w:noWrap w:val="0"/>
            <w:vAlign w:val="center"/>
          </w:tcPr>
          <w:p w14:paraId="3BDDA8DA">
            <w:pPr>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rPr>
              <w:t>采样</w:t>
            </w:r>
            <w:r>
              <w:rPr>
                <w:rFonts w:hint="default" w:ascii="Times New Roman" w:hAnsi="Times New Roman" w:eastAsia="宋体" w:cs="Times New Roman"/>
                <w:b/>
                <w:bCs/>
                <w:color w:val="auto"/>
                <w:sz w:val="21"/>
                <w:szCs w:val="21"/>
                <w:u w:val="none" w:color="auto"/>
                <w:lang w:eastAsia="zh-CN"/>
              </w:rPr>
              <w:t>点位</w:t>
            </w:r>
          </w:p>
        </w:tc>
        <w:tc>
          <w:tcPr>
            <w:tcW w:w="2030" w:type="dxa"/>
            <w:gridSpan w:val="2"/>
            <w:vMerge w:val="restart"/>
            <w:tcBorders>
              <w:tl2br w:val="nil"/>
              <w:tr2bl w:val="nil"/>
            </w:tcBorders>
            <w:noWrap w:val="0"/>
            <w:vAlign w:val="center"/>
          </w:tcPr>
          <w:p w14:paraId="5E4DBB88">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cs="Times New Roman"/>
                <w:b/>
                <w:bCs/>
                <w:color w:val="auto"/>
                <w:szCs w:val="21"/>
                <w:u w:val="none" w:color="auto"/>
              </w:rPr>
              <w:t>检测项目</w:t>
            </w:r>
          </w:p>
        </w:tc>
        <w:tc>
          <w:tcPr>
            <w:tcW w:w="3130" w:type="dxa"/>
            <w:gridSpan w:val="3"/>
            <w:tcBorders>
              <w:tl2br w:val="nil"/>
              <w:tr2bl w:val="nil"/>
            </w:tcBorders>
            <w:noWrap w:val="0"/>
            <w:vAlign w:val="center"/>
          </w:tcPr>
          <w:p w14:paraId="004F7B28">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检测结果</w:t>
            </w:r>
          </w:p>
        </w:tc>
        <w:tc>
          <w:tcPr>
            <w:tcW w:w="881" w:type="dxa"/>
            <w:vMerge w:val="restart"/>
            <w:tcBorders>
              <w:tl2br w:val="nil"/>
              <w:tr2bl w:val="nil"/>
            </w:tcBorders>
            <w:noWrap w:val="0"/>
            <w:vAlign w:val="center"/>
          </w:tcPr>
          <w:p w14:paraId="4FED56CB">
            <w:pPr>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参考限值</w:t>
            </w:r>
          </w:p>
        </w:tc>
        <w:tc>
          <w:tcPr>
            <w:tcW w:w="881" w:type="dxa"/>
            <w:vMerge w:val="restart"/>
            <w:tcBorders>
              <w:tl2br w:val="nil"/>
              <w:tr2bl w:val="nil"/>
            </w:tcBorders>
            <w:noWrap w:val="0"/>
            <w:vAlign w:val="center"/>
          </w:tcPr>
          <w:p w14:paraId="393456B5">
            <w:pPr>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单位</w:t>
            </w:r>
          </w:p>
        </w:tc>
      </w:tr>
      <w:tr w14:paraId="5BD8F5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6F379045">
            <w:pPr>
              <w:jc w:val="center"/>
              <w:rPr>
                <w:rFonts w:hint="default" w:ascii="Times New Roman" w:hAnsi="Times New Roman" w:cs="Times New Roman"/>
                <w:b/>
                <w:bCs/>
                <w:color w:val="auto"/>
                <w:u w:val="none" w:color="auto"/>
              </w:rPr>
            </w:pPr>
          </w:p>
        </w:tc>
        <w:tc>
          <w:tcPr>
            <w:tcW w:w="763" w:type="dxa"/>
            <w:vMerge w:val="continue"/>
            <w:tcBorders>
              <w:tl2br w:val="nil"/>
              <w:tr2bl w:val="nil"/>
            </w:tcBorders>
            <w:noWrap w:val="0"/>
            <w:vAlign w:val="center"/>
          </w:tcPr>
          <w:p w14:paraId="0F80AF23">
            <w:pPr>
              <w:jc w:val="center"/>
              <w:rPr>
                <w:rFonts w:hint="default" w:ascii="Times New Roman" w:hAnsi="Times New Roman" w:cs="Times New Roman"/>
                <w:b/>
                <w:bCs/>
                <w:color w:val="auto"/>
                <w:u w:val="none" w:color="auto"/>
              </w:rPr>
            </w:pPr>
          </w:p>
        </w:tc>
        <w:tc>
          <w:tcPr>
            <w:tcW w:w="2030" w:type="dxa"/>
            <w:gridSpan w:val="2"/>
            <w:vMerge w:val="continue"/>
            <w:tcBorders>
              <w:tl2br w:val="nil"/>
              <w:tr2bl w:val="nil"/>
            </w:tcBorders>
            <w:noWrap w:val="0"/>
            <w:vAlign w:val="center"/>
          </w:tcPr>
          <w:p w14:paraId="0D97B9FA">
            <w:pPr>
              <w:jc w:val="center"/>
              <w:rPr>
                <w:rFonts w:hint="default" w:ascii="Times New Roman" w:hAnsi="Times New Roman" w:cs="Times New Roman"/>
                <w:b/>
                <w:bCs/>
                <w:color w:val="auto"/>
                <w:u w:val="none" w:color="auto"/>
              </w:rPr>
            </w:pPr>
          </w:p>
        </w:tc>
        <w:tc>
          <w:tcPr>
            <w:tcW w:w="1043" w:type="dxa"/>
            <w:tcBorders>
              <w:tl2br w:val="nil"/>
              <w:tr2bl w:val="nil"/>
            </w:tcBorders>
            <w:noWrap w:val="0"/>
            <w:vAlign w:val="center"/>
          </w:tcPr>
          <w:p w14:paraId="49A575B4">
            <w:pPr>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第一次</w:t>
            </w:r>
          </w:p>
        </w:tc>
        <w:tc>
          <w:tcPr>
            <w:tcW w:w="1043" w:type="dxa"/>
            <w:tcBorders>
              <w:tl2br w:val="nil"/>
              <w:tr2bl w:val="nil"/>
            </w:tcBorders>
            <w:noWrap w:val="0"/>
            <w:vAlign w:val="center"/>
          </w:tcPr>
          <w:p w14:paraId="561C3A03">
            <w:pPr>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第二次</w:t>
            </w:r>
          </w:p>
        </w:tc>
        <w:tc>
          <w:tcPr>
            <w:tcW w:w="1044" w:type="dxa"/>
            <w:tcBorders>
              <w:tl2br w:val="nil"/>
              <w:tr2bl w:val="nil"/>
            </w:tcBorders>
            <w:noWrap w:val="0"/>
            <w:vAlign w:val="center"/>
          </w:tcPr>
          <w:p w14:paraId="53F7786C">
            <w:pPr>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第三次</w:t>
            </w:r>
          </w:p>
        </w:tc>
        <w:tc>
          <w:tcPr>
            <w:tcW w:w="881" w:type="dxa"/>
            <w:vMerge w:val="continue"/>
            <w:tcBorders>
              <w:tl2br w:val="nil"/>
              <w:tr2bl w:val="nil"/>
            </w:tcBorders>
            <w:noWrap w:val="0"/>
            <w:vAlign w:val="center"/>
          </w:tcPr>
          <w:p w14:paraId="01EA7090">
            <w:pPr>
              <w:jc w:val="center"/>
              <w:rPr>
                <w:rFonts w:hint="default" w:ascii="Times New Roman" w:hAnsi="Times New Roman" w:eastAsia="宋体" w:cs="Times New Roman"/>
                <w:b/>
                <w:bCs/>
                <w:color w:val="auto"/>
                <w:sz w:val="21"/>
                <w:szCs w:val="21"/>
                <w:u w:val="none" w:color="auto"/>
              </w:rPr>
            </w:pPr>
          </w:p>
        </w:tc>
        <w:tc>
          <w:tcPr>
            <w:tcW w:w="881" w:type="dxa"/>
            <w:vMerge w:val="continue"/>
            <w:tcBorders>
              <w:tl2br w:val="nil"/>
              <w:tr2bl w:val="nil"/>
            </w:tcBorders>
            <w:noWrap w:val="0"/>
            <w:vAlign w:val="center"/>
          </w:tcPr>
          <w:p w14:paraId="005AB2D6">
            <w:pPr>
              <w:jc w:val="center"/>
              <w:rPr>
                <w:rFonts w:hint="default" w:ascii="Times New Roman" w:hAnsi="Times New Roman" w:eastAsia="宋体" w:cs="Times New Roman"/>
                <w:b/>
                <w:bCs/>
                <w:color w:val="auto"/>
                <w:sz w:val="21"/>
                <w:szCs w:val="21"/>
                <w:u w:val="none" w:color="auto"/>
              </w:rPr>
            </w:pPr>
          </w:p>
        </w:tc>
      </w:tr>
      <w:tr w14:paraId="5D36B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837" w:type="dxa"/>
            <w:vMerge w:val="restart"/>
            <w:tcBorders>
              <w:tl2br w:val="nil"/>
              <w:tr2bl w:val="nil"/>
            </w:tcBorders>
            <w:noWrap w:val="0"/>
            <w:vAlign w:val="center"/>
          </w:tcPr>
          <w:p w14:paraId="3989344E">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2025.4.8</w:t>
            </w:r>
          </w:p>
        </w:tc>
        <w:tc>
          <w:tcPr>
            <w:tcW w:w="763" w:type="dxa"/>
            <w:vMerge w:val="restart"/>
            <w:tcBorders>
              <w:tl2br w:val="nil"/>
              <w:tr2bl w:val="nil"/>
            </w:tcBorders>
            <w:noWrap w:val="0"/>
            <w:vAlign w:val="center"/>
          </w:tcPr>
          <w:p w14:paraId="54670C1E">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DA001排气筒</w:t>
            </w:r>
          </w:p>
        </w:tc>
        <w:tc>
          <w:tcPr>
            <w:tcW w:w="2030" w:type="dxa"/>
            <w:gridSpan w:val="2"/>
            <w:tcBorders>
              <w:tl2br w:val="nil"/>
              <w:tr2bl w:val="nil"/>
            </w:tcBorders>
            <w:noWrap w:val="0"/>
            <w:vAlign w:val="center"/>
          </w:tcPr>
          <w:p w14:paraId="4AA3ADF4">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标干流量</w:t>
            </w:r>
          </w:p>
        </w:tc>
        <w:tc>
          <w:tcPr>
            <w:tcW w:w="1043" w:type="dxa"/>
            <w:tcBorders>
              <w:tl2br w:val="nil"/>
              <w:tr2bl w:val="nil"/>
            </w:tcBorders>
            <w:noWrap w:val="0"/>
            <w:vAlign w:val="center"/>
          </w:tcPr>
          <w:p w14:paraId="3356B354">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26626</w:t>
            </w:r>
          </w:p>
        </w:tc>
        <w:tc>
          <w:tcPr>
            <w:tcW w:w="1043" w:type="dxa"/>
            <w:tcBorders>
              <w:tl2br w:val="nil"/>
              <w:tr2bl w:val="nil"/>
            </w:tcBorders>
            <w:noWrap w:val="0"/>
            <w:vAlign w:val="center"/>
          </w:tcPr>
          <w:p w14:paraId="35DF1C4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24610</w:t>
            </w:r>
          </w:p>
        </w:tc>
        <w:tc>
          <w:tcPr>
            <w:tcW w:w="1044" w:type="dxa"/>
            <w:tcBorders>
              <w:tl2br w:val="nil"/>
              <w:tr2bl w:val="nil"/>
            </w:tcBorders>
            <w:noWrap w:val="0"/>
            <w:vAlign w:val="center"/>
          </w:tcPr>
          <w:p w14:paraId="5D9865F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26365</w:t>
            </w:r>
          </w:p>
        </w:tc>
        <w:tc>
          <w:tcPr>
            <w:tcW w:w="881" w:type="dxa"/>
            <w:tcBorders>
              <w:tl2br w:val="nil"/>
              <w:tr2bl w:val="nil"/>
            </w:tcBorders>
            <w:noWrap w:val="0"/>
            <w:vAlign w:val="center"/>
          </w:tcPr>
          <w:p w14:paraId="24FEAB07">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881" w:type="dxa"/>
            <w:tcBorders>
              <w:tl2br w:val="nil"/>
              <w:tr2bl w:val="nil"/>
            </w:tcBorders>
            <w:noWrap w:val="0"/>
            <w:vAlign w:val="center"/>
          </w:tcPr>
          <w:p w14:paraId="0B306D34">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Nm</w:t>
            </w:r>
            <w:r>
              <w:rPr>
                <w:rFonts w:hint="eastAsia" w:ascii="Times New Roman" w:hAnsi="Times New Roman" w:cs="Times New Roman"/>
                <w:color w:val="auto"/>
                <w:kern w:val="2"/>
                <w:sz w:val="21"/>
                <w:szCs w:val="21"/>
                <w:u w:val="none" w:color="auto"/>
                <w:vertAlign w:val="superscript"/>
                <w:lang w:val="en-US" w:eastAsia="zh-CN" w:bidi="ar-SA"/>
              </w:rPr>
              <w:t>3</w:t>
            </w:r>
            <w:r>
              <w:rPr>
                <w:rFonts w:hint="eastAsia" w:ascii="Times New Roman" w:hAnsi="Times New Roman" w:cs="Times New Roman"/>
                <w:color w:val="auto"/>
                <w:kern w:val="2"/>
                <w:sz w:val="21"/>
                <w:szCs w:val="21"/>
                <w:u w:val="none" w:color="auto"/>
                <w:lang w:val="en-US" w:eastAsia="zh-CN" w:bidi="ar-SA"/>
              </w:rPr>
              <w:t>/h</w:t>
            </w:r>
          </w:p>
        </w:tc>
      </w:tr>
      <w:tr w14:paraId="7EADD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5D283224">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1979FE88">
            <w:pPr>
              <w:jc w:val="center"/>
              <w:rPr>
                <w:rFonts w:hint="default" w:ascii="Times New Roman" w:hAnsi="Times New Roman" w:eastAsia="宋体" w:cs="Times New Roman"/>
                <w:color w:val="auto"/>
                <w:sz w:val="21"/>
                <w:szCs w:val="21"/>
                <w:u w:val="none" w:color="auto"/>
                <w:lang w:val="en-US" w:eastAsia="zh-CN"/>
              </w:rPr>
            </w:pPr>
          </w:p>
        </w:tc>
        <w:tc>
          <w:tcPr>
            <w:tcW w:w="2030" w:type="dxa"/>
            <w:gridSpan w:val="2"/>
            <w:tcBorders>
              <w:tl2br w:val="nil"/>
              <w:tr2bl w:val="nil"/>
            </w:tcBorders>
            <w:noWrap w:val="0"/>
            <w:vAlign w:val="center"/>
          </w:tcPr>
          <w:p w14:paraId="1DBA911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平均温度</w:t>
            </w:r>
          </w:p>
        </w:tc>
        <w:tc>
          <w:tcPr>
            <w:tcW w:w="1043" w:type="dxa"/>
            <w:tcBorders>
              <w:tl2br w:val="nil"/>
              <w:tr2bl w:val="nil"/>
            </w:tcBorders>
            <w:noWrap w:val="0"/>
            <w:vAlign w:val="center"/>
          </w:tcPr>
          <w:p w14:paraId="7148F43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26.0</w:t>
            </w:r>
          </w:p>
        </w:tc>
        <w:tc>
          <w:tcPr>
            <w:tcW w:w="1043" w:type="dxa"/>
            <w:tcBorders>
              <w:tl2br w:val="nil"/>
              <w:tr2bl w:val="nil"/>
            </w:tcBorders>
            <w:noWrap w:val="0"/>
            <w:vAlign w:val="center"/>
          </w:tcPr>
          <w:p w14:paraId="6D170574">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28.0</w:t>
            </w:r>
          </w:p>
        </w:tc>
        <w:tc>
          <w:tcPr>
            <w:tcW w:w="1044" w:type="dxa"/>
            <w:tcBorders>
              <w:tl2br w:val="nil"/>
              <w:tr2bl w:val="nil"/>
            </w:tcBorders>
            <w:noWrap w:val="0"/>
            <w:vAlign w:val="center"/>
          </w:tcPr>
          <w:p w14:paraId="1CE619D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30.1</w:t>
            </w:r>
          </w:p>
        </w:tc>
        <w:tc>
          <w:tcPr>
            <w:tcW w:w="881" w:type="dxa"/>
            <w:tcBorders>
              <w:tl2br w:val="nil"/>
              <w:tr2bl w:val="nil"/>
            </w:tcBorders>
            <w:noWrap w:val="0"/>
            <w:vAlign w:val="center"/>
          </w:tcPr>
          <w:p w14:paraId="17A48EF1">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881" w:type="dxa"/>
            <w:tcBorders>
              <w:tl2br w:val="nil"/>
              <w:tr2bl w:val="nil"/>
            </w:tcBorders>
            <w:noWrap w:val="0"/>
            <w:vAlign w:val="center"/>
          </w:tcPr>
          <w:p w14:paraId="01B6701A">
            <w:pPr>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kern w:val="2"/>
                <w:sz w:val="21"/>
                <w:szCs w:val="21"/>
                <w:u w:val="none" w:color="auto"/>
                <w:lang w:val="en-US" w:eastAsia="zh-CN" w:bidi="ar-SA"/>
              </w:rPr>
              <w:t>℃</w:t>
            </w:r>
          </w:p>
        </w:tc>
      </w:tr>
      <w:tr w14:paraId="58523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5E3E62FA">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719FADF3">
            <w:pPr>
              <w:jc w:val="center"/>
              <w:rPr>
                <w:rFonts w:hint="default" w:ascii="Times New Roman" w:hAnsi="Times New Roman" w:eastAsia="宋体" w:cs="Times New Roman"/>
                <w:color w:val="auto"/>
                <w:sz w:val="21"/>
                <w:szCs w:val="21"/>
                <w:u w:val="none" w:color="auto"/>
                <w:lang w:val="en-US" w:eastAsia="zh-CN"/>
              </w:rPr>
            </w:pPr>
          </w:p>
        </w:tc>
        <w:tc>
          <w:tcPr>
            <w:tcW w:w="2030" w:type="dxa"/>
            <w:gridSpan w:val="2"/>
            <w:tcBorders>
              <w:tl2br w:val="nil"/>
              <w:tr2bl w:val="nil"/>
            </w:tcBorders>
            <w:noWrap w:val="0"/>
            <w:vAlign w:val="center"/>
          </w:tcPr>
          <w:p w14:paraId="7F1A754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平均流速</w:t>
            </w:r>
          </w:p>
        </w:tc>
        <w:tc>
          <w:tcPr>
            <w:tcW w:w="1043" w:type="dxa"/>
            <w:tcBorders>
              <w:tl2br w:val="nil"/>
              <w:tr2bl w:val="nil"/>
            </w:tcBorders>
            <w:noWrap w:val="0"/>
            <w:vAlign w:val="center"/>
          </w:tcPr>
          <w:p w14:paraId="052753CF">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21.5</w:t>
            </w:r>
          </w:p>
        </w:tc>
        <w:tc>
          <w:tcPr>
            <w:tcW w:w="1043" w:type="dxa"/>
            <w:tcBorders>
              <w:tl2br w:val="nil"/>
              <w:tr2bl w:val="nil"/>
            </w:tcBorders>
            <w:noWrap w:val="0"/>
            <w:vAlign w:val="center"/>
          </w:tcPr>
          <w:p w14:paraId="48002167">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20.0</w:t>
            </w:r>
          </w:p>
        </w:tc>
        <w:tc>
          <w:tcPr>
            <w:tcW w:w="1044" w:type="dxa"/>
            <w:tcBorders>
              <w:tl2br w:val="nil"/>
              <w:tr2bl w:val="nil"/>
            </w:tcBorders>
            <w:noWrap w:val="0"/>
            <w:vAlign w:val="center"/>
          </w:tcPr>
          <w:p w14:paraId="0E5CB9D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21.6</w:t>
            </w:r>
          </w:p>
        </w:tc>
        <w:tc>
          <w:tcPr>
            <w:tcW w:w="881" w:type="dxa"/>
            <w:tcBorders>
              <w:tl2br w:val="nil"/>
              <w:tr2bl w:val="nil"/>
            </w:tcBorders>
            <w:noWrap w:val="0"/>
            <w:vAlign w:val="center"/>
          </w:tcPr>
          <w:p w14:paraId="7BD8AC1A">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881" w:type="dxa"/>
            <w:tcBorders>
              <w:tl2br w:val="nil"/>
              <w:tr2bl w:val="nil"/>
            </w:tcBorders>
            <w:noWrap w:val="0"/>
            <w:vAlign w:val="center"/>
          </w:tcPr>
          <w:p w14:paraId="1FF7F699">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m/s</w:t>
            </w:r>
          </w:p>
        </w:tc>
      </w:tr>
      <w:tr w14:paraId="4F9997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3C4EC8D7">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76A3DEA0">
            <w:pPr>
              <w:jc w:val="center"/>
              <w:rPr>
                <w:rFonts w:hint="default" w:ascii="Times New Roman" w:hAnsi="Times New Roman" w:eastAsia="宋体" w:cs="Times New Roman"/>
                <w:color w:val="auto"/>
                <w:sz w:val="21"/>
                <w:szCs w:val="21"/>
                <w:u w:val="none" w:color="auto"/>
                <w:lang w:val="en-US" w:eastAsia="zh-CN"/>
              </w:rPr>
            </w:pPr>
          </w:p>
        </w:tc>
        <w:tc>
          <w:tcPr>
            <w:tcW w:w="915" w:type="dxa"/>
            <w:vMerge w:val="restart"/>
            <w:tcBorders>
              <w:tl2br w:val="nil"/>
              <w:tr2bl w:val="nil"/>
            </w:tcBorders>
            <w:noWrap w:val="0"/>
            <w:vAlign w:val="center"/>
          </w:tcPr>
          <w:p w14:paraId="2AB11326">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氯化氢</w:t>
            </w:r>
          </w:p>
        </w:tc>
        <w:tc>
          <w:tcPr>
            <w:tcW w:w="1115" w:type="dxa"/>
            <w:tcBorders>
              <w:tl2br w:val="nil"/>
              <w:tr2bl w:val="nil"/>
            </w:tcBorders>
            <w:noWrap w:val="0"/>
            <w:vAlign w:val="center"/>
          </w:tcPr>
          <w:p w14:paraId="09B15A9A">
            <w:pPr>
              <w:jc w:val="center"/>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实测浓度</w:t>
            </w:r>
          </w:p>
        </w:tc>
        <w:tc>
          <w:tcPr>
            <w:tcW w:w="1043" w:type="dxa"/>
            <w:tcBorders>
              <w:tl2br w:val="nil"/>
              <w:tr2bl w:val="nil"/>
            </w:tcBorders>
            <w:noWrap w:val="0"/>
            <w:vAlign w:val="center"/>
          </w:tcPr>
          <w:p w14:paraId="42D26BE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5.55</w:t>
            </w:r>
          </w:p>
        </w:tc>
        <w:tc>
          <w:tcPr>
            <w:tcW w:w="1043" w:type="dxa"/>
            <w:tcBorders>
              <w:tl2br w:val="nil"/>
              <w:tr2bl w:val="nil"/>
            </w:tcBorders>
            <w:noWrap w:val="0"/>
            <w:vAlign w:val="center"/>
          </w:tcPr>
          <w:p w14:paraId="33FFB1E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5.10</w:t>
            </w:r>
          </w:p>
        </w:tc>
        <w:tc>
          <w:tcPr>
            <w:tcW w:w="1044" w:type="dxa"/>
            <w:tcBorders>
              <w:tl2br w:val="nil"/>
              <w:tr2bl w:val="nil"/>
            </w:tcBorders>
            <w:noWrap w:val="0"/>
            <w:vAlign w:val="center"/>
          </w:tcPr>
          <w:p w14:paraId="298235F6">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6.05</w:t>
            </w:r>
          </w:p>
        </w:tc>
        <w:tc>
          <w:tcPr>
            <w:tcW w:w="881" w:type="dxa"/>
            <w:tcBorders>
              <w:tl2br w:val="nil"/>
              <w:tr2bl w:val="nil"/>
            </w:tcBorders>
            <w:noWrap w:val="0"/>
            <w:vAlign w:val="center"/>
          </w:tcPr>
          <w:p w14:paraId="0CFC113A">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100</w:t>
            </w:r>
          </w:p>
        </w:tc>
        <w:tc>
          <w:tcPr>
            <w:tcW w:w="881" w:type="dxa"/>
            <w:tcBorders>
              <w:tl2br w:val="nil"/>
              <w:tr2bl w:val="nil"/>
            </w:tcBorders>
            <w:noWrap w:val="0"/>
            <w:vAlign w:val="center"/>
          </w:tcPr>
          <w:p w14:paraId="1DB800D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6384D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3AEFF40B">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368EC433">
            <w:pPr>
              <w:jc w:val="center"/>
              <w:rPr>
                <w:rFonts w:hint="default" w:ascii="Times New Roman" w:hAnsi="Times New Roman" w:eastAsia="宋体" w:cs="Times New Roman"/>
                <w:color w:val="auto"/>
                <w:sz w:val="21"/>
                <w:szCs w:val="21"/>
                <w:u w:val="none" w:color="auto"/>
                <w:lang w:val="en-US" w:eastAsia="zh-CN"/>
              </w:rPr>
            </w:pPr>
          </w:p>
        </w:tc>
        <w:tc>
          <w:tcPr>
            <w:tcW w:w="915" w:type="dxa"/>
            <w:vMerge w:val="continue"/>
            <w:tcBorders>
              <w:tl2br w:val="nil"/>
              <w:tr2bl w:val="nil"/>
            </w:tcBorders>
            <w:noWrap w:val="0"/>
            <w:vAlign w:val="center"/>
          </w:tcPr>
          <w:p w14:paraId="0BECDB53">
            <w:pPr>
              <w:jc w:val="center"/>
              <w:rPr>
                <w:rFonts w:hint="eastAsia" w:ascii="Times New Roman" w:hAnsi="Times New Roman" w:cs="Times New Roman"/>
                <w:color w:val="auto"/>
                <w:szCs w:val="21"/>
                <w:u w:val="none" w:color="auto"/>
                <w:lang w:val="en-US" w:eastAsia="zh-CN"/>
              </w:rPr>
            </w:pPr>
          </w:p>
        </w:tc>
        <w:tc>
          <w:tcPr>
            <w:tcW w:w="1115" w:type="dxa"/>
            <w:tcBorders>
              <w:tl2br w:val="nil"/>
              <w:tr2bl w:val="nil"/>
            </w:tcBorders>
            <w:noWrap w:val="0"/>
            <w:vAlign w:val="center"/>
          </w:tcPr>
          <w:p w14:paraId="6A200273">
            <w:pPr>
              <w:jc w:val="center"/>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排放速率</w:t>
            </w:r>
          </w:p>
        </w:tc>
        <w:tc>
          <w:tcPr>
            <w:tcW w:w="1043" w:type="dxa"/>
            <w:tcBorders>
              <w:tl2br w:val="nil"/>
              <w:tr2bl w:val="nil"/>
            </w:tcBorders>
            <w:noWrap w:val="0"/>
            <w:vAlign w:val="center"/>
          </w:tcPr>
          <w:p w14:paraId="2267D585">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0.15</w:t>
            </w:r>
          </w:p>
        </w:tc>
        <w:tc>
          <w:tcPr>
            <w:tcW w:w="1043" w:type="dxa"/>
            <w:tcBorders>
              <w:tl2br w:val="nil"/>
              <w:tr2bl w:val="nil"/>
            </w:tcBorders>
            <w:noWrap w:val="0"/>
            <w:vAlign w:val="center"/>
          </w:tcPr>
          <w:p w14:paraId="145C4919">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0.13</w:t>
            </w:r>
          </w:p>
        </w:tc>
        <w:tc>
          <w:tcPr>
            <w:tcW w:w="1044" w:type="dxa"/>
            <w:tcBorders>
              <w:tl2br w:val="nil"/>
              <w:tr2bl w:val="nil"/>
            </w:tcBorders>
            <w:noWrap w:val="0"/>
            <w:vAlign w:val="center"/>
          </w:tcPr>
          <w:p w14:paraId="4FDD5289">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0.16</w:t>
            </w:r>
          </w:p>
        </w:tc>
        <w:tc>
          <w:tcPr>
            <w:tcW w:w="881" w:type="dxa"/>
            <w:tcBorders>
              <w:tl2br w:val="nil"/>
              <w:tr2bl w:val="nil"/>
            </w:tcBorders>
            <w:noWrap w:val="0"/>
            <w:vAlign w:val="center"/>
          </w:tcPr>
          <w:p w14:paraId="156422F5">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0.26</w:t>
            </w:r>
          </w:p>
        </w:tc>
        <w:tc>
          <w:tcPr>
            <w:tcW w:w="881" w:type="dxa"/>
            <w:tcBorders>
              <w:tl2br w:val="nil"/>
              <w:tr2bl w:val="nil"/>
            </w:tcBorders>
            <w:noWrap w:val="0"/>
            <w:vAlign w:val="center"/>
          </w:tcPr>
          <w:p w14:paraId="3A0B2579">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kg/h</w:t>
            </w:r>
          </w:p>
        </w:tc>
      </w:tr>
      <w:tr w14:paraId="7E495B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36D4FCD0">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14E0CAE1">
            <w:pPr>
              <w:jc w:val="center"/>
              <w:rPr>
                <w:rFonts w:hint="default" w:ascii="Times New Roman" w:hAnsi="Times New Roman" w:eastAsia="宋体" w:cs="Times New Roman"/>
                <w:color w:val="auto"/>
                <w:sz w:val="21"/>
                <w:szCs w:val="21"/>
                <w:u w:val="none" w:color="auto"/>
                <w:lang w:val="en-US" w:eastAsia="zh-CN"/>
              </w:rPr>
            </w:pPr>
          </w:p>
        </w:tc>
        <w:tc>
          <w:tcPr>
            <w:tcW w:w="915" w:type="dxa"/>
            <w:tcBorders>
              <w:tl2br w:val="nil"/>
              <w:tr2bl w:val="nil"/>
            </w:tcBorders>
            <w:noWrap w:val="0"/>
            <w:vAlign w:val="center"/>
          </w:tcPr>
          <w:p w14:paraId="56A37B8C">
            <w:pPr>
              <w:jc w:val="center"/>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臭气浓度</w:t>
            </w:r>
          </w:p>
        </w:tc>
        <w:tc>
          <w:tcPr>
            <w:tcW w:w="1115" w:type="dxa"/>
            <w:tcBorders>
              <w:tl2br w:val="nil"/>
              <w:tr2bl w:val="nil"/>
            </w:tcBorders>
            <w:noWrap w:val="0"/>
            <w:vAlign w:val="center"/>
          </w:tcPr>
          <w:p w14:paraId="11D6BB16">
            <w:pPr>
              <w:jc w:val="center"/>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排放浓度</w:t>
            </w:r>
          </w:p>
        </w:tc>
        <w:tc>
          <w:tcPr>
            <w:tcW w:w="1043" w:type="dxa"/>
            <w:tcBorders>
              <w:tl2br w:val="nil"/>
              <w:tr2bl w:val="nil"/>
            </w:tcBorders>
            <w:noWrap w:val="0"/>
            <w:vAlign w:val="center"/>
          </w:tcPr>
          <w:p w14:paraId="719BABF9">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724</w:t>
            </w:r>
          </w:p>
        </w:tc>
        <w:tc>
          <w:tcPr>
            <w:tcW w:w="1043" w:type="dxa"/>
            <w:tcBorders>
              <w:tl2br w:val="nil"/>
              <w:tr2bl w:val="nil"/>
            </w:tcBorders>
            <w:noWrap w:val="0"/>
            <w:vAlign w:val="center"/>
          </w:tcPr>
          <w:p w14:paraId="2AE7D5A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851</w:t>
            </w:r>
          </w:p>
        </w:tc>
        <w:tc>
          <w:tcPr>
            <w:tcW w:w="1044" w:type="dxa"/>
            <w:tcBorders>
              <w:tl2br w:val="nil"/>
              <w:tr2bl w:val="nil"/>
            </w:tcBorders>
            <w:noWrap w:val="0"/>
            <w:vAlign w:val="center"/>
          </w:tcPr>
          <w:p w14:paraId="5739A23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724</w:t>
            </w:r>
          </w:p>
        </w:tc>
        <w:tc>
          <w:tcPr>
            <w:tcW w:w="881" w:type="dxa"/>
            <w:tcBorders>
              <w:tl2br w:val="nil"/>
              <w:tr2bl w:val="nil"/>
            </w:tcBorders>
            <w:noWrap w:val="0"/>
            <w:vAlign w:val="center"/>
          </w:tcPr>
          <w:p w14:paraId="5DA246FC">
            <w:pPr>
              <w:jc w:val="center"/>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2000</w:t>
            </w:r>
          </w:p>
        </w:tc>
        <w:tc>
          <w:tcPr>
            <w:tcW w:w="881" w:type="dxa"/>
            <w:tcBorders>
              <w:tl2br w:val="nil"/>
              <w:tr2bl w:val="nil"/>
            </w:tcBorders>
            <w:noWrap w:val="0"/>
            <w:vAlign w:val="center"/>
          </w:tcPr>
          <w:p w14:paraId="4C7C03D5">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无量纲</w:t>
            </w:r>
          </w:p>
        </w:tc>
      </w:tr>
      <w:tr w14:paraId="0544A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57C9EE27">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767B28E3">
            <w:pPr>
              <w:jc w:val="center"/>
              <w:rPr>
                <w:rFonts w:hint="default" w:ascii="Times New Roman" w:hAnsi="Times New Roman" w:eastAsia="宋体" w:cs="Times New Roman"/>
                <w:color w:val="auto"/>
                <w:sz w:val="21"/>
                <w:szCs w:val="21"/>
                <w:u w:val="none" w:color="auto"/>
                <w:lang w:val="en-US" w:eastAsia="zh-CN"/>
              </w:rPr>
            </w:pPr>
          </w:p>
        </w:tc>
        <w:tc>
          <w:tcPr>
            <w:tcW w:w="915" w:type="dxa"/>
            <w:vMerge w:val="restart"/>
            <w:tcBorders>
              <w:tl2br w:val="nil"/>
              <w:tr2bl w:val="nil"/>
            </w:tcBorders>
            <w:noWrap w:val="0"/>
            <w:vAlign w:val="center"/>
          </w:tcPr>
          <w:p w14:paraId="0812F711">
            <w:pPr>
              <w:jc w:val="center"/>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非甲烷总烃</w:t>
            </w:r>
          </w:p>
        </w:tc>
        <w:tc>
          <w:tcPr>
            <w:tcW w:w="1115" w:type="dxa"/>
            <w:tcBorders>
              <w:tl2br w:val="nil"/>
              <w:tr2bl w:val="nil"/>
            </w:tcBorders>
            <w:noWrap w:val="0"/>
            <w:vAlign w:val="center"/>
          </w:tcPr>
          <w:p w14:paraId="5CD81C29">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实测浓度</w:t>
            </w:r>
          </w:p>
        </w:tc>
        <w:tc>
          <w:tcPr>
            <w:tcW w:w="1043" w:type="dxa"/>
            <w:tcBorders>
              <w:tl2br w:val="nil"/>
              <w:tr2bl w:val="nil"/>
            </w:tcBorders>
            <w:noWrap w:val="0"/>
            <w:vAlign w:val="center"/>
          </w:tcPr>
          <w:p w14:paraId="719C2A5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6.68</w:t>
            </w:r>
          </w:p>
        </w:tc>
        <w:tc>
          <w:tcPr>
            <w:tcW w:w="1043" w:type="dxa"/>
            <w:tcBorders>
              <w:tl2br w:val="nil"/>
              <w:tr2bl w:val="nil"/>
            </w:tcBorders>
            <w:noWrap w:val="0"/>
            <w:vAlign w:val="center"/>
          </w:tcPr>
          <w:p w14:paraId="6E9CC78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6.59</w:t>
            </w:r>
          </w:p>
        </w:tc>
        <w:tc>
          <w:tcPr>
            <w:tcW w:w="1044" w:type="dxa"/>
            <w:tcBorders>
              <w:tl2br w:val="nil"/>
              <w:tr2bl w:val="nil"/>
            </w:tcBorders>
            <w:noWrap w:val="0"/>
            <w:vAlign w:val="center"/>
          </w:tcPr>
          <w:p w14:paraId="2AD31BF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6.56</w:t>
            </w:r>
          </w:p>
        </w:tc>
        <w:tc>
          <w:tcPr>
            <w:tcW w:w="881" w:type="dxa"/>
            <w:tcBorders>
              <w:tl2br w:val="nil"/>
              <w:tr2bl w:val="nil"/>
            </w:tcBorders>
            <w:noWrap w:val="0"/>
            <w:vAlign w:val="center"/>
          </w:tcPr>
          <w:p w14:paraId="159F3F0C">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120</w:t>
            </w:r>
          </w:p>
        </w:tc>
        <w:tc>
          <w:tcPr>
            <w:tcW w:w="881" w:type="dxa"/>
            <w:tcBorders>
              <w:tl2br w:val="nil"/>
              <w:tr2bl w:val="nil"/>
            </w:tcBorders>
            <w:noWrap w:val="0"/>
            <w:vAlign w:val="center"/>
          </w:tcPr>
          <w:p w14:paraId="63BBA56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29002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73A80786">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2CCD1146">
            <w:pPr>
              <w:jc w:val="center"/>
              <w:rPr>
                <w:rFonts w:hint="default" w:ascii="Times New Roman" w:hAnsi="Times New Roman" w:eastAsia="宋体" w:cs="Times New Roman"/>
                <w:color w:val="auto"/>
                <w:sz w:val="21"/>
                <w:szCs w:val="21"/>
                <w:u w:val="none" w:color="auto"/>
                <w:lang w:val="en-US" w:eastAsia="zh-CN"/>
              </w:rPr>
            </w:pPr>
          </w:p>
        </w:tc>
        <w:tc>
          <w:tcPr>
            <w:tcW w:w="915" w:type="dxa"/>
            <w:vMerge w:val="continue"/>
            <w:tcBorders>
              <w:tl2br w:val="nil"/>
              <w:tr2bl w:val="nil"/>
            </w:tcBorders>
            <w:noWrap w:val="0"/>
            <w:vAlign w:val="center"/>
          </w:tcPr>
          <w:p w14:paraId="44B0F206">
            <w:pPr>
              <w:jc w:val="center"/>
              <w:rPr>
                <w:rFonts w:hint="eastAsia" w:ascii="Times New Roman" w:hAnsi="Times New Roman" w:cs="Times New Roman"/>
                <w:color w:val="auto"/>
                <w:szCs w:val="21"/>
                <w:u w:val="none" w:color="auto"/>
                <w:lang w:val="en-US" w:eastAsia="zh-CN"/>
              </w:rPr>
            </w:pPr>
          </w:p>
        </w:tc>
        <w:tc>
          <w:tcPr>
            <w:tcW w:w="1115" w:type="dxa"/>
            <w:tcBorders>
              <w:tl2br w:val="nil"/>
              <w:tr2bl w:val="nil"/>
            </w:tcBorders>
            <w:noWrap w:val="0"/>
            <w:vAlign w:val="center"/>
          </w:tcPr>
          <w:p w14:paraId="3F0C24F6">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排放速率</w:t>
            </w:r>
          </w:p>
        </w:tc>
        <w:tc>
          <w:tcPr>
            <w:tcW w:w="1043" w:type="dxa"/>
            <w:tcBorders>
              <w:tl2br w:val="nil"/>
              <w:tr2bl w:val="nil"/>
            </w:tcBorders>
            <w:noWrap w:val="0"/>
            <w:vAlign w:val="center"/>
          </w:tcPr>
          <w:p w14:paraId="5D520D73">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0.18</w:t>
            </w:r>
          </w:p>
        </w:tc>
        <w:tc>
          <w:tcPr>
            <w:tcW w:w="1043" w:type="dxa"/>
            <w:tcBorders>
              <w:tl2br w:val="nil"/>
              <w:tr2bl w:val="nil"/>
            </w:tcBorders>
            <w:noWrap w:val="0"/>
            <w:vAlign w:val="center"/>
          </w:tcPr>
          <w:p w14:paraId="4A6421F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0.16</w:t>
            </w:r>
          </w:p>
        </w:tc>
        <w:tc>
          <w:tcPr>
            <w:tcW w:w="1044" w:type="dxa"/>
            <w:tcBorders>
              <w:tl2br w:val="nil"/>
              <w:tr2bl w:val="nil"/>
            </w:tcBorders>
            <w:noWrap w:val="0"/>
            <w:vAlign w:val="center"/>
          </w:tcPr>
          <w:p w14:paraId="5FE734CF">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0.17</w:t>
            </w:r>
          </w:p>
        </w:tc>
        <w:tc>
          <w:tcPr>
            <w:tcW w:w="881" w:type="dxa"/>
            <w:tcBorders>
              <w:tl2br w:val="nil"/>
              <w:tr2bl w:val="nil"/>
            </w:tcBorders>
            <w:noWrap w:val="0"/>
            <w:vAlign w:val="center"/>
          </w:tcPr>
          <w:p w14:paraId="7EE28397">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10</w:t>
            </w:r>
          </w:p>
        </w:tc>
        <w:tc>
          <w:tcPr>
            <w:tcW w:w="881" w:type="dxa"/>
            <w:tcBorders>
              <w:tl2br w:val="nil"/>
              <w:tr2bl w:val="nil"/>
            </w:tcBorders>
            <w:noWrap w:val="0"/>
            <w:vAlign w:val="center"/>
          </w:tcPr>
          <w:p w14:paraId="1492B55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kg/h</w:t>
            </w:r>
          </w:p>
        </w:tc>
      </w:tr>
      <w:tr w14:paraId="36CF86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48A08725">
            <w:pPr>
              <w:jc w:val="center"/>
              <w:rPr>
                <w:rFonts w:hint="default" w:ascii="Times New Roman" w:hAnsi="Times New Roman" w:eastAsia="宋体" w:cs="Times New Roman"/>
                <w:color w:val="auto"/>
                <w:sz w:val="21"/>
                <w:szCs w:val="21"/>
                <w:u w:val="none" w:color="auto"/>
                <w:lang w:val="en-US" w:eastAsia="zh-CN"/>
              </w:rPr>
            </w:pPr>
          </w:p>
        </w:tc>
        <w:tc>
          <w:tcPr>
            <w:tcW w:w="763" w:type="dxa"/>
            <w:vMerge w:val="restart"/>
            <w:tcBorders>
              <w:tl2br w:val="nil"/>
              <w:tr2bl w:val="nil"/>
            </w:tcBorders>
            <w:noWrap w:val="0"/>
            <w:vAlign w:val="center"/>
          </w:tcPr>
          <w:p w14:paraId="09EEE311">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DA002排气筒</w:t>
            </w:r>
          </w:p>
        </w:tc>
        <w:tc>
          <w:tcPr>
            <w:tcW w:w="2030" w:type="dxa"/>
            <w:gridSpan w:val="2"/>
            <w:tcBorders>
              <w:tl2br w:val="nil"/>
              <w:tr2bl w:val="nil"/>
            </w:tcBorders>
            <w:noWrap w:val="0"/>
            <w:vAlign w:val="center"/>
          </w:tcPr>
          <w:p w14:paraId="1A04260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标干流量</w:t>
            </w:r>
          </w:p>
        </w:tc>
        <w:tc>
          <w:tcPr>
            <w:tcW w:w="1043" w:type="dxa"/>
            <w:tcBorders>
              <w:tl2br w:val="nil"/>
              <w:tr2bl w:val="nil"/>
            </w:tcBorders>
            <w:noWrap w:val="0"/>
            <w:vAlign w:val="center"/>
          </w:tcPr>
          <w:p w14:paraId="5F529293">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2708</w:t>
            </w:r>
          </w:p>
        </w:tc>
        <w:tc>
          <w:tcPr>
            <w:tcW w:w="1043" w:type="dxa"/>
            <w:tcBorders>
              <w:tl2br w:val="nil"/>
              <w:tr2bl w:val="nil"/>
            </w:tcBorders>
            <w:noWrap w:val="0"/>
            <w:vAlign w:val="center"/>
          </w:tcPr>
          <w:p w14:paraId="55A2170C">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2710</w:t>
            </w:r>
          </w:p>
        </w:tc>
        <w:tc>
          <w:tcPr>
            <w:tcW w:w="1044" w:type="dxa"/>
            <w:tcBorders>
              <w:tl2br w:val="nil"/>
              <w:tr2bl w:val="nil"/>
            </w:tcBorders>
            <w:noWrap w:val="0"/>
            <w:vAlign w:val="center"/>
          </w:tcPr>
          <w:p w14:paraId="433943FF">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3004</w:t>
            </w:r>
          </w:p>
        </w:tc>
        <w:tc>
          <w:tcPr>
            <w:tcW w:w="881" w:type="dxa"/>
            <w:tcBorders>
              <w:tl2br w:val="nil"/>
              <w:tr2bl w:val="nil"/>
            </w:tcBorders>
            <w:noWrap w:val="0"/>
            <w:vAlign w:val="center"/>
          </w:tcPr>
          <w:p w14:paraId="28A6642D">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881" w:type="dxa"/>
            <w:tcBorders>
              <w:tl2br w:val="nil"/>
              <w:tr2bl w:val="nil"/>
            </w:tcBorders>
            <w:noWrap w:val="0"/>
            <w:vAlign w:val="center"/>
          </w:tcPr>
          <w:p w14:paraId="6ECCCC83">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Nm</w:t>
            </w:r>
            <w:r>
              <w:rPr>
                <w:rFonts w:hint="eastAsia" w:ascii="Times New Roman" w:hAnsi="Times New Roman" w:cs="Times New Roman"/>
                <w:color w:val="auto"/>
                <w:kern w:val="2"/>
                <w:sz w:val="21"/>
                <w:szCs w:val="21"/>
                <w:u w:val="none" w:color="auto"/>
                <w:vertAlign w:val="superscript"/>
                <w:lang w:val="en-US" w:eastAsia="zh-CN" w:bidi="ar-SA"/>
              </w:rPr>
              <w:t>3</w:t>
            </w:r>
            <w:r>
              <w:rPr>
                <w:rFonts w:hint="eastAsia" w:ascii="Times New Roman" w:hAnsi="Times New Roman" w:cs="Times New Roman"/>
                <w:color w:val="auto"/>
                <w:kern w:val="2"/>
                <w:sz w:val="21"/>
                <w:szCs w:val="21"/>
                <w:u w:val="none" w:color="auto"/>
                <w:lang w:val="en-US" w:eastAsia="zh-CN" w:bidi="ar-SA"/>
              </w:rPr>
              <w:t>/h</w:t>
            </w:r>
          </w:p>
        </w:tc>
      </w:tr>
      <w:tr w14:paraId="21DDD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6EDFAF2E">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27C3AA2B">
            <w:pPr>
              <w:jc w:val="center"/>
              <w:rPr>
                <w:rFonts w:hint="default" w:ascii="Times New Roman" w:hAnsi="Times New Roman" w:eastAsia="宋体" w:cs="Times New Roman"/>
                <w:color w:val="auto"/>
                <w:sz w:val="21"/>
                <w:szCs w:val="21"/>
                <w:u w:val="none" w:color="auto"/>
                <w:lang w:val="en-US" w:eastAsia="zh-CN"/>
              </w:rPr>
            </w:pPr>
          </w:p>
        </w:tc>
        <w:tc>
          <w:tcPr>
            <w:tcW w:w="2030" w:type="dxa"/>
            <w:gridSpan w:val="2"/>
            <w:tcBorders>
              <w:tl2br w:val="nil"/>
              <w:tr2bl w:val="nil"/>
            </w:tcBorders>
            <w:noWrap w:val="0"/>
            <w:vAlign w:val="center"/>
          </w:tcPr>
          <w:p w14:paraId="4769A34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平均温度</w:t>
            </w:r>
          </w:p>
        </w:tc>
        <w:tc>
          <w:tcPr>
            <w:tcW w:w="1043" w:type="dxa"/>
            <w:tcBorders>
              <w:tl2br w:val="nil"/>
              <w:tr2bl w:val="nil"/>
            </w:tcBorders>
            <w:noWrap w:val="0"/>
            <w:vAlign w:val="center"/>
          </w:tcPr>
          <w:p w14:paraId="31EA913D">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28.8</w:t>
            </w:r>
          </w:p>
        </w:tc>
        <w:tc>
          <w:tcPr>
            <w:tcW w:w="1043" w:type="dxa"/>
            <w:tcBorders>
              <w:tl2br w:val="nil"/>
              <w:tr2bl w:val="nil"/>
            </w:tcBorders>
            <w:noWrap w:val="0"/>
            <w:vAlign w:val="center"/>
          </w:tcPr>
          <w:p w14:paraId="2567E8BB">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29.3</w:t>
            </w:r>
          </w:p>
        </w:tc>
        <w:tc>
          <w:tcPr>
            <w:tcW w:w="1044" w:type="dxa"/>
            <w:tcBorders>
              <w:tl2br w:val="nil"/>
              <w:tr2bl w:val="nil"/>
            </w:tcBorders>
            <w:noWrap w:val="0"/>
            <w:vAlign w:val="center"/>
          </w:tcPr>
          <w:p w14:paraId="50DD5563">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29.1</w:t>
            </w:r>
          </w:p>
        </w:tc>
        <w:tc>
          <w:tcPr>
            <w:tcW w:w="881" w:type="dxa"/>
            <w:tcBorders>
              <w:tl2br w:val="nil"/>
              <w:tr2bl w:val="nil"/>
            </w:tcBorders>
            <w:noWrap w:val="0"/>
            <w:vAlign w:val="center"/>
          </w:tcPr>
          <w:p w14:paraId="139AD023">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881" w:type="dxa"/>
            <w:tcBorders>
              <w:tl2br w:val="nil"/>
              <w:tr2bl w:val="nil"/>
            </w:tcBorders>
            <w:noWrap w:val="0"/>
            <w:vAlign w:val="center"/>
          </w:tcPr>
          <w:p w14:paraId="5A612002">
            <w:pPr>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kern w:val="2"/>
                <w:sz w:val="21"/>
                <w:szCs w:val="21"/>
                <w:u w:val="none" w:color="auto"/>
                <w:lang w:val="en-US" w:eastAsia="zh-CN" w:bidi="ar-SA"/>
              </w:rPr>
              <w:t>℃</w:t>
            </w:r>
          </w:p>
        </w:tc>
      </w:tr>
      <w:tr w14:paraId="2A7676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1FBA6753">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7C23AEDB">
            <w:pPr>
              <w:jc w:val="center"/>
              <w:rPr>
                <w:rFonts w:hint="default" w:ascii="Times New Roman" w:hAnsi="Times New Roman" w:eastAsia="宋体" w:cs="Times New Roman"/>
                <w:color w:val="auto"/>
                <w:sz w:val="21"/>
                <w:szCs w:val="21"/>
                <w:u w:val="none" w:color="auto"/>
                <w:lang w:val="en-US" w:eastAsia="zh-CN"/>
              </w:rPr>
            </w:pPr>
          </w:p>
        </w:tc>
        <w:tc>
          <w:tcPr>
            <w:tcW w:w="2030" w:type="dxa"/>
            <w:gridSpan w:val="2"/>
            <w:tcBorders>
              <w:tl2br w:val="nil"/>
              <w:tr2bl w:val="nil"/>
            </w:tcBorders>
            <w:noWrap w:val="0"/>
            <w:vAlign w:val="center"/>
          </w:tcPr>
          <w:p w14:paraId="1991A92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平均流速</w:t>
            </w:r>
          </w:p>
        </w:tc>
        <w:tc>
          <w:tcPr>
            <w:tcW w:w="1043" w:type="dxa"/>
            <w:tcBorders>
              <w:tl2br w:val="nil"/>
              <w:tr2bl w:val="nil"/>
            </w:tcBorders>
            <w:noWrap w:val="0"/>
            <w:vAlign w:val="center"/>
          </w:tcPr>
          <w:p w14:paraId="7C24E476">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3.0</w:t>
            </w:r>
          </w:p>
        </w:tc>
        <w:tc>
          <w:tcPr>
            <w:tcW w:w="1043" w:type="dxa"/>
            <w:tcBorders>
              <w:tl2br w:val="nil"/>
              <w:tr2bl w:val="nil"/>
            </w:tcBorders>
            <w:noWrap w:val="0"/>
            <w:vAlign w:val="center"/>
          </w:tcPr>
          <w:p w14:paraId="3E7F0C58">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3.0</w:t>
            </w:r>
          </w:p>
        </w:tc>
        <w:tc>
          <w:tcPr>
            <w:tcW w:w="1044" w:type="dxa"/>
            <w:tcBorders>
              <w:tl2br w:val="nil"/>
              <w:tr2bl w:val="nil"/>
            </w:tcBorders>
            <w:noWrap w:val="0"/>
            <w:vAlign w:val="center"/>
          </w:tcPr>
          <w:p w14:paraId="13DF3D06">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3.4</w:t>
            </w:r>
          </w:p>
        </w:tc>
        <w:tc>
          <w:tcPr>
            <w:tcW w:w="881" w:type="dxa"/>
            <w:tcBorders>
              <w:tl2br w:val="nil"/>
              <w:tr2bl w:val="nil"/>
            </w:tcBorders>
            <w:noWrap w:val="0"/>
            <w:vAlign w:val="center"/>
          </w:tcPr>
          <w:p w14:paraId="34C788BE">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881" w:type="dxa"/>
            <w:tcBorders>
              <w:tl2br w:val="nil"/>
              <w:tr2bl w:val="nil"/>
            </w:tcBorders>
            <w:noWrap w:val="0"/>
            <w:vAlign w:val="center"/>
          </w:tcPr>
          <w:p w14:paraId="1D56B3F7">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m/s</w:t>
            </w:r>
          </w:p>
        </w:tc>
      </w:tr>
      <w:tr w14:paraId="287534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672A3005">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3F4812BA">
            <w:pPr>
              <w:jc w:val="center"/>
              <w:rPr>
                <w:rFonts w:hint="default" w:ascii="Times New Roman" w:hAnsi="Times New Roman" w:eastAsia="宋体" w:cs="Times New Roman"/>
                <w:color w:val="auto"/>
                <w:sz w:val="21"/>
                <w:szCs w:val="21"/>
                <w:u w:val="none" w:color="auto"/>
                <w:lang w:val="en-US" w:eastAsia="zh-CN"/>
              </w:rPr>
            </w:pPr>
          </w:p>
        </w:tc>
        <w:tc>
          <w:tcPr>
            <w:tcW w:w="915" w:type="dxa"/>
            <w:vMerge w:val="restart"/>
            <w:tcBorders>
              <w:tl2br w:val="nil"/>
              <w:tr2bl w:val="nil"/>
            </w:tcBorders>
            <w:noWrap w:val="0"/>
            <w:vAlign w:val="center"/>
          </w:tcPr>
          <w:p w14:paraId="5A18FBEB">
            <w:pPr>
              <w:jc w:val="center"/>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颗粒物</w:t>
            </w:r>
          </w:p>
        </w:tc>
        <w:tc>
          <w:tcPr>
            <w:tcW w:w="1115" w:type="dxa"/>
            <w:tcBorders>
              <w:tl2br w:val="nil"/>
              <w:tr2bl w:val="nil"/>
            </w:tcBorders>
            <w:noWrap w:val="0"/>
            <w:vAlign w:val="center"/>
          </w:tcPr>
          <w:p w14:paraId="3A2F2B76">
            <w:pPr>
              <w:jc w:val="center"/>
              <w:rPr>
                <w:rFonts w:hint="eastAsia"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实测浓度</w:t>
            </w:r>
          </w:p>
        </w:tc>
        <w:tc>
          <w:tcPr>
            <w:tcW w:w="1043" w:type="dxa"/>
            <w:tcBorders>
              <w:tl2br w:val="nil"/>
              <w:tr2bl w:val="nil"/>
            </w:tcBorders>
            <w:noWrap w:val="0"/>
            <w:vAlign w:val="center"/>
          </w:tcPr>
          <w:p w14:paraId="2CFA5D3D">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4.7</w:t>
            </w:r>
          </w:p>
        </w:tc>
        <w:tc>
          <w:tcPr>
            <w:tcW w:w="1043" w:type="dxa"/>
            <w:tcBorders>
              <w:tl2br w:val="nil"/>
              <w:tr2bl w:val="nil"/>
            </w:tcBorders>
            <w:noWrap w:val="0"/>
            <w:vAlign w:val="center"/>
          </w:tcPr>
          <w:p w14:paraId="02F8E490">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5.0</w:t>
            </w:r>
          </w:p>
        </w:tc>
        <w:tc>
          <w:tcPr>
            <w:tcW w:w="1044" w:type="dxa"/>
            <w:tcBorders>
              <w:tl2br w:val="nil"/>
              <w:tr2bl w:val="nil"/>
            </w:tcBorders>
            <w:noWrap w:val="0"/>
            <w:vAlign w:val="center"/>
          </w:tcPr>
          <w:p w14:paraId="2B8D4D8C">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6.5</w:t>
            </w:r>
          </w:p>
        </w:tc>
        <w:tc>
          <w:tcPr>
            <w:tcW w:w="881" w:type="dxa"/>
            <w:tcBorders>
              <w:tl2br w:val="nil"/>
              <w:tr2bl w:val="nil"/>
            </w:tcBorders>
            <w:noWrap w:val="0"/>
            <w:vAlign w:val="center"/>
          </w:tcPr>
          <w:p w14:paraId="0D974DA4">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120</w:t>
            </w:r>
          </w:p>
        </w:tc>
        <w:tc>
          <w:tcPr>
            <w:tcW w:w="881" w:type="dxa"/>
            <w:tcBorders>
              <w:tl2br w:val="nil"/>
              <w:tr2bl w:val="nil"/>
            </w:tcBorders>
            <w:noWrap w:val="0"/>
            <w:vAlign w:val="center"/>
          </w:tcPr>
          <w:p w14:paraId="443E9864">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5F4A98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7C98DBDB">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6B9B1589">
            <w:pPr>
              <w:jc w:val="center"/>
              <w:rPr>
                <w:rFonts w:hint="default" w:ascii="Times New Roman" w:hAnsi="Times New Roman" w:eastAsia="宋体" w:cs="Times New Roman"/>
                <w:color w:val="auto"/>
                <w:sz w:val="21"/>
                <w:szCs w:val="21"/>
                <w:u w:val="none" w:color="auto"/>
                <w:lang w:val="en-US" w:eastAsia="zh-CN"/>
              </w:rPr>
            </w:pPr>
          </w:p>
        </w:tc>
        <w:tc>
          <w:tcPr>
            <w:tcW w:w="915" w:type="dxa"/>
            <w:vMerge w:val="continue"/>
            <w:tcBorders>
              <w:tl2br w:val="nil"/>
              <w:tr2bl w:val="nil"/>
            </w:tcBorders>
            <w:noWrap w:val="0"/>
            <w:vAlign w:val="center"/>
          </w:tcPr>
          <w:p w14:paraId="0A9E5CEF">
            <w:pPr>
              <w:jc w:val="center"/>
              <w:rPr>
                <w:rFonts w:hint="eastAsia" w:ascii="Times New Roman" w:hAnsi="Times New Roman" w:cs="Times New Roman"/>
                <w:color w:val="auto"/>
                <w:szCs w:val="21"/>
                <w:u w:val="none" w:color="auto"/>
                <w:lang w:val="en-US" w:eastAsia="zh-CN"/>
              </w:rPr>
            </w:pPr>
          </w:p>
        </w:tc>
        <w:tc>
          <w:tcPr>
            <w:tcW w:w="1115" w:type="dxa"/>
            <w:tcBorders>
              <w:tl2br w:val="nil"/>
              <w:tr2bl w:val="nil"/>
            </w:tcBorders>
            <w:noWrap w:val="0"/>
            <w:vAlign w:val="center"/>
          </w:tcPr>
          <w:p w14:paraId="64755D26">
            <w:pPr>
              <w:jc w:val="center"/>
              <w:rPr>
                <w:rFonts w:hint="eastAsia"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排放速率</w:t>
            </w:r>
          </w:p>
        </w:tc>
        <w:tc>
          <w:tcPr>
            <w:tcW w:w="1043" w:type="dxa"/>
            <w:tcBorders>
              <w:tl2br w:val="nil"/>
              <w:tr2bl w:val="nil"/>
            </w:tcBorders>
            <w:noWrap w:val="0"/>
            <w:vAlign w:val="center"/>
          </w:tcPr>
          <w:p w14:paraId="3D01C929">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0.013</w:t>
            </w:r>
          </w:p>
        </w:tc>
        <w:tc>
          <w:tcPr>
            <w:tcW w:w="1043" w:type="dxa"/>
            <w:tcBorders>
              <w:tl2br w:val="nil"/>
              <w:tr2bl w:val="nil"/>
            </w:tcBorders>
            <w:noWrap w:val="0"/>
            <w:vAlign w:val="center"/>
          </w:tcPr>
          <w:p w14:paraId="2F6CC9FF">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0.014</w:t>
            </w:r>
          </w:p>
        </w:tc>
        <w:tc>
          <w:tcPr>
            <w:tcW w:w="1044" w:type="dxa"/>
            <w:tcBorders>
              <w:tl2br w:val="nil"/>
              <w:tr2bl w:val="nil"/>
            </w:tcBorders>
            <w:noWrap w:val="0"/>
            <w:vAlign w:val="center"/>
          </w:tcPr>
          <w:p w14:paraId="44206C71">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0.020</w:t>
            </w:r>
          </w:p>
        </w:tc>
        <w:tc>
          <w:tcPr>
            <w:tcW w:w="881" w:type="dxa"/>
            <w:tcBorders>
              <w:tl2br w:val="nil"/>
              <w:tr2bl w:val="nil"/>
            </w:tcBorders>
            <w:noWrap w:val="0"/>
            <w:vAlign w:val="center"/>
          </w:tcPr>
          <w:p w14:paraId="5607A7DC">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3.5</w:t>
            </w:r>
          </w:p>
        </w:tc>
        <w:tc>
          <w:tcPr>
            <w:tcW w:w="881" w:type="dxa"/>
            <w:tcBorders>
              <w:tl2br w:val="nil"/>
              <w:tr2bl w:val="nil"/>
            </w:tcBorders>
            <w:noWrap w:val="0"/>
            <w:vAlign w:val="center"/>
          </w:tcPr>
          <w:p w14:paraId="60771B2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kg/h</w:t>
            </w:r>
          </w:p>
        </w:tc>
      </w:tr>
      <w:tr w14:paraId="65C23C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837" w:type="dxa"/>
            <w:vMerge w:val="continue"/>
            <w:tcBorders>
              <w:tl2br w:val="nil"/>
              <w:tr2bl w:val="nil"/>
            </w:tcBorders>
            <w:noWrap w:val="0"/>
            <w:vAlign w:val="center"/>
          </w:tcPr>
          <w:p w14:paraId="5946E648">
            <w:pPr>
              <w:jc w:val="center"/>
              <w:rPr>
                <w:rFonts w:hint="default" w:ascii="Times New Roman" w:hAnsi="Times New Roman" w:eastAsia="宋体" w:cs="Times New Roman"/>
                <w:color w:val="auto"/>
                <w:sz w:val="21"/>
                <w:szCs w:val="21"/>
                <w:u w:val="none" w:color="auto"/>
                <w:lang w:val="en-US" w:eastAsia="zh-CN"/>
              </w:rPr>
            </w:pPr>
          </w:p>
        </w:tc>
        <w:tc>
          <w:tcPr>
            <w:tcW w:w="763" w:type="dxa"/>
            <w:vMerge w:val="restart"/>
            <w:tcBorders>
              <w:tl2br w:val="nil"/>
              <w:tr2bl w:val="nil"/>
            </w:tcBorders>
            <w:noWrap w:val="0"/>
            <w:vAlign w:val="center"/>
          </w:tcPr>
          <w:p w14:paraId="53A8CDD0">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DA003排气筒</w:t>
            </w:r>
          </w:p>
        </w:tc>
        <w:tc>
          <w:tcPr>
            <w:tcW w:w="2030" w:type="dxa"/>
            <w:gridSpan w:val="2"/>
            <w:tcBorders>
              <w:tl2br w:val="nil"/>
              <w:tr2bl w:val="nil"/>
            </w:tcBorders>
            <w:noWrap w:val="0"/>
            <w:vAlign w:val="center"/>
          </w:tcPr>
          <w:p w14:paraId="5C7D8468">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标干流量</w:t>
            </w:r>
          </w:p>
        </w:tc>
        <w:tc>
          <w:tcPr>
            <w:tcW w:w="1043" w:type="dxa"/>
            <w:tcBorders>
              <w:tl2br w:val="nil"/>
              <w:tr2bl w:val="nil"/>
            </w:tcBorders>
            <w:noWrap w:val="0"/>
            <w:vAlign w:val="center"/>
          </w:tcPr>
          <w:p w14:paraId="1CE0B52F">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9335</w:t>
            </w:r>
          </w:p>
        </w:tc>
        <w:tc>
          <w:tcPr>
            <w:tcW w:w="1043" w:type="dxa"/>
            <w:tcBorders>
              <w:tl2br w:val="nil"/>
              <w:tr2bl w:val="nil"/>
            </w:tcBorders>
            <w:noWrap w:val="0"/>
            <w:vAlign w:val="center"/>
          </w:tcPr>
          <w:p w14:paraId="6728F096">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9093</w:t>
            </w:r>
          </w:p>
        </w:tc>
        <w:tc>
          <w:tcPr>
            <w:tcW w:w="1044" w:type="dxa"/>
            <w:tcBorders>
              <w:tl2br w:val="nil"/>
              <w:tr2bl w:val="nil"/>
            </w:tcBorders>
            <w:noWrap w:val="0"/>
            <w:vAlign w:val="center"/>
          </w:tcPr>
          <w:p w14:paraId="7607B57A">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8775</w:t>
            </w:r>
          </w:p>
        </w:tc>
        <w:tc>
          <w:tcPr>
            <w:tcW w:w="881" w:type="dxa"/>
            <w:tcBorders>
              <w:tl2br w:val="nil"/>
              <w:tr2bl w:val="nil"/>
            </w:tcBorders>
            <w:noWrap w:val="0"/>
            <w:vAlign w:val="center"/>
          </w:tcPr>
          <w:p w14:paraId="69A20E7F">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881" w:type="dxa"/>
            <w:tcBorders>
              <w:tl2br w:val="nil"/>
              <w:tr2bl w:val="nil"/>
            </w:tcBorders>
            <w:noWrap w:val="0"/>
            <w:vAlign w:val="center"/>
          </w:tcPr>
          <w:p w14:paraId="484598F9">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Nm</w:t>
            </w:r>
            <w:r>
              <w:rPr>
                <w:rFonts w:hint="eastAsia" w:ascii="Times New Roman" w:hAnsi="Times New Roman" w:cs="Times New Roman"/>
                <w:color w:val="auto"/>
                <w:kern w:val="2"/>
                <w:sz w:val="21"/>
                <w:szCs w:val="21"/>
                <w:u w:val="none" w:color="auto"/>
                <w:vertAlign w:val="superscript"/>
                <w:lang w:val="en-US" w:eastAsia="zh-CN" w:bidi="ar-SA"/>
              </w:rPr>
              <w:t>3</w:t>
            </w:r>
            <w:r>
              <w:rPr>
                <w:rFonts w:hint="eastAsia" w:ascii="Times New Roman" w:hAnsi="Times New Roman" w:cs="Times New Roman"/>
                <w:color w:val="auto"/>
                <w:kern w:val="2"/>
                <w:sz w:val="21"/>
                <w:szCs w:val="21"/>
                <w:u w:val="none" w:color="auto"/>
                <w:lang w:val="en-US" w:eastAsia="zh-CN" w:bidi="ar-SA"/>
              </w:rPr>
              <w:t>/h</w:t>
            </w:r>
          </w:p>
        </w:tc>
      </w:tr>
      <w:tr w14:paraId="64006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2BAC08D3">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75857DD6">
            <w:pPr>
              <w:jc w:val="center"/>
              <w:rPr>
                <w:rFonts w:hint="default" w:ascii="Times New Roman" w:hAnsi="Times New Roman" w:eastAsia="宋体" w:cs="Times New Roman"/>
                <w:color w:val="auto"/>
                <w:sz w:val="21"/>
                <w:szCs w:val="21"/>
                <w:u w:val="none" w:color="auto"/>
                <w:lang w:val="en-US" w:eastAsia="zh-CN"/>
              </w:rPr>
            </w:pPr>
          </w:p>
        </w:tc>
        <w:tc>
          <w:tcPr>
            <w:tcW w:w="2030" w:type="dxa"/>
            <w:gridSpan w:val="2"/>
            <w:tcBorders>
              <w:tl2br w:val="nil"/>
              <w:tr2bl w:val="nil"/>
            </w:tcBorders>
            <w:noWrap w:val="0"/>
            <w:vAlign w:val="center"/>
          </w:tcPr>
          <w:p w14:paraId="21EB823D">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平均温度</w:t>
            </w:r>
          </w:p>
        </w:tc>
        <w:tc>
          <w:tcPr>
            <w:tcW w:w="1043" w:type="dxa"/>
            <w:tcBorders>
              <w:tl2br w:val="nil"/>
              <w:tr2bl w:val="nil"/>
            </w:tcBorders>
            <w:noWrap w:val="0"/>
            <w:vAlign w:val="center"/>
          </w:tcPr>
          <w:p w14:paraId="0DBCF794">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49.8</w:t>
            </w:r>
          </w:p>
        </w:tc>
        <w:tc>
          <w:tcPr>
            <w:tcW w:w="1043" w:type="dxa"/>
            <w:tcBorders>
              <w:tl2br w:val="nil"/>
              <w:tr2bl w:val="nil"/>
            </w:tcBorders>
            <w:noWrap w:val="0"/>
            <w:vAlign w:val="center"/>
          </w:tcPr>
          <w:p w14:paraId="3BA6AA66">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61.3</w:t>
            </w:r>
          </w:p>
        </w:tc>
        <w:tc>
          <w:tcPr>
            <w:tcW w:w="1044" w:type="dxa"/>
            <w:tcBorders>
              <w:tl2br w:val="nil"/>
              <w:tr2bl w:val="nil"/>
            </w:tcBorders>
            <w:noWrap w:val="0"/>
            <w:vAlign w:val="center"/>
          </w:tcPr>
          <w:p w14:paraId="2BDAE25A">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66.6</w:t>
            </w:r>
          </w:p>
        </w:tc>
        <w:tc>
          <w:tcPr>
            <w:tcW w:w="881" w:type="dxa"/>
            <w:tcBorders>
              <w:tl2br w:val="nil"/>
              <w:tr2bl w:val="nil"/>
            </w:tcBorders>
            <w:noWrap w:val="0"/>
            <w:vAlign w:val="center"/>
          </w:tcPr>
          <w:p w14:paraId="7B656E2F">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881" w:type="dxa"/>
            <w:tcBorders>
              <w:tl2br w:val="nil"/>
              <w:tr2bl w:val="nil"/>
            </w:tcBorders>
            <w:noWrap w:val="0"/>
            <w:vAlign w:val="center"/>
          </w:tcPr>
          <w:p w14:paraId="40F50ED5">
            <w:pPr>
              <w:jc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kern w:val="2"/>
                <w:sz w:val="21"/>
                <w:szCs w:val="21"/>
                <w:u w:val="none" w:color="auto"/>
                <w:lang w:val="en-US" w:eastAsia="zh-CN" w:bidi="ar-SA"/>
              </w:rPr>
              <w:t>℃</w:t>
            </w:r>
          </w:p>
        </w:tc>
      </w:tr>
      <w:tr w14:paraId="45196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442E0598">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51C23FEF">
            <w:pPr>
              <w:jc w:val="center"/>
              <w:rPr>
                <w:rFonts w:hint="default" w:ascii="Times New Roman" w:hAnsi="Times New Roman" w:eastAsia="宋体" w:cs="Times New Roman"/>
                <w:color w:val="auto"/>
                <w:sz w:val="21"/>
                <w:szCs w:val="21"/>
                <w:u w:val="none" w:color="auto"/>
                <w:lang w:val="en-US" w:eastAsia="zh-CN"/>
              </w:rPr>
            </w:pPr>
          </w:p>
        </w:tc>
        <w:tc>
          <w:tcPr>
            <w:tcW w:w="2030" w:type="dxa"/>
            <w:gridSpan w:val="2"/>
            <w:tcBorders>
              <w:tl2br w:val="nil"/>
              <w:tr2bl w:val="nil"/>
            </w:tcBorders>
            <w:noWrap w:val="0"/>
            <w:vAlign w:val="center"/>
          </w:tcPr>
          <w:p w14:paraId="46694D35">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平均流速</w:t>
            </w:r>
          </w:p>
        </w:tc>
        <w:tc>
          <w:tcPr>
            <w:tcW w:w="1043" w:type="dxa"/>
            <w:tcBorders>
              <w:tl2br w:val="nil"/>
              <w:tr2bl w:val="nil"/>
            </w:tcBorders>
            <w:noWrap w:val="0"/>
            <w:vAlign w:val="center"/>
          </w:tcPr>
          <w:p w14:paraId="6684D9CE">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25.0</w:t>
            </w:r>
          </w:p>
        </w:tc>
        <w:tc>
          <w:tcPr>
            <w:tcW w:w="1043" w:type="dxa"/>
            <w:tcBorders>
              <w:tl2br w:val="nil"/>
              <w:tr2bl w:val="nil"/>
            </w:tcBorders>
            <w:noWrap w:val="0"/>
            <w:vAlign w:val="center"/>
          </w:tcPr>
          <w:p w14:paraId="6E6AAFB9">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25.2</w:t>
            </w:r>
          </w:p>
        </w:tc>
        <w:tc>
          <w:tcPr>
            <w:tcW w:w="1044" w:type="dxa"/>
            <w:tcBorders>
              <w:tl2br w:val="nil"/>
              <w:tr2bl w:val="nil"/>
            </w:tcBorders>
            <w:noWrap w:val="0"/>
            <w:vAlign w:val="center"/>
          </w:tcPr>
          <w:p w14:paraId="221A4929">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24.8</w:t>
            </w:r>
          </w:p>
        </w:tc>
        <w:tc>
          <w:tcPr>
            <w:tcW w:w="881" w:type="dxa"/>
            <w:tcBorders>
              <w:tl2br w:val="nil"/>
              <w:tr2bl w:val="nil"/>
            </w:tcBorders>
            <w:noWrap w:val="0"/>
            <w:vAlign w:val="center"/>
          </w:tcPr>
          <w:p w14:paraId="4B4F343A">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w:t>
            </w:r>
          </w:p>
        </w:tc>
        <w:tc>
          <w:tcPr>
            <w:tcW w:w="881" w:type="dxa"/>
            <w:tcBorders>
              <w:tl2br w:val="nil"/>
              <w:tr2bl w:val="nil"/>
            </w:tcBorders>
            <w:noWrap w:val="0"/>
            <w:vAlign w:val="center"/>
          </w:tcPr>
          <w:p w14:paraId="58274D95">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m/s</w:t>
            </w:r>
          </w:p>
        </w:tc>
      </w:tr>
      <w:tr w14:paraId="0954BA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68A1F35C">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563BEB44">
            <w:pPr>
              <w:jc w:val="center"/>
              <w:rPr>
                <w:rFonts w:hint="default" w:ascii="Times New Roman" w:hAnsi="Times New Roman" w:eastAsia="宋体" w:cs="Times New Roman"/>
                <w:color w:val="auto"/>
                <w:sz w:val="21"/>
                <w:szCs w:val="21"/>
                <w:u w:val="none" w:color="auto"/>
                <w:lang w:val="en-US" w:eastAsia="zh-CN"/>
              </w:rPr>
            </w:pPr>
          </w:p>
        </w:tc>
        <w:tc>
          <w:tcPr>
            <w:tcW w:w="915" w:type="dxa"/>
            <w:vMerge w:val="restart"/>
            <w:tcBorders>
              <w:tl2br w:val="nil"/>
              <w:tr2bl w:val="nil"/>
            </w:tcBorders>
            <w:noWrap w:val="0"/>
            <w:vAlign w:val="center"/>
          </w:tcPr>
          <w:p w14:paraId="14CA4598">
            <w:pPr>
              <w:jc w:val="center"/>
              <w:rPr>
                <w:rFonts w:hint="default" w:ascii="Times New Roman" w:hAnsi="Times New Roman" w:cs="Times New Roman"/>
                <w:color w:val="auto"/>
                <w:szCs w:val="21"/>
                <w:u w:val="none" w:color="auto"/>
                <w:lang w:val="en-US" w:eastAsia="zh-CN"/>
              </w:rPr>
            </w:pPr>
            <w:r>
              <w:rPr>
                <w:rFonts w:hint="eastAsia" w:ascii="Times New Roman" w:hAnsi="Times New Roman" w:cs="Times New Roman"/>
                <w:color w:val="auto"/>
                <w:szCs w:val="21"/>
                <w:u w:val="none" w:color="auto"/>
                <w:lang w:val="en-US" w:eastAsia="zh-CN"/>
              </w:rPr>
              <w:t>颗粒物</w:t>
            </w:r>
          </w:p>
        </w:tc>
        <w:tc>
          <w:tcPr>
            <w:tcW w:w="1115" w:type="dxa"/>
            <w:tcBorders>
              <w:tl2br w:val="nil"/>
              <w:tr2bl w:val="nil"/>
            </w:tcBorders>
            <w:noWrap w:val="0"/>
            <w:vAlign w:val="center"/>
          </w:tcPr>
          <w:p w14:paraId="084A9229">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实测浓度</w:t>
            </w:r>
          </w:p>
        </w:tc>
        <w:tc>
          <w:tcPr>
            <w:tcW w:w="1043" w:type="dxa"/>
            <w:tcBorders>
              <w:tl2br w:val="nil"/>
              <w:tr2bl w:val="nil"/>
            </w:tcBorders>
            <w:noWrap w:val="0"/>
            <w:vAlign w:val="center"/>
          </w:tcPr>
          <w:p w14:paraId="35E71CF8">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3.5</w:t>
            </w:r>
          </w:p>
        </w:tc>
        <w:tc>
          <w:tcPr>
            <w:tcW w:w="1043" w:type="dxa"/>
            <w:tcBorders>
              <w:tl2br w:val="nil"/>
              <w:tr2bl w:val="nil"/>
            </w:tcBorders>
            <w:noWrap w:val="0"/>
            <w:vAlign w:val="center"/>
          </w:tcPr>
          <w:p w14:paraId="336DBBE4">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3.7</w:t>
            </w:r>
          </w:p>
        </w:tc>
        <w:tc>
          <w:tcPr>
            <w:tcW w:w="1044" w:type="dxa"/>
            <w:tcBorders>
              <w:tl2br w:val="nil"/>
              <w:tr2bl w:val="nil"/>
            </w:tcBorders>
            <w:noWrap w:val="0"/>
            <w:vAlign w:val="center"/>
          </w:tcPr>
          <w:p w14:paraId="3F6824D6">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3.4</w:t>
            </w:r>
          </w:p>
        </w:tc>
        <w:tc>
          <w:tcPr>
            <w:tcW w:w="881" w:type="dxa"/>
            <w:tcBorders>
              <w:tl2br w:val="nil"/>
              <w:tr2bl w:val="nil"/>
            </w:tcBorders>
            <w:noWrap w:val="0"/>
            <w:vAlign w:val="center"/>
          </w:tcPr>
          <w:p w14:paraId="372586DF">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120</w:t>
            </w:r>
          </w:p>
        </w:tc>
        <w:tc>
          <w:tcPr>
            <w:tcW w:w="881" w:type="dxa"/>
            <w:tcBorders>
              <w:tl2br w:val="nil"/>
              <w:tr2bl w:val="nil"/>
            </w:tcBorders>
            <w:noWrap w:val="0"/>
            <w:vAlign w:val="center"/>
          </w:tcPr>
          <w:p w14:paraId="644280D2">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2EA606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37" w:type="dxa"/>
            <w:vMerge w:val="continue"/>
            <w:tcBorders>
              <w:tl2br w:val="nil"/>
              <w:tr2bl w:val="nil"/>
            </w:tcBorders>
            <w:noWrap w:val="0"/>
            <w:vAlign w:val="center"/>
          </w:tcPr>
          <w:p w14:paraId="2FDD98D2">
            <w:pPr>
              <w:jc w:val="center"/>
              <w:rPr>
                <w:rFonts w:hint="default" w:ascii="Times New Roman" w:hAnsi="Times New Roman" w:eastAsia="宋体" w:cs="Times New Roman"/>
                <w:color w:val="auto"/>
                <w:sz w:val="21"/>
                <w:szCs w:val="21"/>
                <w:u w:val="none" w:color="auto"/>
                <w:lang w:val="en-US" w:eastAsia="zh-CN"/>
              </w:rPr>
            </w:pPr>
          </w:p>
        </w:tc>
        <w:tc>
          <w:tcPr>
            <w:tcW w:w="763" w:type="dxa"/>
            <w:vMerge w:val="continue"/>
            <w:tcBorders>
              <w:tl2br w:val="nil"/>
              <w:tr2bl w:val="nil"/>
            </w:tcBorders>
            <w:noWrap w:val="0"/>
            <w:vAlign w:val="center"/>
          </w:tcPr>
          <w:p w14:paraId="1E8CD75E">
            <w:pPr>
              <w:jc w:val="center"/>
              <w:rPr>
                <w:rFonts w:hint="default" w:ascii="Times New Roman" w:hAnsi="Times New Roman" w:eastAsia="宋体" w:cs="Times New Roman"/>
                <w:color w:val="auto"/>
                <w:sz w:val="21"/>
                <w:szCs w:val="21"/>
                <w:u w:val="none" w:color="auto"/>
                <w:lang w:val="en-US" w:eastAsia="zh-CN"/>
              </w:rPr>
            </w:pPr>
          </w:p>
        </w:tc>
        <w:tc>
          <w:tcPr>
            <w:tcW w:w="915" w:type="dxa"/>
            <w:vMerge w:val="continue"/>
            <w:tcBorders>
              <w:tl2br w:val="nil"/>
              <w:tr2bl w:val="nil"/>
            </w:tcBorders>
            <w:noWrap w:val="0"/>
            <w:vAlign w:val="center"/>
          </w:tcPr>
          <w:p w14:paraId="1E8CA835">
            <w:pPr>
              <w:jc w:val="center"/>
              <w:rPr>
                <w:rFonts w:hint="eastAsia" w:ascii="Times New Roman" w:hAnsi="Times New Roman" w:cs="Times New Roman"/>
                <w:color w:val="auto"/>
                <w:szCs w:val="21"/>
                <w:u w:val="none" w:color="auto"/>
                <w:lang w:val="en-US" w:eastAsia="zh-CN"/>
              </w:rPr>
            </w:pPr>
          </w:p>
        </w:tc>
        <w:tc>
          <w:tcPr>
            <w:tcW w:w="1115" w:type="dxa"/>
            <w:tcBorders>
              <w:tl2br w:val="nil"/>
              <w:tr2bl w:val="nil"/>
            </w:tcBorders>
            <w:noWrap w:val="0"/>
            <w:vAlign w:val="center"/>
          </w:tcPr>
          <w:p w14:paraId="3CA5DA54">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排放速率</w:t>
            </w:r>
          </w:p>
        </w:tc>
        <w:tc>
          <w:tcPr>
            <w:tcW w:w="1043" w:type="dxa"/>
            <w:tcBorders>
              <w:tl2br w:val="nil"/>
              <w:tr2bl w:val="nil"/>
            </w:tcBorders>
            <w:noWrap w:val="0"/>
            <w:vAlign w:val="center"/>
          </w:tcPr>
          <w:p w14:paraId="34CB84CB">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0.033</w:t>
            </w:r>
          </w:p>
        </w:tc>
        <w:tc>
          <w:tcPr>
            <w:tcW w:w="1043" w:type="dxa"/>
            <w:tcBorders>
              <w:tl2br w:val="nil"/>
              <w:tr2bl w:val="nil"/>
            </w:tcBorders>
            <w:noWrap w:val="0"/>
            <w:vAlign w:val="center"/>
          </w:tcPr>
          <w:p w14:paraId="6B20315A">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0.034</w:t>
            </w:r>
          </w:p>
        </w:tc>
        <w:tc>
          <w:tcPr>
            <w:tcW w:w="1044" w:type="dxa"/>
            <w:tcBorders>
              <w:tl2br w:val="nil"/>
              <w:tr2bl w:val="nil"/>
            </w:tcBorders>
            <w:noWrap w:val="0"/>
            <w:vAlign w:val="center"/>
          </w:tcPr>
          <w:p w14:paraId="71E8D0EA">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0.030</w:t>
            </w:r>
          </w:p>
        </w:tc>
        <w:tc>
          <w:tcPr>
            <w:tcW w:w="881" w:type="dxa"/>
            <w:tcBorders>
              <w:tl2br w:val="nil"/>
              <w:tr2bl w:val="nil"/>
            </w:tcBorders>
            <w:noWrap w:val="0"/>
            <w:vAlign w:val="center"/>
          </w:tcPr>
          <w:p w14:paraId="6A6ADA7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3.5</w:t>
            </w:r>
          </w:p>
        </w:tc>
        <w:tc>
          <w:tcPr>
            <w:tcW w:w="881" w:type="dxa"/>
            <w:tcBorders>
              <w:tl2br w:val="nil"/>
              <w:tr2bl w:val="nil"/>
            </w:tcBorders>
            <w:noWrap w:val="0"/>
            <w:vAlign w:val="center"/>
          </w:tcPr>
          <w:p w14:paraId="0FFD1651">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kg/h</w:t>
            </w:r>
          </w:p>
        </w:tc>
      </w:tr>
    </w:tbl>
    <w:p w14:paraId="629DE143">
      <w:pPr>
        <w:pStyle w:val="22"/>
        <w:bidi w:val="0"/>
        <w:rPr>
          <w:rFonts w:hint="default"/>
          <w:color w:val="auto"/>
          <w:u w:val="none" w:color="auto"/>
          <w:lang w:val="en-US" w:eastAsia="zh-CN"/>
        </w:rPr>
      </w:pPr>
      <w:r>
        <w:rPr>
          <w:rFonts w:hint="eastAsia"/>
          <w:color w:val="auto"/>
          <w:u w:val="none" w:color="auto"/>
          <w:lang w:val="en-US" w:eastAsia="zh-CN"/>
        </w:rPr>
        <w:t>表3.3-3 迁建前项目常规废气监测结果表2</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70"/>
        <w:gridCol w:w="1410"/>
        <w:gridCol w:w="771"/>
        <w:gridCol w:w="825"/>
        <w:gridCol w:w="750"/>
        <w:gridCol w:w="825"/>
        <w:gridCol w:w="834"/>
        <w:gridCol w:w="675"/>
        <w:gridCol w:w="832"/>
      </w:tblGrid>
      <w:tr w14:paraId="465195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restart"/>
            <w:tcBorders>
              <w:tl2br w:val="nil"/>
              <w:tr2bl w:val="nil"/>
            </w:tcBorders>
            <w:noWrap w:val="0"/>
            <w:vAlign w:val="center"/>
          </w:tcPr>
          <w:p w14:paraId="4E4C3D0C">
            <w:pPr>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采样时间</w:t>
            </w:r>
          </w:p>
        </w:tc>
        <w:tc>
          <w:tcPr>
            <w:tcW w:w="870" w:type="dxa"/>
            <w:vMerge w:val="restart"/>
            <w:tcBorders>
              <w:tl2br w:val="nil"/>
              <w:tr2bl w:val="nil"/>
            </w:tcBorders>
            <w:noWrap w:val="0"/>
            <w:vAlign w:val="center"/>
          </w:tcPr>
          <w:p w14:paraId="20EFACC0">
            <w:pPr>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rPr>
              <w:t>采样</w:t>
            </w:r>
            <w:r>
              <w:rPr>
                <w:rFonts w:hint="default" w:ascii="Times New Roman" w:hAnsi="Times New Roman" w:eastAsia="宋体" w:cs="Times New Roman"/>
                <w:b/>
                <w:bCs/>
                <w:color w:val="auto"/>
                <w:sz w:val="21"/>
                <w:szCs w:val="21"/>
                <w:u w:val="none" w:color="auto"/>
                <w:lang w:eastAsia="zh-CN"/>
              </w:rPr>
              <w:t>点位</w:t>
            </w:r>
          </w:p>
        </w:tc>
        <w:tc>
          <w:tcPr>
            <w:tcW w:w="1410" w:type="dxa"/>
            <w:vMerge w:val="restart"/>
            <w:tcBorders>
              <w:tl2br w:val="nil"/>
              <w:tr2bl w:val="nil"/>
            </w:tcBorders>
            <w:noWrap w:val="0"/>
            <w:vAlign w:val="center"/>
          </w:tcPr>
          <w:p w14:paraId="589D1D9A">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cs="Times New Roman"/>
                <w:b/>
                <w:bCs/>
                <w:color w:val="auto"/>
                <w:szCs w:val="21"/>
                <w:u w:val="none" w:color="auto"/>
              </w:rPr>
              <w:t>检测项目</w:t>
            </w:r>
          </w:p>
        </w:tc>
        <w:tc>
          <w:tcPr>
            <w:tcW w:w="4005" w:type="dxa"/>
            <w:gridSpan w:val="5"/>
            <w:tcBorders>
              <w:tl2br w:val="nil"/>
              <w:tr2bl w:val="nil"/>
            </w:tcBorders>
            <w:noWrap w:val="0"/>
            <w:vAlign w:val="center"/>
          </w:tcPr>
          <w:p w14:paraId="74D5B675">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检测结果</w:t>
            </w:r>
          </w:p>
        </w:tc>
        <w:tc>
          <w:tcPr>
            <w:tcW w:w="675" w:type="dxa"/>
            <w:vMerge w:val="restart"/>
            <w:tcBorders>
              <w:tl2br w:val="nil"/>
              <w:tr2bl w:val="nil"/>
            </w:tcBorders>
            <w:noWrap w:val="0"/>
            <w:vAlign w:val="center"/>
          </w:tcPr>
          <w:p w14:paraId="4C5614B7">
            <w:pPr>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参考限值</w:t>
            </w:r>
          </w:p>
        </w:tc>
        <w:tc>
          <w:tcPr>
            <w:tcW w:w="832" w:type="dxa"/>
            <w:vMerge w:val="restart"/>
            <w:tcBorders>
              <w:tl2br w:val="nil"/>
              <w:tr2bl w:val="nil"/>
            </w:tcBorders>
            <w:noWrap w:val="0"/>
            <w:vAlign w:val="center"/>
          </w:tcPr>
          <w:p w14:paraId="70311F57">
            <w:pPr>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单位</w:t>
            </w:r>
          </w:p>
        </w:tc>
      </w:tr>
      <w:tr w14:paraId="6A6DC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075E9A6C">
            <w:pPr>
              <w:jc w:val="center"/>
              <w:rPr>
                <w:rFonts w:hint="default" w:ascii="Times New Roman" w:hAnsi="Times New Roman" w:cs="Times New Roman"/>
                <w:b/>
                <w:bCs/>
                <w:color w:val="auto"/>
                <w:u w:val="none" w:color="auto"/>
              </w:rPr>
            </w:pPr>
          </w:p>
        </w:tc>
        <w:tc>
          <w:tcPr>
            <w:tcW w:w="870" w:type="dxa"/>
            <w:vMerge w:val="continue"/>
            <w:tcBorders>
              <w:tl2br w:val="nil"/>
              <w:tr2bl w:val="nil"/>
            </w:tcBorders>
            <w:noWrap w:val="0"/>
            <w:vAlign w:val="center"/>
          </w:tcPr>
          <w:p w14:paraId="67802CB3">
            <w:pPr>
              <w:jc w:val="center"/>
              <w:rPr>
                <w:rFonts w:hint="default" w:ascii="Times New Roman" w:hAnsi="Times New Roman" w:cs="Times New Roman"/>
                <w:b/>
                <w:bCs/>
                <w:color w:val="auto"/>
                <w:u w:val="none" w:color="auto"/>
              </w:rPr>
            </w:pPr>
          </w:p>
        </w:tc>
        <w:tc>
          <w:tcPr>
            <w:tcW w:w="1410" w:type="dxa"/>
            <w:vMerge w:val="continue"/>
            <w:tcBorders>
              <w:tl2br w:val="nil"/>
              <w:tr2bl w:val="nil"/>
            </w:tcBorders>
            <w:noWrap w:val="0"/>
            <w:vAlign w:val="center"/>
          </w:tcPr>
          <w:p w14:paraId="02FDB927">
            <w:pPr>
              <w:jc w:val="center"/>
              <w:rPr>
                <w:rFonts w:hint="default" w:ascii="Times New Roman" w:hAnsi="Times New Roman" w:cs="Times New Roman"/>
                <w:b/>
                <w:bCs/>
                <w:color w:val="auto"/>
                <w:u w:val="none" w:color="auto"/>
              </w:rPr>
            </w:pPr>
          </w:p>
        </w:tc>
        <w:tc>
          <w:tcPr>
            <w:tcW w:w="771" w:type="dxa"/>
            <w:tcBorders>
              <w:tl2br w:val="nil"/>
              <w:tr2bl w:val="nil"/>
            </w:tcBorders>
            <w:noWrap w:val="0"/>
            <w:vAlign w:val="center"/>
          </w:tcPr>
          <w:p w14:paraId="3E9F9CF2">
            <w:pPr>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第一次</w:t>
            </w:r>
          </w:p>
        </w:tc>
        <w:tc>
          <w:tcPr>
            <w:tcW w:w="825" w:type="dxa"/>
            <w:tcBorders>
              <w:tl2br w:val="nil"/>
              <w:tr2bl w:val="nil"/>
            </w:tcBorders>
            <w:noWrap w:val="0"/>
            <w:vAlign w:val="center"/>
          </w:tcPr>
          <w:p w14:paraId="6EAE2BB8">
            <w:pPr>
              <w:jc w:val="center"/>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sz w:val="21"/>
                <w:szCs w:val="21"/>
                <w:u w:val="none" w:color="auto"/>
                <w:lang w:eastAsia="zh-CN"/>
              </w:rPr>
              <w:t>第二次</w:t>
            </w:r>
          </w:p>
        </w:tc>
        <w:tc>
          <w:tcPr>
            <w:tcW w:w="750" w:type="dxa"/>
            <w:tcBorders>
              <w:tl2br w:val="nil"/>
              <w:tr2bl w:val="nil"/>
            </w:tcBorders>
            <w:noWrap w:val="0"/>
            <w:vAlign w:val="center"/>
          </w:tcPr>
          <w:p w14:paraId="29F38F95">
            <w:pPr>
              <w:jc w:val="center"/>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第三次</w:t>
            </w:r>
          </w:p>
        </w:tc>
        <w:tc>
          <w:tcPr>
            <w:tcW w:w="825" w:type="dxa"/>
            <w:tcBorders>
              <w:tl2br w:val="nil"/>
              <w:tr2bl w:val="nil"/>
            </w:tcBorders>
            <w:noWrap w:val="0"/>
            <w:vAlign w:val="center"/>
          </w:tcPr>
          <w:p w14:paraId="558C648E">
            <w:pPr>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第四次</w:t>
            </w:r>
          </w:p>
        </w:tc>
        <w:tc>
          <w:tcPr>
            <w:tcW w:w="834" w:type="dxa"/>
            <w:tcBorders>
              <w:tl2br w:val="nil"/>
              <w:tr2bl w:val="nil"/>
            </w:tcBorders>
            <w:noWrap w:val="0"/>
            <w:vAlign w:val="center"/>
          </w:tcPr>
          <w:p w14:paraId="017934A9">
            <w:pPr>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最大值</w:t>
            </w:r>
          </w:p>
        </w:tc>
        <w:tc>
          <w:tcPr>
            <w:tcW w:w="675" w:type="dxa"/>
            <w:vMerge w:val="continue"/>
            <w:tcBorders>
              <w:tl2br w:val="nil"/>
              <w:tr2bl w:val="nil"/>
            </w:tcBorders>
            <w:noWrap w:val="0"/>
            <w:vAlign w:val="center"/>
          </w:tcPr>
          <w:p w14:paraId="073EEFF4">
            <w:pPr>
              <w:jc w:val="center"/>
              <w:rPr>
                <w:rFonts w:hint="default" w:ascii="Times New Roman" w:hAnsi="Times New Roman" w:eastAsia="宋体" w:cs="Times New Roman"/>
                <w:b/>
                <w:bCs/>
                <w:color w:val="auto"/>
                <w:sz w:val="21"/>
                <w:szCs w:val="21"/>
                <w:u w:val="none" w:color="auto"/>
              </w:rPr>
            </w:pPr>
          </w:p>
        </w:tc>
        <w:tc>
          <w:tcPr>
            <w:tcW w:w="832" w:type="dxa"/>
            <w:vMerge w:val="continue"/>
            <w:tcBorders>
              <w:tl2br w:val="nil"/>
              <w:tr2bl w:val="nil"/>
            </w:tcBorders>
            <w:noWrap w:val="0"/>
            <w:vAlign w:val="center"/>
          </w:tcPr>
          <w:p w14:paraId="7715CB08">
            <w:pPr>
              <w:jc w:val="center"/>
              <w:rPr>
                <w:rFonts w:hint="default" w:ascii="Times New Roman" w:hAnsi="Times New Roman" w:eastAsia="宋体" w:cs="Times New Roman"/>
                <w:b/>
                <w:bCs/>
                <w:color w:val="auto"/>
                <w:sz w:val="21"/>
                <w:szCs w:val="21"/>
                <w:u w:val="none" w:color="auto"/>
              </w:rPr>
            </w:pPr>
          </w:p>
        </w:tc>
      </w:tr>
      <w:tr w14:paraId="7F200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restart"/>
            <w:tcBorders>
              <w:tl2br w:val="nil"/>
              <w:tr2bl w:val="nil"/>
            </w:tcBorders>
            <w:noWrap w:val="0"/>
            <w:vAlign w:val="center"/>
          </w:tcPr>
          <w:p w14:paraId="1EB4059A">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2025.4.8</w:t>
            </w:r>
          </w:p>
        </w:tc>
        <w:tc>
          <w:tcPr>
            <w:tcW w:w="870" w:type="dxa"/>
            <w:vMerge w:val="restart"/>
            <w:tcBorders>
              <w:tl2br w:val="nil"/>
              <w:tr2bl w:val="nil"/>
            </w:tcBorders>
            <w:noWrap w:val="0"/>
            <w:vAlign w:val="center"/>
          </w:tcPr>
          <w:p w14:paraId="4989146F">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厂界上风向1#</w:t>
            </w:r>
          </w:p>
        </w:tc>
        <w:tc>
          <w:tcPr>
            <w:tcW w:w="1410" w:type="dxa"/>
            <w:tcBorders>
              <w:tl2br w:val="nil"/>
              <w:tr2bl w:val="nil"/>
            </w:tcBorders>
            <w:noWrap w:val="0"/>
            <w:vAlign w:val="center"/>
          </w:tcPr>
          <w:p w14:paraId="4F28CC3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颗粒物</w:t>
            </w:r>
          </w:p>
        </w:tc>
        <w:tc>
          <w:tcPr>
            <w:tcW w:w="771" w:type="dxa"/>
            <w:tcBorders>
              <w:tl2br w:val="nil"/>
              <w:tr2bl w:val="nil"/>
            </w:tcBorders>
            <w:noWrap w:val="0"/>
            <w:vAlign w:val="center"/>
          </w:tcPr>
          <w:p w14:paraId="7D7049D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0.075</w:t>
            </w:r>
          </w:p>
        </w:tc>
        <w:tc>
          <w:tcPr>
            <w:tcW w:w="825" w:type="dxa"/>
            <w:tcBorders>
              <w:tl2br w:val="nil"/>
              <w:tr2bl w:val="nil"/>
            </w:tcBorders>
            <w:noWrap w:val="0"/>
            <w:vAlign w:val="center"/>
          </w:tcPr>
          <w:p w14:paraId="740914BD">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0.083</w:t>
            </w:r>
          </w:p>
        </w:tc>
        <w:tc>
          <w:tcPr>
            <w:tcW w:w="750" w:type="dxa"/>
            <w:tcBorders>
              <w:tl2br w:val="nil"/>
              <w:tr2bl w:val="nil"/>
            </w:tcBorders>
            <w:noWrap w:val="0"/>
            <w:vAlign w:val="center"/>
          </w:tcPr>
          <w:p w14:paraId="3804272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0.065</w:t>
            </w:r>
          </w:p>
        </w:tc>
        <w:tc>
          <w:tcPr>
            <w:tcW w:w="825" w:type="dxa"/>
            <w:tcBorders>
              <w:tl2br w:val="nil"/>
              <w:tr2bl w:val="nil"/>
            </w:tcBorders>
            <w:noWrap w:val="0"/>
            <w:vAlign w:val="center"/>
          </w:tcPr>
          <w:p w14:paraId="4B418E5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0.088</w:t>
            </w:r>
          </w:p>
        </w:tc>
        <w:tc>
          <w:tcPr>
            <w:tcW w:w="834" w:type="dxa"/>
            <w:tcBorders>
              <w:tl2br w:val="nil"/>
              <w:tr2bl w:val="nil"/>
            </w:tcBorders>
            <w:noWrap w:val="0"/>
            <w:vAlign w:val="center"/>
          </w:tcPr>
          <w:p w14:paraId="2F3B5CF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0.088</w:t>
            </w:r>
          </w:p>
        </w:tc>
        <w:tc>
          <w:tcPr>
            <w:tcW w:w="675" w:type="dxa"/>
            <w:tcBorders>
              <w:tl2br w:val="nil"/>
              <w:tr2bl w:val="nil"/>
            </w:tcBorders>
            <w:noWrap w:val="0"/>
            <w:vAlign w:val="center"/>
          </w:tcPr>
          <w:p w14:paraId="06BC6244">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w:t>
            </w:r>
          </w:p>
        </w:tc>
        <w:tc>
          <w:tcPr>
            <w:tcW w:w="832" w:type="dxa"/>
            <w:tcBorders>
              <w:tl2br w:val="nil"/>
              <w:tr2bl w:val="nil"/>
            </w:tcBorders>
            <w:noWrap w:val="0"/>
            <w:vAlign w:val="center"/>
          </w:tcPr>
          <w:p w14:paraId="5A93018F">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7C77B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7F7BBE7B">
            <w:pPr>
              <w:jc w:val="center"/>
              <w:rPr>
                <w:rFonts w:hint="default" w:ascii="Times New Roman" w:hAnsi="Times New Roman" w:eastAsia="宋体" w:cs="Times New Roman"/>
                <w:color w:val="auto"/>
                <w:sz w:val="21"/>
                <w:szCs w:val="21"/>
                <w:u w:val="none" w:color="auto"/>
                <w:lang w:val="en-US" w:eastAsia="zh-CN"/>
              </w:rPr>
            </w:pPr>
          </w:p>
        </w:tc>
        <w:tc>
          <w:tcPr>
            <w:tcW w:w="870" w:type="dxa"/>
            <w:vMerge w:val="continue"/>
            <w:tcBorders>
              <w:tl2br w:val="nil"/>
              <w:tr2bl w:val="nil"/>
            </w:tcBorders>
            <w:noWrap w:val="0"/>
            <w:vAlign w:val="center"/>
          </w:tcPr>
          <w:p w14:paraId="6EF36249">
            <w:pPr>
              <w:jc w:val="center"/>
              <w:rPr>
                <w:rFonts w:hint="default" w:ascii="Times New Roman" w:hAnsi="Times New Roman" w:eastAsia="宋体" w:cs="Times New Roman"/>
                <w:color w:val="auto"/>
                <w:sz w:val="21"/>
                <w:szCs w:val="21"/>
                <w:u w:val="none" w:color="auto"/>
                <w:lang w:val="en-US" w:eastAsia="zh-CN"/>
              </w:rPr>
            </w:pPr>
          </w:p>
        </w:tc>
        <w:tc>
          <w:tcPr>
            <w:tcW w:w="1410" w:type="dxa"/>
            <w:tcBorders>
              <w:tl2br w:val="nil"/>
              <w:tr2bl w:val="nil"/>
            </w:tcBorders>
            <w:noWrap w:val="0"/>
            <w:vAlign w:val="center"/>
          </w:tcPr>
          <w:p w14:paraId="4B3ABFE5">
            <w:pPr>
              <w:keepNext w:val="0"/>
              <w:keepLines w:val="0"/>
              <w:pageBreakBefore w:val="0"/>
              <w:widowControl w:val="0"/>
              <w:tabs>
                <w:tab w:val="left" w:pos="544"/>
              </w:tabs>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氯化氢</w:t>
            </w:r>
          </w:p>
        </w:tc>
        <w:tc>
          <w:tcPr>
            <w:tcW w:w="771" w:type="dxa"/>
            <w:tcBorders>
              <w:tl2br w:val="nil"/>
              <w:tr2bl w:val="nil"/>
            </w:tcBorders>
            <w:noWrap w:val="0"/>
            <w:vAlign w:val="center"/>
          </w:tcPr>
          <w:p w14:paraId="3A0626F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0.068</w:t>
            </w:r>
          </w:p>
        </w:tc>
        <w:tc>
          <w:tcPr>
            <w:tcW w:w="825" w:type="dxa"/>
            <w:tcBorders>
              <w:tl2br w:val="nil"/>
              <w:tr2bl w:val="nil"/>
            </w:tcBorders>
            <w:noWrap w:val="0"/>
            <w:vAlign w:val="center"/>
          </w:tcPr>
          <w:p w14:paraId="317E83CB">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0.074</w:t>
            </w:r>
          </w:p>
        </w:tc>
        <w:tc>
          <w:tcPr>
            <w:tcW w:w="750" w:type="dxa"/>
            <w:tcBorders>
              <w:tl2br w:val="nil"/>
              <w:tr2bl w:val="nil"/>
            </w:tcBorders>
            <w:noWrap w:val="0"/>
            <w:vAlign w:val="center"/>
          </w:tcPr>
          <w:p w14:paraId="5C581A33">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0.079</w:t>
            </w:r>
          </w:p>
        </w:tc>
        <w:tc>
          <w:tcPr>
            <w:tcW w:w="825" w:type="dxa"/>
            <w:tcBorders>
              <w:tl2br w:val="nil"/>
              <w:tr2bl w:val="nil"/>
            </w:tcBorders>
            <w:noWrap w:val="0"/>
            <w:vAlign w:val="center"/>
          </w:tcPr>
          <w:p w14:paraId="2D35557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0.082</w:t>
            </w:r>
          </w:p>
        </w:tc>
        <w:tc>
          <w:tcPr>
            <w:tcW w:w="834" w:type="dxa"/>
            <w:tcBorders>
              <w:tl2br w:val="nil"/>
              <w:tr2bl w:val="nil"/>
            </w:tcBorders>
            <w:noWrap w:val="0"/>
            <w:vAlign w:val="center"/>
          </w:tcPr>
          <w:p w14:paraId="369F3745">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0.082</w:t>
            </w:r>
          </w:p>
        </w:tc>
        <w:tc>
          <w:tcPr>
            <w:tcW w:w="675" w:type="dxa"/>
            <w:tcBorders>
              <w:tl2br w:val="nil"/>
              <w:tr2bl w:val="nil"/>
            </w:tcBorders>
            <w:noWrap w:val="0"/>
            <w:vAlign w:val="center"/>
          </w:tcPr>
          <w:p w14:paraId="32E744B0">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0.2</w:t>
            </w:r>
          </w:p>
        </w:tc>
        <w:tc>
          <w:tcPr>
            <w:tcW w:w="832" w:type="dxa"/>
            <w:tcBorders>
              <w:tl2br w:val="nil"/>
              <w:tr2bl w:val="nil"/>
            </w:tcBorders>
            <w:noWrap w:val="0"/>
            <w:vAlign w:val="center"/>
          </w:tcPr>
          <w:p w14:paraId="4243E981">
            <w:pPr>
              <w:jc w:val="center"/>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3F744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65A34112">
            <w:pPr>
              <w:jc w:val="center"/>
              <w:rPr>
                <w:rFonts w:hint="default" w:ascii="Times New Roman" w:hAnsi="Times New Roman" w:eastAsia="宋体" w:cs="Times New Roman"/>
                <w:color w:val="auto"/>
                <w:sz w:val="21"/>
                <w:szCs w:val="21"/>
                <w:u w:val="none" w:color="auto"/>
                <w:lang w:val="en-US" w:eastAsia="zh-CN"/>
              </w:rPr>
            </w:pPr>
          </w:p>
        </w:tc>
        <w:tc>
          <w:tcPr>
            <w:tcW w:w="870" w:type="dxa"/>
            <w:vMerge w:val="continue"/>
            <w:tcBorders>
              <w:tl2br w:val="nil"/>
              <w:tr2bl w:val="nil"/>
            </w:tcBorders>
            <w:noWrap w:val="0"/>
            <w:vAlign w:val="center"/>
          </w:tcPr>
          <w:p w14:paraId="4CE44137">
            <w:pPr>
              <w:jc w:val="center"/>
              <w:rPr>
                <w:rFonts w:hint="default" w:ascii="Times New Roman" w:hAnsi="Times New Roman" w:eastAsia="宋体" w:cs="Times New Roman"/>
                <w:color w:val="auto"/>
                <w:sz w:val="21"/>
                <w:szCs w:val="21"/>
                <w:u w:val="none" w:color="auto"/>
                <w:lang w:val="en-US" w:eastAsia="zh-CN"/>
              </w:rPr>
            </w:pPr>
          </w:p>
        </w:tc>
        <w:tc>
          <w:tcPr>
            <w:tcW w:w="1410" w:type="dxa"/>
            <w:tcBorders>
              <w:tl2br w:val="nil"/>
              <w:tr2bl w:val="nil"/>
            </w:tcBorders>
            <w:noWrap w:val="0"/>
            <w:vAlign w:val="center"/>
          </w:tcPr>
          <w:p w14:paraId="191267CF">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非甲烷总烃</w:t>
            </w:r>
          </w:p>
        </w:tc>
        <w:tc>
          <w:tcPr>
            <w:tcW w:w="771" w:type="dxa"/>
            <w:tcBorders>
              <w:tl2br w:val="nil"/>
              <w:tr2bl w:val="nil"/>
            </w:tcBorders>
            <w:noWrap w:val="0"/>
            <w:vAlign w:val="center"/>
          </w:tcPr>
          <w:p w14:paraId="04F1C1CF">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1.27</w:t>
            </w:r>
          </w:p>
        </w:tc>
        <w:tc>
          <w:tcPr>
            <w:tcW w:w="825" w:type="dxa"/>
            <w:tcBorders>
              <w:tl2br w:val="nil"/>
              <w:tr2bl w:val="nil"/>
            </w:tcBorders>
            <w:noWrap w:val="0"/>
            <w:vAlign w:val="center"/>
          </w:tcPr>
          <w:p w14:paraId="6E25D3C2">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1.14</w:t>
            </w:r>
          </w:p>
        </w:tc>
        <w:tc>
          <w:tcPr>
            <w:tcW w:w="750" w:type="dxa"/>
            <w:tcBorders>
              <w:tl2br w:val="nil"/>
              <w:tr2bl w:val="nil"/>
            </w:tcBorders>
            <w:noWrap w:val="0"/>
            <w:vAlign w:val="center"/>
          </w:tcPr>
          <w:p w14:paraId="13BDCDAB">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1.33</w:t>
            </w:r>
          </w:p>
        </w:tc>
        <w:tc>
          <w:tcPr>
            <w:tcW w:w="825" w:type="dxa"/>
            <w:tcBorders>
              <w:tl2br w:val="nil"/>
              <w:tr2bl w:val="nil"/>
            </w:tcBorders>
            <w:noWrap w:val="0"/>
            <w:vAlign w:val="center"/>
          </w:tcPr>
          <w:p w14:paraId="6AFF2195">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1.15</w:t>
            </w:r>
          </w:p>
        </w:tc>
        <w:tc>
          <w:tcPr>
            <w:tcW w:w="834" w:type="dxa"/>
            <w:tcBorders>
              <w:tl2br w:val="nil"/>
              <w:tr2bl w:val="nil"/>
            </w:tcBorders>
            <w:noWrap w:val="0"/>
            <w:vAlign w:val="center"/>
          </w:tcPr>
          <w:p w14:paraId="3DB61B96">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1.33</w:t>
            </w:r>
          </w:p>
        </w:tc>
        <w:tc>
          <w:tcPr>
            <w:tcW w:w="675" w:type="dxa"/>
            <w:tcBorders>
              <w:tl2br w:val="nil"/>
              <w:tr2bl w:val="nil"/>
            </w:tcBorders>
            <w:noWrap w:val="0"/>
            <w:vAlign w:val="center"/>
          </w:tcPr>
          <w:p w14:paraId="422D2D9A">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4.0</w:t>
            </w:r>
          </w:p>
        </w:tc>
        <w:tc>
          <w:tcPr>
            <w:tcW w:w="832" w:type="dxa"/>
            <w:tcBorders>
              <w:tl2br w:val="nil"/>
              <w:tr2bl w:val="nil"/>
            </w:tcBorders>
            <w:noWrap w:val="0"/>
            <w:vAlign w:val="center"/>
          </w:tcPr>
          <w:p w14:paraId="0B658653">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48C624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445F483A">
            <w:pPr>
              <w:jc w:val="center"/>
              <w:rPr>
                <w:rFonts w:hint="default" w:ascii="Times New Roman" w:hAnsi="Times New Roman" w:eastAsia="宋体" w:cs="Times New Roman"/>
                <w:color w:val="auto"/>
                <w:sz w:val="21"/>
                <w:szCs w:val="21"/>
                <w:u w:val="none" w:color="auto"/>
                <w:lang w:val="en-US" w:eastAsia="zh-CN"/>
              </w:rPr>
            </w:pPr>
          </w:p>
        </w:tc>
        <w:tc>
          <w:tcPr>
            <w:tcW w:w="870" w:type="dxa"/>
            <w:vMerge w:val="continue"/>
            <w:tcBorders>
              <w:tl2br w:val="nil"/>
              <w:tr2bl w:val="nil"/>
            </w:tcBorders>
            <w:noWrap w:val="0"/>
            <w:vAlign w:val="center"/>
          </w:tcPr>
          <w:p w14:paraId="4AE08C9D">
            <w:pPr>
              <w:jc w:val="center"/>
              <w:rPr>
                <w:rFonts w:hint="default" w:ascii="Times New Roman" w:hAnsi="Times New Roman" w:eastAsia="宋体" w:cs="Times New Roman"/>
                <w:color w:val="auto"/>
                <w:sz w:val="21"/>
                <w:szCs w:val="21"/>
                <w:u w:val="none" w:color="auto"/>
                <w:lang w:val="en-US" w:eastAsia="zh-CN"/>
              </w:rPr>
            </w:pPr>
          </w:p>
        </w:tc>
        <w:tc>
          <w:tcPr>
            <w:tcW w:w="1410" w:type="dxa"/>
            <w:tcBorders>
              <w:tl2br w:val="nil"/>
              <w:tr2bl w:val="nil"/>
            </w:tcBorders>
            <w:noWrap w:val="0"/>
            <w:vAlign w:val="center"/>
          </w:tcPr>
          <w:p w14:paraId="2713685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臭气浓度</w:t>
            </w:r>
          </w:p>
        </w:tc>
        <w:tc>
          <w:tcPr>
            <w:tcW w:w="771" w:type="dxa"/>
            <w:tcBorders>
              <w:tl2br w:val="nil"/>
              <w:tr2bl w:val="nil"/>
            </w:tcBorders>
            <w:noWrap w:val="0"/>
            <w:vAlign w:val="center"/>
          </w:tcPr>
          <w:p w14:paraId="47E479D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w:t>
            </w:r>
          </w:p>
        </w:tc>
        <w:tc>
          <w:tcPr>
            <w:tcW w:w="825" w:type="dxa"/>
            <w:tcBorders>
              <w:tl2br w:val="nil"/>
              <w:tr2bl w:val="nil"/>
            </w:tcBorders>
            <w:noWrap w:val="0"/>
            <w:vAlign w:val="center"/>
          </w:tcPr>
          <w:p w14:paraId="6505FFA4">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w:t>
            </w:r>
          </w:p>
        </w:tc>
        <w:tc>
          <w:tcPr>
            <w:tcW w:w="750" w:type="dxa"/>
            <w:tcBorders>
              <w:tl2br w:val="nil"/>
              <w:tr2bl w:val="nil"/>
            </w:tcBorders>
            <w:noWrap w:val="0"/>
            <w:vAlign w:val="center"/>
          </w:tcPr>
          <w:p w14:paraId="0BEE025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w:t>
            </w:r>
          </w:p>
        </w:tc>
        <w:tc>
          <w:tcPr>
            <w:tcW w:w="825" w:type="dxa"/>
            <w:tcBorders>
              <w:tl2br w:val="nil"/>
              <w:tr2bl w:val="nil"/>
            </w:tcBorders>
            <w:noWrap w:val="0"/>
            <w:vAlign w:val="center"/>
          </w:tcPr>
          <w:p w14:paraId="46F78B3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w:t>
            </w:r>
          </w:p>
        </w:tc>
        <w:tc>
          <w:tcPr>
            <w:tcW w:w="834" w:type="dxa"/>
            <w:tcBorders>
              <w:tl2br w:val="nil"/>
              <w:tr2bl w:val="nil"/>
            </w:tcBorders>
            <w:noWrap w:val="0"/>
            <w:vAlign w:val="center"/>
          </w:tcPr>
          <w:p w14:paraId="53EB216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w:t>
            </w:r>
          </w:p>
        </w:tc>
        <w:tc>
          <w:tcPr>
            <w:tcW w:w="675" w:type="dxa"/>
            <w:tcBorders>
              <w:tl2br w:val="nil"/>
              <w:tr2bl w:val="nil"/>
            </w:tcBorders>
            <w:noWrap w:val="0"/>
            <w:vAlign w:val="center"/>
          </w:tcPr>
          <w:p w14:paraId="5AF12DE7">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20</w:t>
            </w:r>
          </w:p>
        </w:tc>
        <w:tc>
          <w:tcPr>
            <w:tcW w:w="832" w:type="dxa"/>
            <w:tcBorders>
              <w:tl2br w:val="nil"/>
              <w:tr2bl w:val="nil"/>
            </w:tcBorders>
            <w:noWrap w:val="0"/>
            <w:vAlign w:val="center"/>
          </w:tcPr>
          <w:p w14:paraId="292E9E9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无量纲</w:t>
            </w:r>
          </w:p>
        </w:tc>
      </w:tr>
      <w:tr w14:paraId="71FAC5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461F040E">
            <w:pPr>
              <w:jc w:val="center"/>
              <w:rPr>
                <w:rFonts w:hint="default" w:ascii="Times New Roman" w:hAnsi="Times New Roman" w:eastAsia="宋体" w:cs="Times New Roman"/>
                <w:color w:val="auto"/>
                <w:sz w:val="21"/>
                <w:szCs w:val="21"/>
                <w:u w:val="none" w:color="auto"/>
                <w:lang w:val="en-US" w:eastAsia="zh-CN"/>
              </w:rPr>
            </w:pPr>
          </w:p>
        </w:tc>
        <w:tc>
          <w:tcPr>
            <w:tcW w:w="870" w:type="dxa"/>
            <w:vMerge w:val="restart"/>
            <w:tcBorders>
              <w:tl2br w:val="nil"/>
              <w:tr2bl w:val="nil"/>
            </w:tcBorders>
            <w:noWrap w:val="0"/>
            <w:vAlign w:val="center"/>
          </w:tcPr>
          <w:p w14:paraId="10A29419">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厂界下风向2#</w:t>
            </w:r>
          </w:p>
        </w:tc>
        <w:tc>
          <w:tcPr>
            <w:tcW w:w="1410" w:type="dxa"/>
            <w:tcBorders>
              <w:tl2br w:val="nil"/>
              <w:tr2bl w:val="nil"/>
            </w:tcBorders>
            <w:noWrap w:val="0"/>
            <w:vAlign w:val="center"/>
          </w:tcPr>
          <w:p w14:paraId="35FCC110">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颗粒物</w:t>
            </w:r>
          </w:p>
        </w:tc>
        <w:tc>
          <w:tcPr>
            <w:tcW w:w="771" w:type="dxa"/>
            <w:tcBorders>
              <w:tl2br w:val="nil"/>
              <w:tr2bl w:val="nil"/>
            </w:tcBorders>
            <w:noWrap w:val="0"/>
            <w:vAlign w:val="center"/>
          </w:tcPr>
          <w:p w14:paraId="6F6AE53E">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0.165</w:t>
            </w:r>
          </w:p>
        </w:tc>
        <w:tc>
          <w:tcPr>
            <w:tcW w:w="825" w:type="dxa"/>
            <w:tcBorders>
              <w:tl2br w:val="nil"/>
              <w:tr2bl w:val="nil"/>
            </w:tcBorders>
            <w:noWrap w:val="0"/>
            <w:vAlign w:val="center"/>
          </w:tcPr>
          <w:p w14:paraId="507366C4">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0.181</w:t>
            </w:r>
          </w:p>
        </w:tc>
        <w:tc>
          <w:tcPr>
            <w:tcW w:w="750" w:type="dxa"/>
            <w:tcBorders>
              <w:tl2br w:val="nil"/>
              <w:tr2bl w:val="nil"/>
            </w:tcBorders>
            <w:noWrap w:val="0"/>
            <w:vAlign w:val="center"/>
          </w:tcPr>
          <w:p w14:paraId="5DC8F377">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0.164</w:t>
            </w:r>
          </w:p>
        </w:tc>
        <w:tc>
          <w:tcPr>
            <w:tcW w:w="825" w:type="dxa"/>
            <w:tcBorders>
              <w:tl2br w:val="nil"/>
              <w:tr2bl w:val="nil"/>
            </w:tcBorders>
            <w:noWrap w:val="0"/>
            <w:vAlign w:val="center"/>
          </w:tcPr>
          <w:p w14:paraId="6D659F30">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0.175</w:t>
            </w:r>
          </w:p>
        </w:tc>
        <w:tc>
          <w:tcPr>
            <w:tcW w:w="834" w:type="dxa"/>
            <w:tcBorders>
              <w:tl2br w:val="nil"/>
              <w:tr2bl w:val="nil"/>
            </w:tcBorders>
            <w:noWrap w:val="0"/>
            <w:vAlign w:val="center"/>
          </w:tcPr>
          <w:p w14:paraId="79F6E448">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0.181</w:t>
            </w:r>
          </w:p>
        </w:tc>
        <w:tc>
          <w:tcPr>
            <w:tcW w:w="675" w:type="dxa"/>
            <w:tcBorders>
              <w:tl2br w:val="nil"/>
              <w:tr2bl w:val="nil"/>
            </w:tcBorders>
            <w:noWrap w:val="0"/>
            <w:vAlign w:val="center"/>
          </w:tcPr>
          <w:p w14:paraId="6BB2DDE5">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w:t>
            </w:r>
          </w:p>
        </w:tc>
        <w:tc>
          <w:tcPr>
            <w:tcW w:w="832" w:type="dxa"/>
            <w:tcBorders>
              <w:tl2br w:val="nil"/>
              <w:tr2bl w:val="nil"/>
            </w:tcBorders>
            <w:noWrap w:val="0"/>
            <w:vAlign w:val="center"/>
          </w:tcPr>
          <w:p w14:paraId="112F4C1E">
            <w:pPr>
              <w:jc w:val="center"/>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56472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23ABC946">
            <w:pPr>
              <w:jc w:val="center"/>
              <w:rPr>
                <w:rFonts w:hint="default" w:ascii="Times New Roman" w:hAnsi="Times New Roman" w:eastAsia="宋体" w:cs="Times New Roman"/>
                <w:color w:val="auto"/>
                <w:sz w:val="21"/>
                <w:szCs w:val="21"/>
                <w:u w:val="none" w:color="auto"/>
                <w:lang w:val="en-US" w:eastAsia="zh-CN"/>
              </w:rPr>
            </w:pPr>
          </w:p>
        </w:tc>
        <w:tc>
          <w:tcPr>
            <w:tcW w:w="870" w:type="dxa"/>
            <w:vMerge w:val="continue"/>
            <w:tcBorders>
              <w:tl2br w:val="nil"/>
              <w:tr2bl w:val="nil"/>
            </w:tcBorders>
            <w:noWrap w:val="0"/>
            <w:vAlign w:val="center"/>
          </w:tcPr>
          <w:p w14:paraId="68832062">
            <w:pPr>
              <w:jc w:val="center"/>
              <w:rPr>
                <w:rFonts w:hint="default" w:ascii="Times New Roman" w:hAnsi="Times New Roman" w:eastAsia="宋体" w:cs="Times New Roman"/>
                <w:color w:val="auto"/>
                <w:sz w:val="21"/>
                <w:szCs w:val="21"/>
                <w:u w:val="none" w:color="auto"/>
                <w:lang w:val="en-US" w:eastAsia="zh-CN"/>
              </w:rPr>
            </w:pPr>
          </w:p>
        </w:tc>
        <w:tc>
          <w:tcPr>
            <w:tcW w:w="1410" w:type="dxa"/>
            <w:tcBorders>
              <w:tl2br w:val="nil"/>
              <w:tr2bl w:val="nil"/>
            </w:tcBorders>
            <w:noWrap w:val="0"/>
            <w:vAlign w:val="center"/>
          </w:tcPr>
          <w:p w14:paraId="7BC633F6">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氯化氢</w:t>
            </w:r>
          </w:p>
        </w:tc>
        <w:tc>
          <w:tcPr>
            <w:tcW w:w="771" w:type="dxa"/>
            <w:tcBorders>
              <w:tl2br w:val="nil"/>
              <w:tr2bl w:val="nil"/>
            </w:tcBorders>
            <w:noWrap w:val="0"/>
            <w:vAlign w:val="center"/>
          </w:tcPr>
          <w:p w14:paraId="458E7B60">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0.151</w:t>
            </w:r>
          </w:p>
        </w:tc>
        <w:tc>
          <w:tcPr>
            <w:tcW w:w="825" w:type="dxa"/>
            <w:tcBorders>
              <w:tl2br w:val="nil"/>
              <w:tr2bl w:val="nil"/>
            </w:tcBorders>
            <w:noWrap w:val="0"/>
            <w:vAlign w:val="center"/>
          </w:tcPr>
          <w:p w14:paraId="36D71CEB">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0.131</w:t>
            </w:r>
          </w:p>
        </w:tc>
        <w:tc>
          <w:tcPr>
            <w:tcW w:w="750" w:type="dxa"/>
            <w:tcBorders>
              <w:tl2br w:val="nil"/>
              <w:tr2bl w:val="nil"/>
            </w:tcBorders>
            <w:noWrap w:val="0"/>
            <w:vAlign w:val="center"/>
          </w:tcPr>
          <w:p w14:paraId="40D21E87">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0.152</w:t>
            </w:r>
          </w:p>
        </w:tc>
        <w:tc>
          <w:tcPr>
            <w:tcW w:w="825" w:type="dxa"/>
            <w:tcBorders>
              <w:tl2br w:val="nil"/>
              <w:tr2bl w:val="nil"/>
            </w:tcBorders>
            <w:noWrap w:val="0"/>
            <w:vAlign w:val="center"/>
          </w:tcPr>
          <w:p w14:paraId="232A44E6">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0.128</w:t>
            </w:r>
          </w:p>
        </w:tc>
        <w:tc>
          <w:tcPr>
            <w:tcW w:w="834" w:type="dxa"/>
            <w:tcBorders>
              <w:tl2br w:val="nil"/>
              <w:tr2bl w:val="nil"/>
            </w:tcBorders>
            <w:noWrap w:val="0"/>
            <w:vAlign w:val="center"/>
          </w:tcPr>
          <w:p w14:paraId="738AF09F">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0.152</w:t>
            </w:r>
          </w:p>
        </w:tc>
        <w:tc>
          <w:tcPr>
            <w:tcW w:w="675" w:type="dxa"/>
            <w:tcBorders>
              <w:tl2br w:val="nil"/>
              <w:tr2bl w:val="nil"/>
            </w:tcBorders>
            <w:noWrap w:val="0"/>
            <w:vAlign w:val="center"/>
          </w:tcPr>
          <w:p w14:paraId="59464C90">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0.2</w:t>
            </w:r>
          </w:p>
        </w:tc>
        <w:tc>
          <w:tcPr>
            <w:tcW w:w="832" w:type="dxa"/>
            <w:tcBorders>
              <w:tl2br w:val="nil"/>
              <w:tr2bl w:val="nil"/>
            </w:tcBorders>
            <w:noWrap w:val="0"/>
            <w:vAlign w:val="center"/>
          </w:tcPr>
          <w:p w14:paraId="3510612D">
            <w:pPr>
              <w:jc w:val="center"/>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48FC53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289B7FB0">
            <w:pPr>
              <w:jc w:val="center"/>
              <w:rPr>
                <w:rFonts w:hint="default" w:ascii="Times New Roman" w:hAnsi="Times New Roman" w:eastAsia="宋体" w:cs="Times New Roman"/>
                <w:color w:val="auto"/>
                <w:sz w:val="21"/>
                <w:szCs w:val="21"/>
                <w:u w:val="none" w:color="auto"/>
                <w:lang w:val="en-US" w:eastAsia="zh-CN"/>
              </w:rPr>
            </w:pPr>
          </w:p>
        </w:tc>
        <w:tc>
          <w:tcPr>
            <w:tcW w:w="870" w:type="dxa"/>
            <w:vMerge w:val="continue"/>
            <w:tcBorders>
              <w:tl2br w:val="nil"/>
              <w:tr2bl w:val="nil"/>
            </w:tcBorders>
            <w:noWrap w:val="0"/>
            <w:vAlign w:val="center"/>
          </w:tcPr>
          <w:p w14:paraId="2D7ADBFE">
            <w:pPr>
              <w:jc w:val="center"/>
              <w:rPr>
                <w:rFonts w:hint="default" w:ascii="Times New Roman" w:hAnsi="Times New Roman" w:eastAsia="宋体" w:cs="Times New Roman"/>
                <w:color w:val="auto"/>
                <w:sz w:val="21"/>
                <w:szCs w:val="21"/>
                <w:u w:val="none" w:color="auto"/>
                <w:lang w:val="en-US" w:eastAsia="zh-CN"/>
              </w:rPr>
            </w:pPr>
          </w:p>
        </w:tc>
        <w:tc>
          <w:tcPr>
            <w:tcW w:w="1410" w:type="dxa"/>
            <w:tcBorders>
              <w:tl2br w:val="nil"/>
              <w:tr2bl w:val="nil"/>
            </w:tcBorders>
            <w:noWrap w:val="0"/>
            <w:vAlign w:val="center"/>
          </w:tcPr>
          <w:p w14:paraId="1B71589C">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非甲烷总烃</w:t>
            </w:r>
          </w:p>
        </w:tc>
        <w:tc>
          <w:tcPr>
            <w:tcW w:w="771" w:type="dxa"/>
            <w:tcBorders>
              <w:tl2br w:val="nil"/>
              <w:tr2bl w:val="nil"/>
            </w:tcBorders>
            <w:noWrap w:val="0"/>
            <w:vAlign w:val="center"/>
          </w:tcPr>
          <w:p w14:paraId="3B4233CA">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2.52</w:t>
            </w:r>
          </w:p>
        </w:tc>
        <w:tc>
          <w:tcPr>
            <w:tcW w:w="825" w:type="dxa"/>
            <w:tcBorders>
              <w:tl2br w:val="nil"/>
              <w:tr2bl w:val="nil"/>
            </w:tcBorders>
            <w:noWrap w:val="0"/>
            <w:vAlign w:val="center"/>
          </w:tcPr>
          <w:p w14:paraId="2F45F112">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2.45</w:t>
            </w:r>
          </w:p>
        </w:tc>
        <w:tc>
          <w:tcPr>
            <w:tcW w:w="750" w:type="dxa"/>
            <w:tcBorders>
              <w:tl2br w:val="nil"/>
              <w:tr2bl w:val="nil"/>
            </w:tcBorders>
            <w:noWrap w:val="0"/>
            <w:vAlign w:val="center"/>
          </w:tcPr>
          <w:p w14:paraId="0A145BE2">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2.18</w:t>
            </w:r>
          </w:p>
        </w:tc>
        <w:tc>
          <w:tcPr>
            <w:tcW w:w="825" w:type="dxa"/>
            <w:tcBorders>
              <w:tl2br w:val="nil"/>
              <w:tr2bl w:val="nil"/>
            </w:tcBorders>
            <w:noWrap w:val="0"/>
            <w:vAlign w:val="center"/>
          </w:tcPr>
          <w:p w14:paraId="0B332323">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2.19</w:t>
            </w:r>
          </w:p>
        </w:tc>
        <w:tc>
          <w:tcPr>
            <w:tcW w:w="834" w:type="dxa"/>
            <w:tcBorders>
              <w:tl2br w:val="nil"/>
              <w:tr2bl w:val="nil"/>
            </w:tcBorders>
            <w:noWrap w:val="0"/>
            <w:vAlign w:val="center"/>
          </w:tcPr>
          <w:p w14:paraId="46084D80">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2.52</w:t>
            </w:r>
          </w:p>
        </w:tc>
        <w:tc>
          <w:tcPr>
            <w:tcW w:w="675" w:type="dxa"/>
            <w:tcBorders>
              <w:tl2br w:val="nil"/>
              <w:tr2bl w:val="nil"/>
            </w:tcBorders>
            <w:noWrap w:val="0"/>
            <w:vAlign w:val="center"/>
          </w:tcPr>
          <w:p w14:paraId="153508BE">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4.0</w:t>
            </w:r>
          </w:p>
        </w:tc>
        <w:tc>
          <w:tcPr>
            <w:tcW w:w="832" w:type="dxa"/>
            <w:tcBorders>
              <w:tl2br w:val="nil"/>
              <w:tr2bl w:val="nil"/>
            </w:tcBorders>
            <w:noWrap w:val="0"/>
            <w:vAlign w:val="center"/>
          </w:tcPr>
          <w:p w14:paraId="01E53343">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5E28A3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1CBE463F">
            <w:pPr>
              <w:jc w:val="center"/>
              <w:rPr>
                <w:rFonts w:hint="default" w:ascii="Times New Roman" w:hAnsi="Times New Roman" w:eastAsia="宋体" w:cs="Times New Roman"/>
                <w:color w:val="auto"/>
                <w:sz w:val="21"/>
                <w:szCs w:val="21"/>
                <w:u w:val="none" w:color="auto"/>
                <w:lang w:val="en-US" w:eastAsia="zh-CN"/>
              </w:rPr>
            </w:pPr>
          </w:p>
        </w:tc>
        <w:tc>
          <w:tcPr>
            <w:tcW w:w="870" w:type="dxa"/>
            <w:vMerge w:val="continue"/>
            <w:tcBorders>
              <w:tl2br w:val="nil"/>
              <w:tr2bl w:val="nil"/>
            </w:tcBorders>
            <w:noWrap w:val="0"/>
            <w:vAlign w:val="center"/>
          </w:tcPr>
          <w:p w14:paraId="5AA1554B">
            <w:pPr>
              <w:jc w:val="center"/>
              <w:rPr>
                <w:rFonts w:hint="default" w:ascii="Times New Roman" w:hAnsi="Times New Roman" w:eastAsia="宋体" w:cs="Times New Roman"/>
                <w:color w:val="auto"/>
                <w:sz w:val="21"/>
                <w:szCs w:val="21"/>
                <w:u w:val="none" w:color="auto"/>
                <w:lang w:val="en-US" w:eastAsia="zh-CN"/>
              </w:rPr>
            </w:pPr>
          </w:p>
        </w:tc>
        <w:tc>
          <w:tcPr>
            <w:tcW w:w="1410" w:type="dxa"/>
            <w:tcBorders>
              <w:tl2br w:val="nil"/>
              <w:tr2bl w:val="nil"/>
            </w:tcBorders>
            <w:noWrap w:val="0"/>
            <w:vAlign w:val="center"/>
          </w:tcPr>
          <w:p w14:paraId="4CA63968">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臭气浓度</w:t>
            </w:r>
          </w:p>
        </w:tc>
        <w:tc>
          <w:tcPr>
            <w:tcW w:w="771" w:type="dxa"/>
            <w:tcBorders>
              <w:tl2br w:val="nil"/>
              <w:tr2bl w:val="nil"/>
            </w:tcBorders>
            <w:noWrap w:val="0"/>
            <w:vAlign w:val="center"/>
          </w:tcPr>
          <w:p w14:paraId="40EFC911">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14</w:t>
            </w:r>
          </w:p>
        </w:tc>
        <w:tc>
          <w:tcPr>
            <w:tcW w:w="825" w:type="dxa"/>
            <w:tcBorders>
              <w:tl2br w:val="nil"/>
              <w:tr2bl w:val="nil"/>
            </w:tcBorders>
            <w:noWrap w:val="0"/>
            <w:vAlign w:val="center"/>
          </w:tcPr>
          <w:p w14:paraId="1EFA7435">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13</w:t>
            </w:r>
          </w:p>
        </w:tc>
        <w:tc>
          <w:tcPr>
            <w:tcW w:w="750" w:type="dxa"/>
            <w:tcBorders>
              <w:tl2br w:val="nil"/>
              <w:tr2bl w:val="nil"/>
            </w:tcBorders>
            <w:noWrap w:val="0"/>
            <w:vAlign w:val="center"/>
          </w:tcPr>
          <w:p w14:paraId="6E256A91">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16</w:t>
            </w:r>
          </w:p>
        </w:tc>
        <w:tc>
          <w:tcPr>
            <w:tcW w:w="825" w:type="dxa"/>
            <w:tcBorders>
              <w:tl2br w:val="nil"/>
              <w:tr2bl w:val="nil"/>
            </w:tcBorders>
            <w:noWrap w:val="0"/>
            <w:vAlign w:val="center"/>
          </w:tcPr>
          <w:p w14:paraId="22D6E2C9">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14</w:t>
            </w:r>
          </w:p>
        </w:tc>
        <w:tc>
          <w:tcPr>
            <w:tcW w:w="834" w:type="dxa"/>
            <w:tcBorders>
              <w:tl2br w:val="nil"/>
              <w:tr2bl w:val="nil"/>
            </w:tcBorders>
            <w:noWrap w:val="0"/>
            <w:vAlign w:val="center"/>
          </w:tcPr>
          <w:p w14:paraId="4B2C0936">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16</w:t>
            </w:r>
          </w:p>
        </w:tc>
        <w:tc>
          <w:tcPr>
            <w:tcW w:w="675" w:type="dxa"/>
            <w:tcBorders>
              <w:tl2br w:val="nil"/>
              <w:tr2bl w:val="nil"/>
            </w:tcBorders>
            <w:noWrap w:val="0"/>
            <w:vAlign w:val="center"/>
          </w:tcPr>
          <w:p w14:paraId="6E004E33">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20</w:t>
            </w:r>
          </w:p>
        </w:tc>
        <w:tc>
          <w:tcPr>
            <w:tcW w:w="832" w:type="dxa"/>
            <w:tcBorders>
              <w:tl2br w:val="nil"/>
              <w:tr2bl w:val="nil"/>
            </w:tcBorders>
            <w:noWrap w:val="0"/>
            <w:vAlign w:val="center"/>
          </w:tcPr>
          <w:p w14:paraId="2543D90F">
            <w:pPr>
              <w:jc w:val="center"/>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无量纲</w:t>
            </w:r>
          </w:p>
        </w:tc>
      </w:tr>
      <w:tr w14:paraId="59994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3B70437C">
            <w:pPr>
              <w:jc w:val="center"/>
              <w:rPr>
                <w:rFonts w:hint="default" w:ascii="Times New Roman" w:hAnsi="Times New Roman" w:eastAsia="宋体" w:cs="Times New Roman"/>
                <w:color w:val="auto"/>
                <w:sz w:val="21"/>
                <w:szCs w:val="21"/>
                <w:u w:val="none" w:color="auto"/>
                <w:lang w:val="en-US" w:eastAsia="zh-CN"/>
              </w:rPr>
            </w:pPr>
          </w:p>
        </w:tc>
        <w:tc>
          <w:tcPr>
            <w:tcW w:w="870" w:type="dxa"/>
            <w:vMerge w:val="restart"/>
            <w:tcBorders>
              <w:tl2br w:val="nil"/>
              <w:tr2bl w:val="nil"/>
            </w:tcBorders>
            <w:noWrap w:val="0"/>
            <w:vAlign w:val="center"/>
          </w:tcPr>
          <w:p w14:paraId="4D9C536E">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厂界下风向3#</w:t>
            </w:r>
          </w:p>
        </w:tc>
        <w:tc>
          <w:tcPr>
            <w:tcW w:w="1410" w:type="dxa"/>
            <w:tcBorders>
              <w:tl2br w:val="nil"/>
              <w:tr2bl w:val="nil"/>
            </w:tcBorders>
            <w:noWrap w:val="0"/>
            <w:vAlign w:val="center"/>
          </w:tcPr>
          <w:p w14:paraId="151485CB">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颗粒物</w:t>
            </w:r>
          </w:p>
        </w:tc>
        <w:tc>
          <w:tcPr>
            <w:tcW w:w="771" w:type="dxa"/>
            <w:tcBorders>
              <w:tl2br w:val="nil"/>
              <w:tr2bl w:val="nil"/>
            </w:tcBorders>
            <w:noWrap w:val="0"/>
            <w:vAlign w:val="center"/>
          </w:tcPr>
          <w:p w14:paraId="01F90009">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0.262</w:t>
            </w:r>
          </w:p>
        </w:tc>
        <w:tc>
          <w:tcPr>
            <w:tcW w:w="825" w:type="dxa"/>
            <w:tcBorders>
              <w:tl2br w:val="nil"/>
              <w:tr2bl w:val="nil"/>
            </w:tcBorders>
            <w:noWrap w:val="0"/>
            <w:vAlign w:val="center"/>
          </w:tcPr>
          <w:p w14:paraId="37E98152">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0.320</w:t>
            </w:r>
          </w:p>
        </w:tc>
        <w:tc>
          <w:tcPr>
            <w:tcW w:w="750" w:type="dxa"/>
            <w:tcBorders>
              <w:tl2br w:val="nil"/>
              <w:tr2bl w:val="nil"/>
            </w:tcBorders>
            <w:noWrap w:val="0"/>
            <w:vAlign w:val="center"/>
          </w:tcPr>
          <w:p w14:paraId="1CE8DAB2">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0.248</w:t>
            </w:r>
          </w:p>
        </w:tc>
        <w:tc>
          <w:tcPr>
            <w:tcW w:w="825" w:type="dxa"/>
            <w:tcBorders>
              <w:tl2br w:val="nil"/>
              <w:tr2bl w:val="nil"/>
            </w:tcBorders>
            <w:noWrap w:val="0"/>
            <w:vAlign w:val="center"/>
          </w:tcPr>
          <w:p w14:paraId="0E48048B">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0.301</w:t>
            </w:r>
          </w:p>
        </w:tc>
        <w:tc>
          <w:tcPr>
            <w:tcW w:w="834" w:type="dxa"/>
            <w:tcBorders>
              <w:tl2br w:val="nil"/>
              <w:tr2bl w:val="nil"/>
            </w:tcBorders>
            <w:noWrap w:val="0"/>
            <w:vAlign w:val="center"/>
          </w:tcPr>
          <w:p w14:paraId="7AE41429">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0.320</w:t>
            </w:r>
          </w:p>
        </w:tc>
        <w:tc>
          <w:tcPr>
            <w:tcW w:w="675" w:type="dxa"/>
            <w:tcBorders>
              <w:tl2br w:val="nil"/>
              <w:tr2bl w:val="nil"/>
            </w:tcBorders>
            <w:noWrap w:val="0"/>
            <w:vAlign w:val="center"/>
          </w:tcPr>
          <w:p w14:paraId="71828836">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w:t>
            </w:r>
          </w:p>
        </w:tc>
        <w:tc>
          <w:tcPr>
            <w:tcW w:w="832" w:type="dxa"/>
            <w:tcBorders>
              <w:tl2br w:val="nil"/>
              <w:tr2bl w:val="nil"/>
            </w:tcBorders>
            <w:noWrap w:val="0"/>
            <w:vAlign w:val="center"/>
          </w:tcPr>
          <w:p w14:paraId="4DE79009">
            <w:pPr>
              <w:jc w:val="center"/>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0AA75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65A67B7B">
            <w:pPr>
              <w:jc w:val="center"/>
              <w:rPr>
                <w:rFonts w:hint="default" w:ascii="Times New Roman" w:hAnsi="Times New Roman" w:eastAsia="宋体" w:cs="Times New Roman"/>
                <w:color w:val="auto"/>
                <w:sz w:val="21"/>
                <w:szCs w:val="21"/>
                <w:u w:val="none" w:color="auto"/>
                <w:lang w:val="en-US" w:eastAsia="zh-CN"/>
              </w:rPr>
            </w:pPr>
          </w:p>
        </w:tc>
        <w:tc>
          <w:tcPr>
            <w:tcW w:w="870" w:type="dxa"/>
            <w:vMerge w:val="continue"/>
            <w:tcBorders>
              <w:tl2br w:val="nil"/>
              <w:tr2bl w:val="nil"/>
            </w:tcBorders>
            <w:noWrap w:val="0"/>
            <w:vAlign w:val="center"/>
          </w:tcPr>
          <w:p w14:paraId="045F8AE7">
            <w:pPr>
              <w:jc w:val="center"/>
              <w:rPr>
                <w:rFonts w:hint="default" w:ascii="Times New Roman" w:hAnsi="Times New Roman" w:eastAsia="宋体" w:cs="Times New Roman"/>
                <w:color w:val="auto"/>
                <w:sz w:val="21"/>
                <w:szCs w:val="21"/>
                <w:u w:val="none" w:color="auto"/>
                <w:lang w:val="en-US" w:eastAsia="zh-CN"/>
              </w:rPr>
            </w:pPr>
          </w:p>
        </w:tc>
        <w:tc>
          <w:tcPr>
            <w:tcW w:w="1410" w:type="dxa"/>
            <w:tcBorders>
              <w:tl2br w:val="nil"/>
              <w:tr2bl w:val="nil"/>
            </w:tcBorders>
            <w:noWrap w:val="0"/>
            <w:vAlign w:val="center"/>
          </w:tcPr>
          <w:p w14:paraId="7765C115">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氯化氢</w:t>
            </w:r>
          </w:p>
        </w:tc>
        <w:tc>
          <w:tcPr>
            <w:tcW w:w="771" w:type="dxa"/>
            <w:tcBorders>
              <w:tl2br w:val="nil"/>
              <w:tr2bl w:val="nil"/>
            </w:tcBorders>
            <w:noWrap w:val="0"/>
            <w:vAlign w:val="center"/>
          </w:tcPr>
          <w:p w14:paraId="5C354555">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0.121</w:t>
            </w:r>
          </w:p>
        </w:tc>
        <w:tc>
          <w:tcPr>
            <w:tcW w:w="825" w:type="dxa"/>
            <w:tcBorders>
              <w:tl2br w:val="nil"/>
              <w:tr2bl w:val="nil"/>
            </w:tcBorders>
            <w:noWrap w:val="0"/>
            <w:vAlign w:val="center"/>
          </w:tcPr>
          <w:p w14:paraId="24329B98">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0.138</w:t>
            </w:r>
          </w:p>
        </w:tc>
        <w:tc>
          <w:tcPr>
            <w:tcW w:w="750" w:type="dxa"/>
            <w:tcBorders>
              <w:tl2br w:val="nil"/>
              <w:tr2bl w:val="nil"/>
            </w:tcBorders>
            <w:noWrap w:val="0"/>
            <w:vAlign w:val="center"/>
          </w:tcPr>
          <w:p w14:paraId="7FF6C7E1">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0.105</w:t>
            </w:r>
          </w:p>
        </w:tc>
        <w:tc>
          <w:tcPr>
            <w:tcW w:w="825" w:type="dxa"/>
            <w:tcBorders>
              <w:tl2br w:val="nil"/>
              <w:tr2bl w:val="nil"/>
            </w:tcBorders>
            <w:noWrap w:val="0"/>
            <w:vAlign w:val="center"/>
          </w:tcPr>
          <w:p w14:paraId="3FD606DA">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0.105</w:t>
            </w:r>
          </w:p>
        </w:tc>
        <w:tc>
          <w:tcPr>
            <w:tcW w:w="834" w:type="dxa"/>
            <w:tcBorders>
              <w:tl2br w:val="nil"/>
              <w:tr2bl w:val="nil"/>
            </w:tcBorders>
            <w:noWrap w:val="0"/>
            <w:vAlign w:val="center"/>
          </w:tcPr>
          <w:p w14:paraId="500605EE">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0.138</w:t>
            </w:r>
          </w:p>
        </w:tc>
        <w:tc>
          <w:tcPr>
            <w:tcW w:w="675" w:type="dxa"/>
            <w:tcBorders>
              <w:tl2br w:val="nil"/>
              <w:tr2bl w:val="nil"/>
            </w:tcBorders>
            <w:noWrap w:val="0"/>
            <w:vAlign w:val="center"/>
          </w:tcPr>
          <w:p w14:paraId="1B0F9909">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0.2</w:t>
            </w:r>
          </w:p>
        </w:tc>
        <w:tc>
          <w:tcPr>
            <w:tcW w:w="832" w:type="dxa"/>
            <w:tcBorders>
              <w:tl2br w:val="nil"/>
              <w:tr2bl w:val="nil"/>
            </w:tcBorders>
            <w:noWrap w:val="0"/>
            <w:vAlign w:val="center"/>
          </w:tcPr>
          <w:p w14:paraId="2BDB0C45">
            <w:pPr>
              <w:jc w:val="center"/>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74A7C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4D2EDF36">
            <w:pPr>
              <w:jc w:val="center"/>
              <w:rPr>
                <w:rFonts w:hint="default" w:ascii="Times New Roman" w:hAnsi="Times New Roman" w:eastAsia="宋体" w:cs="Times New Roman"/>
                <w:color w:val="auto"/>
                <w:sz w:val="21"/>
                <w:szCs w:val="21"/>
                <w:u w:val="none" w:color="auto"/>
                <w:lang w:val="en-US" w:eastAsia="zh-CN"/>
              </w:rPr>
            </w:pPr>
          </w:p>
        </w:tc>
        <w:tc>
          <w:tcPr>
            <w:tcW w:w="870" w:type="dxa"/>
            <w:vMerge w:val="continue"/>
            <w:tcBorders>
              <w:tl2br w:val="nil"/>
              <w:tr2bl w:val="nil"/>
            </w:tcBorders>
            <w:noWrap w:val="0"/>
            <w:vAlign w:val="center"/>
          </w:tcPr>
          <w:p w14:paraId="7B783C71">
            <w:pPr>
              <w:jc w:val="center"/>
              <w:rPr>
                <w:rFonts w:hint="default" w:ascii="Times New Roman" w:hAnsi="Times New Roman" w:eastAsia="宋体" w:cs="Times New Roman"/>
                <w:color w:val="auto"/>
                <w:sz w:val="21"/>
                <w:szCs w:val="21"/>
                <w:u w:val="none" w:color="auto"/>
                <w:lang w:val="en-US" w:eastAsia="zh-CN"/>
              </w:rPr>
            </w:pPr>
          </w:p>
        </w:tc>
        <w:tc>
          <w:tcPr>
            <w:tcW w:w="1410" w:type="dxa"/>
            <w:tcBorders>
              <w:tl2br w:val="nil"/>
              <w:tr2bl w:val="nil"/>
            </w:tcBorders>
            <w:noWrap w:val="0"/>
            <w:vAlign w:val="center"/>
          </w:tcPr>
          <w:p w14:paraId="107DC84A">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臭气浓度</w:t>
            </w:r>
          </w:p>
        </w:tc>
        <w:tc>
          <w:tcPr>
            <w:tcW w:w="771" w:type="dxa"/>
            <w:tcBorders>
              <w:tl2br w:val="nil"/>
              <w:tr2bl w:val="nil"/>
            </w:tcBorders>
            <w:noWrap w:val="0"/>
            <w:vAlign w:val="center"/>
          </w:tcPr>
          <w:p w14:paraId="0ADA88D7">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15</w:t>
            </w:r>
          </w:p>
        </w:tc>
        <w:tc>
          <w:tcPr>
            <w:tcW w:w="825" w:type="dxa"/>
            <w:tcBorders>
              <w:tl2br w:val="nil"/>
              <w:tr2bl w:val="nil"/>
            </w:tcBorders>
            <w:noWrap w:val="0"/>
            <w:vAlign w:val="center"/>
          </w:tcPr>
          <w:p w14:paraId="6C41C8AA">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12</w:t>
            </w:r>
          </w:p>
        </w:tc>
        <w:tc>
          <w:tcPr>
            <w:tcW w:w="750" w:type="dxa"/>
            <w:tcBorders>
              <w:tl2br w:val="nil"/>
              <w:tr2bl w:val="nil"/>
            </w:tcBorders>
            <w:noWrap w:val="0"/>
            <w:vAlign w:val="center"/>
          </w:tcPr>
          <w:p w14:paraId="3CA57C72">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15</w:t>
            </w:r>
          </w:p>
        </w:tc>
        <w:tc>
          <w:tcPr>
            <w:tcW w:w="825" w:type="dxa"/>
            <w:tcBorders>
              <w:tl2br w:val="nil"/>
              <w:tr2bl w:val="nil"/>
            </w:tcBorders>
            <w:noWrap w:val="0"/>
            <w:vAlign w:val="center"/>
          </w:tcPr>
          <w:p w14:paraId="3B0692EC">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14</w:t>
            </w:r>
          </w:p>
        </w:tc>
        <w:tc>
          <w:tcPr>
            <w:tcW w:w="834" w:type="dxa"/>
            <w:tcBorders>
              <w:tl2br w:val="nil"/>
              <w:tr2bl w:val="nil"/>
            </w:tcBorders>
            <w:noWrap w:val="0"/>
            <w:vAlign w:val="center"/>
          </w:tcPr>
          <w:p w14:paraId="0806CEE6">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15</w:t>
            </w:r>
          </w:p>
        </w:tc>
        <w:tc>
          <w:tcPr>
            <w:tcW w:w="675" w:type="dxa"/>
            <w:tcBorders>
              <w:tl2br w:val="nil"/>
              <w:tr2bl w:val="nil"/>
            </w:tcBorders>
            <w:noWrap w:val="0"/>
            <w:vAlign w:val="center"/>
          </w:tcPr>
          <w:p w14:paraId="44D8BFF9">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20</w:t>
            </w:r>
          </w:p>
        </w:tc>
        <w:tc>
          <w:tcPr>
            <w:tcW w:w="832" w:type="dxa"/>
            <w:tcBorders>
              <w:tl2br w:val="nil"/>
              <w:tr2bl w:val="nil"/>
            </w:tcBorders>
            <w:noWrap w:val="0"/>
            <w:vAlign w:val="center"/>
          </w:tcPr>
          <w:p w14:paraId="53292D50">
            <w:pPr>
              <w:jc w:val="center"/>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无量纲</w:t>
            </w:r>
          </w:p>
        </w:tc>
      </w:tr>
      <w:tr w14:paraId="4389AB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065EE2E1">
            <w:pPr>
              <w:jc w:val="center"/>
              <w:rPr>
                <w:rFonts w:hint="default" w:ascii="Times New Roman" w:hAnsi="Times New Roman" w:eastAsia="宋体" w:cs="Times New Roman"/>
                <w:color w:val="auto"/>
                <w:sz w:val="21"/>
                <w:szCs w:val="21"/>
                <w:u w:val="none" w:color="auto"/>
                <w:lang w:val="en-US" w:eastAsia="zh-CN"/>
              </w:rPr>
            </w:pPr>
          </w:p>
        </w:tc>
        <w:tc>
          <w:tcPr>
            <w:tcW w:w="870" w:type="dxa"/>
            <w:vMerge w:val="continue"/>
            <w:tcBorders>
              <w:tl2br w:val="nil"/>
              <w:tr2bl w:val="nil"/>
            </w:tcBorders>
            <w:noWrap w:val="0"/>
            <w:vAlign w:val="center"/>
          </w:tcPr>
          <w:p w14:paraId="4317FB1D">
            <w:pPr>
              <w:jc w:val="center"/>
              <w:rPr>
                <w:rFonts w:hint="default" w:ascii="Times New Roman" w:hAnsi="Times New Roman" w:eastAsia="宋体" w:cs="Times New Roman"/>
                <w:color w:val="auto"/>
                <w:sz w:val="21"/>
                <w:szCs w:val="21"/>
                <w:u w:val="none" w:color="auto"/>
                <w:lang w:val="en-US" w:eastAsia="zh-CN"/>
              </w:rPr>
            </w:pPr>
          </w:p>
        </w:tc>
        <w:tc>
          <w:tcPr>
            <w:tcW w:w="1410" w:type="dxa"/>
            <w:tcBorders>
              <w:tl2br w:val="nil"/>
              <w:tr2bl w:val="nil"/>
            </w:tcBorders>
            <w:noWrap w:val="0"/>
            <w:vAlign w:val="center"/>
          </w:tcPr>
          <w:p w14:paraId="6049B422">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非甲烷总烃</w:t>
            </w:r>
          </w:p>
        </w:tc>
        <w:tc>
          <w:tcPr>
            <w:tcW w:w="771" w:type="dxa"/>
            <w:tcBorders>
              <w:tl2br w:val="nil"/>
              <w:tr2bl w:val="nil"/>
            </w:tcBorders>
            <w:noWrap w:val="0"/>
            <w:vAlign w:val="center"/>
          </w:tcPr>
          <w:p w14:paraId="5DE755F8">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3.64</w:t>
            </w:r>
          </w:p>
        </w:tc>
        <w:tc>
          <w:tcPr>
            <w:tcW w:w="825" w:type="dxa"/>
            <w:tcBorders>
              <w:tl2br w:val="nil"/>
              <w:tr2bl w:val="nil"/>
            </w:tcBorders>
            <w:noWrap w:val="0"/>
            <w:vAlign w:val="center"/>
          </w:tcPr>
          <w:p w14:paraId="15D20789">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3.30</w:t>
            </w:r>
          </w:p>
        </w:tc>
        <w:tc>
          <w:tcPr>
            <w:tcW w:w="750" w:type="dxa"/>
            <w:tcBorders>
              <w:tl2br w:val="nil"/>
              <w:tr2bl w:val="nil"/>
            </w:tcBorders>
            <w:noWrap w:val="0"/>
            <w:vAlign w:val="center"/>
          </w:tcPr>
          <w:p w14:paraId="2BCBDE77">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3.29</w:t>
            </w:r>
          </w:p>
        </w:tc>
        <w:tc>
          <w:tcPr>
            <w:tcW w:w="825" w:type="dxa"/>
            <w:tcBorders>
              <w:tl2br w:val="nil"/>
              <w:tr2bl w:val="nil"/>
            </w:tcBorders>
            <w:noWrap w:val="0"/>
            <w:vAlign w:val="center"/>
          </w:tcPr>
          <w:p w14:paraId="1FED0F45">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3.31</w:t>
            </w:r>
          </w:p>
        </w:tc>
        <w:tc>
          <w:tcPr>
            <w:tcW w:w="834" w:type="dxa"/>
            <w:tcBorders>
              <w:tl2br w:val="nil"/>
              <w:tr2bl w:val="nil"/>
            </w:tcBorders>
            <w:noWrap w:val="0"/>
            <w:vAlign w:val="center"/>
          </w:tcPr>
          <w:p w14:paraId="741A5429">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3.64</w:t>
            </w:r>
          </w:p>
        </w:tc>
        <w:tc>
          <w:tcPr>
            <w:tcW w:w="675" w:type="dxa"/>
            <w:tcBorders>
              <w:tl2br w:val="nil"/>
              <w:tr2bl w:val="nil"/>
            </w:tcBorders>
            <w:noWrap w:val="0"/>
            <w:vAlign w:val="center"/>
          </w:tcPr>
          <w:p w14:paraId="724D8F9C">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4.0</w:t>
            </w:r>
          </w:p>
        </w:tc>
        <w:tc>
          <w:tcPr>
            <w:tcW w:w="832" w:type="dxa"/>
            <w:tcBorders>
              <w:tl2br w:val="nil"/>
              <w:tr2bl w:val="nil"/>
            </w:tcBorders>
            <w:noWrap w:val="0"/>
            <w:vAlign w:val="center"/>
          </w:tcPr>
          <w:p w14:paraId="7F663B0A">
            <w:pPr>
              <w:jc w:val="center"/>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r w14:paraId="1BC204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730" w:type="dxa"/>
            <w:vMerge w:val="continue"/>
            <w:tcBorders>
              <w:tl2br w:val="nil"/>
              <w:tr2bl w:val="nil"/>
            </w:tcBorders>
            <w:noWrap w:val="0"/>
            <w:vAlign w:val="center"/>
          </w:tcPr>
          <w:p w14:paraId="69A5DF95">
            <w:pPr>
              <w:jc w:val="center"/>
              <w:rPr>
                <w:rFonts w:hint="default" w:ascii="Times New Roman" w:hAnsi="Times New Roman" w:eastAsia="宋体" w:cs="Times New Roman"/>
                <w:color w:val="auto"/>
                <w:sz w:val="21"/>
                <w:szCs w:val="21"/>
                <w:u w:val="none" w:color="auto"/>
                <w:lang w:val="en-US" w:eastAsia="zh-CN"/>
              </w:rPr>
            </w:pPr>
          </w:p>
        </w:tc>
        <w:tc>
          <w:tcPr>
            <w:tcW w:w="870" w:type="dxa"/>
            <w:tcBorders>
              <w:tl2br w:val="nil"/>
              <w:tr2bl w:val="nil"/>
            </w:tcBorders>
            <w:noWrap w:val="0"/>
            <w:vAlign w:val="center"/>
          </w:tcPr>
          <w:p w14:paraId="38A7E139">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厂区内</w:t>
            </w:r>
          </w:p>
        </w:tc>
        <w:tc>
          <w:tcPr>
            <w:tcW w:w="1410" w:type="dxa"/>
            <w:tcBorders>
              <w:tl2br w:val="nil"/>
              <w:tr2bl w:val="nil"/>
            </w:tcBorders>
            <w:noWrap w:val="0"/>
            <w:vAlign w:val="center"/>
          </w:tcPr>
          <w:p w14:paraId="294E00A2">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非甲烷总烃</w:t>
            </w:r>
          </w:p>
        </w:tc>
        <w:tc>
          <w:tcPr>
            <w:tcW w:w="771" w:type="dxa"/>
            <w:tcBorders>
              <w:tl2br w:val="nil"/>
              <w:tr2bl w:val="nil"/>
            </w:tcBorders>
            <w:noWrap w:val="0"/>
            <w:vAlign w:val="center"/>
          </w:tcPr>
          <w:p w14:paraId="4DBD6B17">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4.47</w:t>
            </w:r>
          </w:p>
        </w:tc>
        <w:tc>
          <w:tcPr>
            <w:tcW w:w="825" w:type="dxa"/>
            <w:tcBorders>
              <w:tl2br w:val="nil"/>
              <w:tr2bl w:val="nil"/>
            </w:tcBorders>
            <w:noWrap w:val="0"/>
            <w:vAlign w:val="center"/>
          </w:tcPr>
          <w:p w14:paraId="66A97F7D">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4.06</w:t>
            </w:r>
          </w:p>
        </w:tc>
        <w:tc>
          <w:tcPr>
            <w:tcW w:w="750" w:type="dxa"/>
            <w:tcBorders>
              <w:tl2br w:val="nil"/>
              <w:tr2bl w:val="nil"/>
            </w:tcBorders>
            <w:noWrap w:val="0"/>
            <w:vAlign w:val="center"/>
          </w:tcPr>
          <w:p w14:paraId="6390DBA3">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4.15</w:t>
            </w:r>
          </w:p>
        </w:tc>
        <w:tc>
          <w:tcPr>
            <w:tcW w:w="825" w:type="dxa"/>
            <w:tcBorders>
              <w:tl2br w:val="nil"/>
              <w:tr2bl w:val="nil"/>
            </w:tcBorders>
            <w:noWrap w:val="0"/>
            <w:vAlign w:val="center"/>
          </w:tcPr>
          <w:p w14:paraId="5BA10721">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4.07</w:t>
            </w:r>
          </w:p>
        </w:tc>
        <w:tc>
          <w:tcPr>
            <w:tcW w:w="834" w:type="dxa"/>
            <w:tcBorders>
              <w:tl2br w:val="nil"/>
              <w:tr2bl w:val="nil"/>
            </w:tcBorders>
            <w:noWrap w:val="0"/>
            <w:vAlign w:val="center"/>
          </w:tcPr>
          <w:p w14:paraId="3085ABA9">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4.47</w:t>
            </w:r>
          </w:p>
        </w:tc>
        <w:tc>
          <w:tcPr>
            <w:tcW w:w="675" w:type="dxa"/>
            <w:tcBorders>
              <w:tl2br w:val="nil"/>
              <w:tr2bl w:val="nil"/>
            </w:tcBorders>
            <w:noWrap w:val="0"/>
            <w:vAlign w:val="center"/>
          </w:tcPr>
          <w:p w14:paraId="1D13BCD1">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w:t>
            </w:r>
          </w:p>
        </w:tc>
        <w:tc>
          <w:tcPr>
            <w:tcW w:w="832" w:type="dxa"/>
            <w:tcBorders>
              <w:tl2br w:val="nil"/>
              <w:tr2bl w:val="nil"/>
            </w:tcBorders>
            <w:noWrap w:val="0"/>
            <w:vAlign w:val="center"/>
          </w:tcPr>
          <w:p w14:paraId="08424FD4">
            <w:pPr>
              <w:jc w:val="center"/>
              <w:rPr>
                <w:rFonts w:hint="eastAsia"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mg/m</w:t>
            </w:r>
            <w:r>
              <w:rPr>
                <w:rFonts w:hint="eastAsia" w:ascii="Times New Roman" w:hAnsi="Times New Roman" w:cs="Times New Roman"/>
                <w:color w:val="auto"/>
                <w:kern w:val="2"/>
                <w:sz w:val="21"/>
                <w:szCs w:val="21"/>
                <w:u w:val="none" w:color="auto"/>
                <w:vertAlign w:val="superscript"/>
                <w:lang w:val="en-US" w:eastAsia="zh-CN" w:bidi="ar-SA"/>
              </w:rPr>
              <w:t>3</w:t>
            </w:r>
          </w:p>
        </w:tc>
      </w:tr>
    </w:tbl>
    <w:p w14:paraId="2E5A8B2E">
      <w:pPr>
        <w:pStyle w:val="20"/>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sz w:val="24"/>
          <w:u w:val="none" w:color="auto"/>
          <w:lang w:val="en-US" w:eastAsia="zh-CN"/>
        </w:rPr>
        <w:t>由监测结果可知，迁建前项目有组织废气中颗粒物、氯化氢、非甲烷总烃满足《大气污染物综合排放标准》（GB16297-1996）中新污染源的二级标准排放限值，臭气浓度最大排放浓度为851（无量纲），满足《恶臭污染物排放标准》GB14554-93中表2恶臭污染物排放标准限值。厂界无组织非甲烷总烃、颗粒物执行《大气污染物综合排放标准》（GB16297-1996）表2排放限值，厂区内无组织非甲烷总烃执行《挥发性有机物无组织排放控制标准》（GB37822-2019）表A.1厂区内非甲烷总烃无组织排放限值。</w:t>
      </w:r>
    </w:p>
    <w:p w14:paraId="571D7DA4">
      <w:pPr>
        <w:pStyle w:val="4"/>
        <w:bidi w:val="0"/>
        <w:rPr>
          <w:rFonts w:hint="default"/>
          <w:color w:val="auto"/>
          <w:u w:val="none" w:color="auto"/>
          <w:lang w:val="en-US" w:eastAsia="zh-CN"/>
        </w:rPr>
      </w:pPr>
      <w:bookmarkStart w:id="587" w:name="_Toc10164"/>
      <w:r>
        <w:rPr>
          <w:rFonts w:hint="eastAsia"/>
          <w:color w:val="auto"/>
          <w:u w:val="none" w:color="auto"/>
          <w:lang w:val="en-US" w:eastAsia="zh-CN"/>
        </w:rPr>
        <w:t>3.3.2废水</w:t>
      </w:r>
      <w:bookmarkEnd w:id="587"/>
    </w:p>
    <w:p w14:paraId="1EA80CE6">
      <w:pPr>
        <w:pStyle w:val="20"/>
        <w:bidi w:val="0"/>
        <w:rPr>
          <w:rFonts w:hint="eastAsia"/>
          <w:color w:val="auto"/>
          <w:u w:val="none" w:color="auto"/>
          <w:lang w:val="en-US" w:eastAsia="zh-CN"/>
        </w:rPr>
      </w:pPr>
      <w:r>
        <w:rPr>
          <w:rFonts w:hint="eastAsia"/>
          <w:color w:val="auto"/>
          <w:highlight w:val="none"/>
          <w:u w:val="none" w:color="auto"/>
          <w:lang w:val="en-US" w:eastAsia="zh-CN"/>
        </w:rPr>
        <w:t>项目迁建前主要产生的废水为生活污水、循环冷却水。具体治理措施见表3.3-4。</w:t>
      </w:r>
    </w:p>
    <w:p w14:paraId="0F3EA773">
      <w:pPr>
        <w:pStyle w:val="22"/>
        <w:bidi w:val="0"/>
        <w:rPr>
          <w:rFonts w:hint="eastAsia"/>
          <w:color w:val="auto"/>
          <w:u w:val="none" w:color="auto"/>
          <w:lang w:val="en-US" w:eastAsia="zh-CN"/>
        </w:rPr>
      </w:pPr>
      <w:r>
        <w:rPr>
          <w:rFonts w:hint="eastAsia"/>
          <w:color w:val="auto"/>
          <w:u w:val="none" w:color="auto"/>
          <w:lang w:val="en-US" w:eastAsia="zh-CN"/>
        </w:rPr>
        <w:t>表3.3-4 废水排放及其治理措施</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Layout w:type="fixed"/>
        <w:tblCellMar>
          <w:top w:w="0" w:type="dxa"/>
          <w:left w:w="108" w:type="dxa"/>
          <w:bottom w:w="0" w:type="dxa"/>
          <w:right w:w="108" w:type="dxa"/>
        </w:tblCellMar>
      </w:tblPr>
      <w:tblGrid>
        <w:gridCol w:w="1241"/>
        <w:gridCol w:w="1428"/>
        <w:gridCol w:w="2034"/>
        <w:gridCol w:w="3801"/>
      </w:tblGrid>
      <w:tr w14:paraId="1570E548">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241" w:type="dxa"/>
            <w:tcBorders>
              <w:tl2br w:val="nil"/>
              <w:tr2bl w:val="nil"/>
            </w:tcBorders>
            <w:noWrap w:val="0"/>
            <w:vAlign w:val="center"/>
          </w:tcPr>
          <w:p w14:paraId="046A7B2B">
            <w:pPr>
              <w:pStyle w:val="26"/>
              <w:bidi w:val="0"/>
              <w:rPr>
                <w:rFonts w:hint="default" w:ascii="Times New Roman" w:hAnsi="Times New Roman" w:eastAsia="宋体" w:cs="Times New Roman"/>
                <w:b/>
                <w:bCs/>
                <w:color w:val="auto"/>
                <w:u w:val="none" w:color="auto"/>
                <w:lang w:eastAsia="zh-CN"/>
              </w:rPr>
            </w:pPr>
            <w:r>
              <w:rPr>
                <w:rFonts w:hint="default" w:ascii="Times New Roman" w:hAnsi="Times New Roman" w:cs="Times New Roman"/>
                <w:b/>
                <w:bCs/>
                <w:color w:val="auto"/>
                <w:u w:val="none" w:color="auto"/>
                <w:lang w:eastAsia="zh-CN"/>
              </w:rPr>
              <w:t>排放源</w:t>
            </w:r>
          </w:p>
        </w:tc>
        <w:tc>
          <w:tcPr>
            <w:tcW w:w="1428" w:type="dxa"/>
            <w:tcBorders>
              <w:tl2br w:val="nil"/>
              <w:tr2bl w:val="nil"/>
            </w:tcBorders>
            <w:noWrap w:val="0"/>
            <w:vAlign w:val="center"/>
          </w:tcPr>
          <w:p w14:paraId="44C8227E">
            <w:pPr>
              <w:pStyle w:val="26"/>
              <w:bidi w:val="0"/>
              <w:rPr>
                <w:rFonts w:hint="default" w:ascii="Times New Roman" w:hAnsi="Times New Roman" w:cs="Times New Roman"/>
                <w:b/>
                <w:bCs/>
                <w:color w:val="auto"/>
                <w:u w:val="none" w:color="auto"/>
              </w:rPr>
            </w:pPr>
            <w:r>
              <w:rPr>
                <w:rFonts w:hint="default" w:ascii="Times New Roman" w:hAnsi="Times New Roman" w:cs="Times New Roman"/>
                <w:b/>
                <w:bCs/>
                <w:color w:val="auto"/>
                <w:u w:val="none" w:color="auto"/>
              </w:rPr>
              <w:t>产生量（t/</w:t>
            </w:r>
            <w:r>
              <w:rPr>
                <w:rFonts w:hint="default" w:ascii="Times New Roman" w:hAnsi="Times New Roman" w:cs="Times New Roman"/>
                <w:b/>
                <w:bCs/>
                <w:color w:val="auto"/>
                <w:u w:val="none" w:color="auto"/>
                <w:lang w:val="en-US" w:eastAsia="zh-CN"/>
              </w:rPr>
              <w:t>a</w:t>
            </w:r>
            <w:r>
              <w:rPr>
                <w:rFonts w:hint="default" w:ascii="Times New Roman" w:hAnsi="Times New Roman" w:cs="Times New Roman"/>
                <w:b/>
                <w:bCs/>
                <w:color w:val="auto"/>
                <w:u w:val="none" w:color="auto"/>
              </w:rPr>
              <w:t>）</w:t>
            </w:r>
          </w:p>
        </w:tc>
        <w:tc>
          <w:tcPr>
            <w:tcW w:w="2034" w:type="dxa"/>
            <w:tcBorders>
              <w:tl2br w:val="nil"/>
              <w:tr2bl w:val="nil"/>
            </w:tcBorders>
            <w:noWrap w:val="0"/>
            <w:vAlign w:val="center"/>
          </w:tcPr>
          <w:p w14:paraId="6685D7D4">
            <w:pPr>
              <w:pStyle w:val="26"/>
              <w:bidi w:val="0"/>
              <w:rPr>
                <w:rFonts w:hint="default" w:ascii="Times New Roman" w:hAnsi="Times New Roman" w:eastAsia="宋体" w:cs="Times New Roman"/>
                <w:b/>
                <w:bCs/>
                <w:color w:val="auto"/>
                <w:u w:val="none" w:color="auto"/>
                <w:lang w:eastAsia="zh-CN"/>
              </w:rPr>
            </w:pPr>
            <w:r>
              <w:rPr>
                <w:rFonts w:hint="default" w:ascii="Times New Roman" w:hAnsi="Times New Roman" w:cs="Times New Roman"/>
                <w:b/>
                <w:bCs/>
                <w:color w:val="auto"/>
                <w:u w:val="none" w:color="auto"/>
              </w:rPr>
              <w:t>主要污染因子</w:t>
            </w:r>
          </w:p>
        </w:tc>
        <w:tc>
          <w:tcPr>
            <w:tcW w:w="3801" w:type="dxa"/>
            <w:tcBorders>
              <w:tl2br w:val="nil"/>
              <w:tr2bl w:val="nil"/>
            </w:tcBorders>
            <w:noWrap w:val="0"/>
            <w:vAlign w:val="center"/>
          </w:tcPr>
          <w:p w14:paraId="04C7E15A">
            <w:pPr>
              <w:pStyle w:val="26"/>
              <w:bidi w:val="0"/>
              <w:rPr>
                <w:rFonts w:hint="default" w:ascii="Times New Roman" w:hAnsi="Times New Roman" w:eastAsia="宋体" w:cs="Times New Roman"/>
                <w:b/>
                <w:bCs/>
                <w:color w:val="auto"/>
                <w:u w:val="none" w:color="auto"/>
                <w:lang w:eastAsia="zh-CN"/>
              </w:rPr>
            </w:pPr>
            <w:r>
              <w:rPr>
                <w:rFonts w:hint="default" w:ascii="Times New Roman" w:hAnsi="Times New Roman" w:cs="Times New Roman"/>
                <w:b/>
                <w:bCs/>
                <w:color w:val="auto"/>
                <w:u w:val="none" w:color="auto"/>
                <w:lang w:eastAsia="zh-CN"/>
              </w:rPr>
              <w:t>治理措施</w:t>
            </w:r>
          </w:p>
        </w:tc>
      </w:tr>
      <w:tr w14:paraId="6CD83186">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241" w:type="dxa"/>
            <w:tcBorders>
              <w:tl2br w:val="nil"/>
              <w:tr2bl w:val="nil"/>
            </w:tcBorders>
            <w:noWrap w:val="0"/>
            <w:vAlign w:val="center"/>
          </w:tcPr>
          <w:p w14:paraId="5F1AF65B">
            <w:pPr>
              <w:pStyle w:val="26"/>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生活污水</w:t>
            </w:r>
          </w:p>
        </w:tc>
        <w:tc>
          <w:tcPr>
            <w:tcW w:w="1428" w:type="dxa"/>
            <w:tcBorders>
              <w:tl2br w:val="nil"/>
              <w:tr2bl w:val="nil"/>
            </w:tcBorders>
            <w:noWrap w:val="0"/>
            <w:vAlign w:val="center"/>
          </w:tcPr>
          <w:p w14:paraId="1D8CDF23">
            <w:pPr>
              <w:pStyle w:val="26"/>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kern w:val="2"/>
                <w:position w:val="0"/>
                <w:szCs w:val="21"/>
                <w:u w:val="none" w:color="auto"/>
                <w:lang w:val="en-US" w:eastAsia="zh-CN"/>
              </w:rPr>
              <w:t>1740</w:t>
            </w:r>
            <w:r>
              <w:rPr>
                <w:rFonts w:hint="default" w:ascii="Times New Roman" w:hAnsi="Times New Roman" w:cs="Times New Roman"/>
                <w:color w:val="auto"/>
                <w:kern w:val="2"/>
                <w:position w:val="0"/>
                <w:szCs w:val="21"/>
                <w:u w:val="none" w:color="auto"/>
              </w:rPr>
              <w:t>t/a</w:t>
            </w:r>
          </w:p>
        </w:tc>
        <w:tc>
          <w:tcPr>
            <w:tcW w:w="2034" w:type="dxa"/>
            <w:tcBorders>
              <w:tl2br w:val="nil"/>
              <w:tr2bl w:val="nil"/>
            </w:tcBorders>
            <w:noWrap w:val="0"/>
            <w:vAlign w:val="center"/>
          </w:tcPr>
          <w:p w14:paraId="7BB1267F">
            <w:pPr>
              <w:pStyle w:val="26"/>
              <w:bidi w:val="0"/>
              <w:rPr>
                <w:rFonts w:hint="default" w:ascii="Times New Roman" w:hAnsi="Times New Roman" w:cs="Times New Roman"/>
                <w:color w:val="auto"/>
                <w:u w:val="none" w:color="auto"/>
                <w:vertAlign w:val="baseline"/>
                <w:lang w:val="en-US" w:eastAsia="zh-CN"/>
              </w:rPr>
            </w:pPr>
            <w:r>
              <w:rPr>
                <w:rFonts w:hint="eastAsia" w:ascii="Times New Roman" w:hAnsi="Times New Roman" w:cs="Times New Roman"/>
                <w:color w:val="auto"/>
                <w:u w:val="none" w:color="auto"/>
                <w:vertAlign w:val="baseline"/>
                <w:lang w:val="en-US" w:eastAsia="zh-CN"/>
              </w:rPr>
              <w:t>p</w:t>
            </w:r>
            <w:r>
              <w:rPr>
                <w:rFonts w:hint="default" w:ascii="Times New Roman" w:hAnsi="Times New Roman" w:cs="Times New Roman"/>
                <w:color w:val="auto"/>
                <w:u w:val="none" w:color="auto"/>
                <w:lang w:val="en-US" w:eastAsia="zh-CN"/>
              </w:rPr>
              <w:t>H、COD、BOD</w:t>
            </w:r>
            <w:r>
              <w:rPr>
                <w:rFonts w:hint="default" w:ascii="Times New Roman" w:hAnsi="Times New Roman" w:cs="Times New Roman"/>
                <w:color w:val="auto"/>
                <w:u w:val="none" w:color="auto"/>
                <w:vertAlign w:val="subscript"/>
                <w:lang w:val="en-US" w:eastAsia="zh-CN"/>
              </w:rPr>
              <w:t>5</w:t>
            </w:r>
            <w:r>
              <w:rPr>
                <w:rFonts w:hint="default" w:ascii="Times New Roman" w:hAnsi="Times New Roman" w:cs="Times New Roman"/>
                <w:color w:val="auto"/>
                <w:u w:val="none" w:color="auto"/>
                <w:vertAlign w:val="baseline"/>
                <w:lang w:val="en-US" w:eastAsia="zh-CN"/>
              </w:rPr>
              <w:t>、SS、动植物油、氨氮等</w:t>
            </w:r>
          </w:p>
        </w:tc>
        <w:tc>
          <w:tcPr>
            <w:tcW w:w="3801" w:type="dxa"/>
            <w:tcBorders>
              <w:tl2br w:val="nil"/>
              <w:tr2bl w:val="nil"/>
            </w:tcBorders>
            <w:noWrap w:val="0"/>
            <w:vAlign w:val="center"/>
          </w:tcPr>
          <w:p w14:paraId="6AAEDAF5">
            <w:pPr>
              <w:pStyle w:val="26"/>
              <w:bidi w:val="0"/>
              <w:rPr>
                <w:rFonts w:hint="default" w:ascii="Times New Roman" w:hAnsi="Times New Roman" w:cs="Times New Roman"/>
                <w:color w:val="auto"/>
                <w:u w:val="none" w:color="auto"/>
                <w:lang w:eastAsia="zh-CN"/>
              </w:rPr>
            </w:pPr>
            <w:r>
              <w:rPr>
                <w:rFonts w:hint="eastAsia" w:ascii="Times New Roman" w:hAnsi="Times New Roman" w:cs="Times New Roman"/>
                <w:color w:val="auto"/>
                <w:u w:val="none" w:color="auto"/>
                <w:lang w:val="en-US" w:eastAsia="zh-CN"/>
              </w:rPr>
              <w:t>依托现代家俱隔油沉淀池、化粪池处理</w:t>
            </w:r>
            <w:r>
              <w:rPr>
                <w:rFonts w:hint="eastAsia"/>
                <w:color w:val="auto"/>
                <w:u w:val="none" w:color="auto"/>
                <w:lang w:val="en-US" w:eastAsia="zh-CN"/>
              </w:rPr>
              <w:t>后排入湖南汨罗高新技术产业开发区（循环园区）污水处理厂</w:t>
            </w:r>
            <w:r>
              <w:rPr>
                <w:rFonts w:hint="eastAsia" w:ascii="Times New Roman" w:hAnsi="Times New Roman" w:cs="Times New Roman"/>
                <w:color w:val="auto"/>
                <w:u w:val="none" w:color="auto"/>
                <w:lang w:eastAsia="zh-CN"/>
              </w:rPr>
              <w:t>。</w:t>
            </w:r>
          </w:p>
        </w:tc>
      </w:tr>
      <w:tr w14:paraId="5F7093F5">
        <w:tblPrEx>
          <w:tblBorders>
            <w:top w:val="single" w:color="auto" w:sz="12" w:space="0"/>
            <w:left w:val="single" w:color="auto" w:sz="12" w:space="0"/>
            <w:bottom w:val="single" w:color="auto" w:sz="12" w:space="0"/>
            <w:right w:val="single" w:color="auto" w:sz="12" w:space="0"/>
            <w:insideH w:val="single" w:color="auto" w:sz="8" w:space="0"/>
            <w:insideV w:val="single" w:color="auto" w:sz="4" w:space="0"/>
          </w:tblBorders>
          <w:tblCellMar>
            <w:top w:w="0" w:type="dxa"/>
            <w:left w:w="108" w:type="dxa"/>
            <w:bottom w:w="0" w:type="dxa"/>
            <w:right w:w="108" w:type="dxa"/>
          </w:tblCellMar>
        </w:tblPrEx>
        <w:trPr>
          <w:trHeight w:val="454" w:hRule="atLeast"/>
          <w:jc w:val="center"/>
        </w:trPr>
        <w:tc>
          <w:tcPr>
            <w:tcW w:w="1241" w:type="dxa"/>
            <w:tcBorders>
              <w:tl2br w:val="nil"/>
              <w:tr2bl w:val="nil"/>
            </w:tcBorders>
            <w:noWrap w:val="0"/>
            <w:vAlign w:val="center"/>
          </w:tcPr>
          <w:p w14:paraId="22960E30">
            <w:pPr>
              <w:pStyle w:val="26"/>
              <w:bidi w:val="0"/>
              <w:rPr>
                <w:rFonts w:hint="default"/>
                <w:color w:val="auto"/>
                <w:highlight w:val="none"/>
                <w:u w:val="none" w:color="auto"/>
                <w:lang w:val="en-US" w:eastAsia="zh-CN"/>
              </w:rPr>
            </w:pPr>
            <w:r>
              <w:rPr>
                <w:rFonts w:hint="eastAsia"/>
                <w:color w:val="auto"/>
                <w:highlight w:val="none"/>
                <w:u w:val="none" w:color="auto"/>
                <w:lang w:val="en-US" w:eastAsia="zh-CN"/>
              </w:rPr>
              <w:t>循环冷却水</w:t>
            </w:r>
          </w:p>
        </w:tc>
        <w:tc>
          <w:tcPr>
            <w:tcW w:w="1428" w:type="dxa"/>
            <w:tcBorders>
              <w:tl2br w:val="nil"/>
              <w:tr2bl w:val="nil"/>
            </w:tcBorders>
            <w:noWrap w:val="0"/>
            <w:vAlign w:val="center"/>
          </w:tcPr>
          <w:p w14:paraId="56180387">
            <w:pPr>
              <w:pStyle w:val="26"/>
              <w:bidi w:val="0"/>
              <w:rPr>
                <w:rFonts w:hint="default" w:cs="Times New Roman"/>
                <w:color w:val="auto"/>
                <w:szCs w:val="21"/>
                <w:u w:val="none" w:color="auto"/>
                <w:lang w:val="en-US" w:eastAsia="zh-CN"/>
              </w:rPr>
            </w:pPr>
            <w:r>
              <w:rPr>
                <w:rFonts w:hint="eastAsia" w:cs="Times New Roman"/>
                <w:color w:val="auto"/>
                <w:szCs w:val="21"/>
                <w:u w:val="none" w:color="auto"/>
                <w:lang w:val="en-US" w:eastAsia="zh-CN"/>
              </w:rPr>
              <w:t>/</w:t>
            </w:r>
          </w:p>
        </w:tc>
        <w:tc>
          <w:tcPr>
            <w:tcW w:w="2034" w:type="dxa"/>
            <w:tcBorders>
              <w:tl2br w:val="nil"/>
              <w:tr2bl w:val="nil"/>
            </w:tcBorders>
            <w:noWrap w:val="0"/>
            <w:vAlign w:val="center"/>
          </w:tcPr>
          <w:p w14:paraId="2A2BDF69">
            <w:pPr>
              <w:pStyle w:val="26"/>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SS</w:t>
            </w:r>
          </w:p>
        </w:tc>
        <w:tc>
          <w:tcPr>
            <w:tcW w:w="3801" w:type="dxa"/>
            <w:tcBorders>
              <w:tl2br w:val="nil"/>
              <w:tr2bl w:val="nil"/>
            </w:tcBorders>
            <w:noWrap w:val="0"/>
            <w:vAlign w:val="center"/>
          </w:tcPr>
          <w:p w14:paraId="2F54F491">
            <w:pPr>
              <w:pStyle w:val="26"/>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eastAsia="zh-CN"/>
              </w:rPr>
              <w:t>经循环沉淀池处理后循环使用不外排</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定期补充损耗。</w:t>
            </w:r>
          </w:p>
        </w:tc>
      </w:tr>
    </w:tbl>
    <w:p w14:paraId="3B50A613">
      <w:pPr>
        <w:pStyle w:val="20"/>
        <w:bidi w:val="0"/>
        <w:rPr>
          <w:rFonts w:hint="default"/>
          <w:color w:val="auto"/>
          <w:u w:val="none" w:color="auto"/>
          <w:lang w:val="en-US" w:eastAsia="zh-CN"/>
        </w:rPr>
      </w:pPr>
      <w:r>
        <w:rPr>
          <w:rFonts w:hint="eastAsia"/>
          <w:color w:val="auto"/>
          <w:u w:val="none" w:color="auto"/>
          <w:lang w:val="en-US" w:eastAsia="zh-CN"/>
        </w:rPr>
        <w:t>项目迁建前仅排放生活污水，根据《排污单位自行监测技术指南 橡胶和塑料制品业》（HJ1207-2021）塑料制品工业排污单位废水排放监测点位、监测指标及最低监测频次可知，非重点排污单位间接排放的生活污水排放口无需监测，故项目常规监测中未进行废水监测。</w:t>
      </w:r>
    </w:p>
    <w:p w14:paraId="50E5D0A1">
      <w:pPr>
        <w:pStyle w:val="4"/>
        <w:bidi w:val="0"/>
        <w:rPr>
          <w:rFonts w:hint="default"/>
          <w:color w:val="auto"/>
          <w:u w:val="none" w:color="auto"/>
          <w:lang w:val="en-US" w:eastAsia="zh-CN"/>
        </w:rPr>
      </w:pPr>
      <w:bookmarkStart w:id="588" w:name="_Toc5359"/>
      <w:r>
        <w:rPr>
          <w:rFonts w:hint="eastAsia"/>
          <w:color w:val="auto"/>
          <w:u w:val="none" w:color="auto"/>
          <w:lang w:val="en-US" w:eastAsia="zh-CN"/>
        </w:rPr>
        <w:t>3.3.3噪声</w:t>
      </w:r>
      <w:bookmarkEnd w:id="588"/>
    </w:p>
    <w:p w14:paraId="4990771B">
      <w:pPr>
        <w:pStyle w:val="20"/>
        <w:bidi w:val="0"/>
        <w:rPr>
          <w:rFonts w:hint="eastAsia"/>
          <w:color w:val="auto"/>
          <w:u w:val="none" w:color="auto"/>
          <w:lang w:val="en-US" w:eastAsia="zh-CN"/>
        </w:rPr>
      </w:pPr>
      <w:r>
        <w:rPr>
          <w:rFonts w:hint="eastAsia"/>
          <w:color w:val="auto"/>
          <w:u w:val="none" w:color="auto"/>
          <w:lang w:val="en-US" w:eastAsia="zh-CN"/>
        </w:rPr>
        <w:t>现有项目生产中使用的设备较多，大多会产生一定的噪声。主要噪声设备有：破碎机、磨粉机、挤出机、各类风机等，噪声源约75~90dB（A），企业已采取安装减振垫、消音器、隔声等措施减少对周围环境干扰，通过设备的总图优化布置等使高噪声设备尽量位于场地内部。</w:t>
      </w:r>
    </w:p>
    <w:p w14:paraId="72915574">
      <w:pPr>
        <w:pStyle w:val="20"/>
        <w:bidi w:val="0"/>
        <w:rPr>
          <w:rFonts w:hint="eastAsia"/>
          <w:color w:val="auto"/>
          <w:u w:val="none" w:color="auto"/>
          <w:lang w:val="en-US" w:eastAsia="zh-CN"/>
        </w:rPr>
      </w:pPr>
      <w:r>
        <w:rPr>
          <w:rFonts w:hint="eastAsia"/>
          <w:color w:val="auto"/>
          <w:u w:val="none" w:color="auto"/>
          <w:lang w:val="en-US" w:eastAsia="zh-CN"/>
        </w:rPr>
        <w:t>根据</w:t>
      </w:r>
      <w:r>
        <w:rPr>
          <w:rFonts w:hint="eastAsia" w:ascii="Times New Roman" w:hAnsi="Times New Roman" w:eastAsia="宋体" w:cs="Times New Roman"/>
          <w:color w:val="auto"/>
          <w:u w:val="none" w:color="auto"/>
          <w:lang w:val="en-US" w:eastAsia="zh-CN"/>
        </w:rPr>
        <w:t>企业2024年6月15日的常规监测报告（报告编号：ZEHB202406053A）</w:t>
      </w:r>
      <w:r>
        <w:rPr>
          <w:rFonts w:hint="eastAsia"/>
          <w:color w:val="auto"/>
          <w:u w:val="none" w:color="auto"/>
          <w:lang w:val="en-US" w:eastAsia="zh-CN"/>
        </w:rPr>
        <w:t>，迁建前项目厂界噪声结果如下表。</w:t>
      </w:r>
    </w:p>
    <w:p w14:paraId="4770BC33">
      <w:pPr>
        <w:pStyle w:val="22"/>
        <w:bidi w:val="0"/>
        <w:rPr>
          <w:rFonts w:hint="eastAsia"/>
          <w:color w:val="auto"/>
          <w:u w:val="none" w:color="auto"/>
          <w:lang w:val="en-US" w:eastAsia="zh-CN"/>
        </w:rPr>
      </w:pPr>
      <w:r>
        <w:rPr>
          <w:rFonts w:hint="eastAsia"/>
          <w:color w:val="auto"/>
          <w:u w:val="none" w:color="auto"/>
          <w:lang w:val="en-US" w:eastAsia="zh-CN"/>
        </w:rPr>
        <w:t>表3.3-5 现有项目噪声监测结果表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40"/>
        <w:gridCol w:w="2235"/>
        <w:gridCol w:w="2264"/>
        <w:gridCol w:w="2265"/>
      </w:tblGrid>
      <w:tr w14:paraId="69BAF6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vMerge w:val="restart"/>
            <w:noWrap w:val="0"/>
            <w:vAlign w:val="center"/>
          </w:tcPr>
          <w:p w14:paraId="38A86721">
            <w:pPr>
              <w:jc w:val="center"/>
              <w:rPr>
                <w:rFonts w:hint="default" w:eastAsia="宋体"/>
                <w:b/>
                <w:bCs/>
                <w:color w:val="auto"/>
                <w:u w:val="none" w:color="auto"/>
                <w:lang w:val="en-US" w:eastAsia="zh-CN"/>
              </w:rPr>
            </w:pPr>
            <w:r>
              <w:rPr>
                <w:rFonts w:hint="eastAsia" w:hAnsi="宋体"/>
                <w:b/>
                <w:bCs/>
                <w:color w:val="auto"/>
                <w:u w:val="none" w:color="auto"/>
                <w:lang w:val="en-US" w:eastAsia="zh-CN"/>
              </w:rPr>
              <w:t>采样时间</w:t>
            </w:r>
          </w:p>
        </w:tc>
        <w:tc>
          <w:tcPr>
            <w:tcW w:w="2235" w:type="dxa"/>
            <w:vMerge w:val="restart"/>
            <w:noWrap w:val="0"/>
            <w:vAlign w:val="center"/>
          </w:tcPr>
          <w:p w14:paraId="28086C87">
            <w:pPr>
              <w:jc w:val="center"/>
              <w:rPr>
                <w:rFonts w:hint="default" w:eastAsia="宋体"/>
                <w:b/>
                <w:bCs/>
                <w:color w:val="auto"/>
                <w:u w:val="none" w:color="auto"/>
                <w:lang w:val="en-US" w:eastAsia="zh-CN"/>
              </w:rPr>
            </w:pPr>
            <w:r>
              <w:rPr>
                <w:rFonts w:hint="eastAsia" w:hAnsi="宋体"/>
                <w:b/>
                <w:bCs/>
                <w:color w:val="auto"/>
                <w:u w:val="none" w:color="auto"/>
                <w:lang w:val="en-US" w:eastAsia="zh-CN"/>
              </w:rPr>
              <w:t>采样点位</w:t>
            </w:r>
          </w:p>
        </w:tc>
        <w:tc>
          <w:tcPr>
            <w:tcW w:w="2264" w:type="dxa"/>
            <w:noWrap w:val="0"/>
            <w:vAlign w:val="center"/>
          </w:tcPr>
          <w:p w14:paraId="169D632F">
            <w:pPr>
              <w:jc w:val="center"/>
              <w:rPr>
                <w:b/>
                <w:bCs/>
                <w:color w:val="auto"/>
                <w:u w:val="none" w:color="auto"/>
              </w:rPr>
            </w:pPr>
            <w:r>
              <w:rPr>
                <w:rFonts w:hint="eastAsia" w:hAnsi="宋体"/>
                <w:b/>
                <w:bCs/>
                <w:color w:val="auto"/>
                <w:u w:val="none" w:color="auto"/>
                <w:lang w:val="en-US" w:eastAsia="zh-CN"/>
              </w:rPr>
              <w:t>检测结果</w:t>
            </w:r>
            <w:r>
              <w:rPr>
                <w:b/>
                <w:bCs/>
                <w:color w:val="auto"/>
                <w:u w:val="none" w:color="auto"/>
              </w:rPr>
              <w:t>dB</w:t>
            </w:r>
            <w:r>
              <w:rPr>
                <w:rFonts w:hAnsi="宋体"/>
                <w:b/>
                <w:bCs/>
                <w:color w:val="auto"/>
                <w:u w:val="none" w:color="auto"/>
              </w:rPr>
              <w:t>（</w:t>
            </w:r>
            <w:r>
              <w:rPr>
                <w:b/>
                <w:bCs/>
                <w:color w:val="auto"/>
                <w:u w:val="none" w:color="auto"/>
              </w:rPr>
              <w:t>A</w:t>
            </w:r>
            <w:r>
              <w:rPr>
                <w:rFonts w:hAnsi="宋体"/>
                <w:b/>
                <w:bCs/>
                <w:color w:val="auto"/>
                <w:u w:val="none" w:color="auto"/>
              </w:rPr>
              <w:t>）</w:t>
            </w:r>
          </w:p>
        </w:tc>
        <w:tc>
          <w:tcPr>
            <w:tcW w:w="2265" w:type="dxa"/>
            <w:noWrap w:val="0"/>
            <w:vAlign w:val="center"/>
          </w:tcPr>
          <w:p w14:paraId="1F8A4CD9">
            <w:pPr>
              <w:jc w:val="center"/>
              <w:rPr>
                <w:rFonts w:hint="default" w:hAnsi="宋体"/>
                <w:b/>
                <w:bCs/>
                <w:color w:val="auto"/>
                <w:u w:val="none" w:color="auto"/>
                <w:lang w:val="en-US" w:eastAsia="zh-CN"/>
              </w:rPr>
            </w:pPr>
            <w:r>
              <w:rPr>
                <w:rFonts w:hint="eastAsia" w:hAnsi="宋体"/>
                <w:b/>
                <w:bCs/>
                <w:color w:val="auto"/>
                <w:u w:val="none" w:color="auto"/>
                <w:lang w:val="en-US" w:eastAsia="zh-CN"/>
              </w:rPr>
              <w:t>标准限值</w:t>
            </w:r>
            <w:r>
              <w:rPr>
                <w:b/>
                <w:bCs/>
                <w:color w:val="auto"/>
                <w:u w:val="none" w:color="auto"/>
              </w:rPr>
              <w:t>dB</w:t>
            </w:r>
            <w:r>
              <w:rPr>
                <w:rFonts w:hAnsi="宋体"/>
                <w:b/>
                <w:bCs/>
                <w:color w:val="auto"/>
                <w:u w:val="none" w:color="auto"/>
              </w:rPr>
              <w:t>（</w:t>
            </w:r>
            <w:r>
              <w:rPr>
                <w:b/>
                <w:bCs/>
                <w:color w:val="auto"/>
                <w:u w:val="none" w:color="auto"/>
              </w:rPr>
              <w:t>A</w:t>
            </w:r>
            <w:r>
              <w:rPr>
                <w:rFonts w:hAnsi="宋体"/>
                <w:b/>
                <w:bCs/>
                <w:color w:val="auto"/>
                <w:u w:val="none" w:color="auto"/>
              </w:rPr>
              <w:t>）</w:t>
            </w:r>
          </w:p>
        </w:tc>
      </w:tr>
      <w:tr w14:paraId="1D224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vMerge w:val="continue"/>
            <w:noWrap w:val="0"/>
            <w:vAlign w:val="center"/>
          </w:tcPr>
          <w:p w14:paraId="5128E6E4">
            <w:pPr>
              <w:jc w:val="center"/>
              <w:rPr>
                <w:color w:val="auto"/>
                <w:u w:val="none" w:color="auto"/>
              </w:rPr>
            </w:pPr>
          </w:p>
        </w:tc>
        <w:tc>
          <w:tcPr>
            <w:tcW w:w="2235" w:type="dxa"/>
            <w:vMerge w:val="continue"/>
            <w:noWrap w:val="0"/>
            <w:vAlign w:val="center"/>
          </w:tcPr>
          <w:p w14:paraId="7B266EB1">
            <w:pPr>
              <w:jc w:val="center"/>
              <w:rPr>
                <w:color w:val="auto"/>
                <w:u w:val="none" w:color="auto"/>
              </w:rPr>
            </w:pPr>
          </w:p>
        </w:tc>
        <w:tc>
          <w:tcPr>
            <w:tcW w:w="2264" w:type="dxa"/>
            <w:noWrap w:val="0"/>
            <w:vAlign w:val="center"/>
          </w:tcPr>
          <w:p w14:paraId="6C944F3F">
            <w:pPr>
              <w:jc w:val="center"/>
              <w:rPr>
                <w:rFonts w:hint="eastAsia" w:eastAsia="宋体"/>
                <w:b/>
                <w:bCs/>
                <w:color w:val="auto"/>
                <w:u w:val="none" w:color="auto"/>
                <w:lang w:val="en-US" w:eastAsia="zh-CN"/>
              </w:rPr>
            </w:pPr>
            <w:r>
              <w:rPr>
                <w:rFonts w:hint="eastAsia"/>
                <w:b/>
                <w:bCs/>
                <w:color w:val="auto"/>
                <w:u w:val="none" w:color="auto"/>
                <w:lang w:val="en-US" w:eastAsia="zh-CN"/>
              </w:rPr>
              <w:t>昼间</w:t>
            </w:r>
          </w:p>
        </w:tc>
        <w:tc>
          <w:tcPr>
            <w:tcW w:w="2265" w:type="dxa"/>
            <w:noWrap w:val="0"/>
            <w:vAlign w:val="center"/>
          </w:tcPr>
          <w:p w14:paraId="799F04F8">
            <w:pPr>
              <w:jc w:val="center"/>
              <w:rPr>
                <w:rFonts w:hint="eastAsia" w:eastAsia="宋体"/>
                <w:b/>
                <w:bCs/>
                <w:color w:val="auto"/>
                <w:u w:val="none" w:color="auto"/>
                <w:lang w:val="en-US" w:eastAsia="zh-CN"/>
              </w:rPr>
            </w:pPr>
            <w:r>
              <w:rPr>
                <w:rFonts w:hint="eastAsia"/>
                <w:b/>
                <w:bCs/>
                <w:color w:val="auto"/>
                <w:u w:val="none" w:color="auto"/>
                <w:lang w:val="en-US" w:eastAsia="zh-CN"/>
              </w:rPr>
              <w:t>昼间</w:t>
            </w:r>
          </w:p>
        </w:tc>
      </w:tr>
      <w:tr w14:paraId="563B34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vMerge w:val="restart"/>
            <w:noWrap w:val="0"/>
            <w:vAlign w:val="center"/>
          </w:tcPr>
          <w:p w14:paraId="6D00BA1C">
            <w:pPr>
              <w:jc w:val="center"/>
              <w:rPr>
                <w:rFonts w:hint="default" w:eastAsia="宋体"/>
                <w:color w:val="auto"/>
                <w:u w:val="none" w:color="auto"/>
                <w:lang w:val="en-US" w:eastAsia="zh-CN"/>
              </w:rPr>
            </w:pPr>
            <w:r>
              <w:rPr>
                <w:rFonts w:hint="eastAsia"/>
                <w:color w:val="auto"/>
                <w:u w:val="none" w:color="auto"/>
                <w:lang w:val="en-US" w:eastAsia="zh-CN"/>
              </w:rPr>
              <w:t>2024.6.15</w:t>
            </w:r>
          </w:p>
        </w:tc>
        <w:tc>
          <w:tcPr>
            <w:tcW w:w="2235" w:type="dxa"/>
            <w:noWrap w:val="0"/>
            <w:vAlign w:val="center"/>
          </w:tcPr>
          <w:p w14:paraId="70AFE915">
            <w:pPr>
              <w:jc w:val="center"/>
              <w:rPr>
                <w:rFonts w:hint="default" w:eastAsia="宋体"/>
                <w:color w:val="auto"/>
                <w:u w:val="none" w:color="auto"/>
                <w:lang w:val="en-US" w:eastAsia="zh-CN"/>
              </w:rPr>
            </w:pPr>
            <w:r>
              <w:rPr>
                <w:rFonts w:hint="eastAsia"/>
                <w:color w:val="auto"/>
                <w:u w:val="none" w:color="auto"/>
                <w:lang w:val="en-US" w:eastAsia="zh-CN"/>
              </w:rPr>
              <w:t>厂界东外1m</w:t>
            </w:r>
          </w:p>
        </w:tc>
        <w:tc>
          <w:tcPr>
            <w:tcW w:w="2264" w:type="dxa"/>
            <w:noWrap w:val="0"/>
            <w:vAlign w:val="center"/>
          </w:tcPr>
          <w:p w14:paraId="7455FB84">
            <w:pPr>
              <w:jc w:val="center"/>
              <w:rPr>
                <w:rFonts w:hint="default" w:eastAsia="宋体"/>
                <w:color w:val="auto"/>
                <w:u w:val="none" w:color="auto"/>
                <w:lang w:val="en-US" w:eastAsia="zh-CN"/>
              </w:rPr>
            </w:pPr>
            <w:r>
              <w:rPr>
                <w:rFonts w:hint="eastAsia"/>
                <w:color w:val="auto"/>
                <w:u w:val="none" w:color="auto"/>
                <w:lang w:val="en-US" w:eastAsia="zh-CN"/>
              </w:rPr>
              <w:t>55</w:t>
            </w:r>
          </w:p>
        </w:tc>
        <w:tc>
          <w:tcPr>
            <w:tcW w:w="2265" w:type="dxa"/>
            <w:noWrap w:val="0"/>
            <w:vAlign w:val="center"/>
          </w:tcPr>
          <w:p w14:paraId="4DA19BBC">
            <w:pPr>
              <w:jc w:val="center"/>
              <w:rPr>
                <w:rFonts w:hint="default" w:eastAsia="宋体"/>
                <w:color w:val="auto"/>
                <w:u w:val="none" w:color="auto"/>
                <w:lang w:val="en-US" w:eastAsia="zh-CN"/>
              </w:rPr>
            </w:pPr>
            <w:r>
              <w:rPr>
                <w:rFonts w:hint="eastAsia"/>
                <w:color w:val="auto"/>
                <w:u w:val="none" w:color="auto"/>
                <w:lang w:val="en-US" w:eastAsia="zh-CN"/>
              </w:rPr>
              <w:t>65</w:t>
            </w:r>
          </w:p>
        </w:tc>
      </w:tr>
      <w:tr w14:paraId="4DD1B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vMerge w:val="continue"/>
            <w:noWrap w:val="0"/>
            <w:vAlign w:val="center"/>
          </w:tcPr>
          <w:p w14:paraId="34BC8458">
            <w:pPr>
              <w:jc w:val="center"/>
              <w:rPr>
                <w:color w:val="auto"/>
                <w:u w:val="none" w:color="auto"/>
              </w:rPr>
            </w:pPr>
          </w:p>
        </w:tc>
        <w:tc>
          <w:tcPr>
            <w:tcW w:w="2235" w:type="dxa"/>
            <w:noWrap w:val="0"/>
            <w:vAlign w:val="center"/>
          </w:tcPr>
          <w:p w14:paraId="7A75ED88">
            <w:pPr>
              <w:jc w:val="center"/>
              <w:rPr>
                <w:rFonts w:hint="default" w:eastAsia="宋体"/>
                <w:color w:val="auto"/>
                <w:u w:val="none" w:color="auto"/>
                <w:lang w:val="en-US" w:eastAsia="zh-CN"/>
              </w:rPr>
            </w:pPr>
            <w:r>
              <w:rPr>
                <w:rFonts w:hint="eastAsia"/>
                <w:color w:val="auto"/>
                <w:u w:val="none" w:color="auto"/>
                <w:lang w:val="en-US" w:eastAsia="zh-CN"/>
              </w:rPr>
              <w:t>厂界西外1m</w:t>
            </w:r>
          </w:p>
        </w:tc>
        <w:tc>
          <w:tcPr>
            <w:tcW w:w="2264" w:type="dxa"/>
            <w:noWrap w:val="0"/>
            <w:vAlign w:val="center"/>
          </w:tcPr>
          <w:p w14:paraId="44A5D115">
            <w:pPr>
              <w:jc w:val="center"/>
              <w:rPr>
                <w:rFonts w:hint="default" w:eastAsia="宋体"/>
                <w:color w:val="auto"/>
                <w:u w:val="none" w:color="auto"/>
                <w:lang w:val="en-US" w:eastAsia="zh-CN"/>
              </w:rPr>
            </w:pPr>
            <w:r>
              <w:rPr>
                <w:rFonts w:hint="eastAsia"/>
                <w:color w:val="auto"/>
                <w:u w:val="none" w:color="auto"/>
                <w:lang w:val="en-US" w:eastAsia="zh-CN"/>
              </w:rPr>
              <w:t>56</w:t>
            </w:r>
          </w:p>
        </w:tc>
        <w:tc>
          <w:tcPr>
            <w:tcW w:w="2265" w:type="dxa"/>
            <w:noWrap w:val="0"/>
            <w:vAlign w:val="center"/>
          </w:tcPr>
          <w:p w14:paraId="250C6966">
            <w:pPr>
              <w:jc w:val="center"/>
              <w:rPr>
                <w:rFonts w:hint="default" w:eastAsia="宋体"/>
                <w:color w:val="auto"/>
                <w:u w:val="none" w:color="auto"/>
                <w:lang w:val="en-US" w:eastAsia="zh-CN"/>
              </w:rPr>
            </w:pPr>
            <w:r>
              <w:rPr>
                <w:rFonts w:hint="eastAsia"/>
                <w:color w:val="auto"/>
                <w:u w:val="none" w:color="auto"/>
                <w:lang w:val="en-US" w:eastAsia="zh-CN"/>
              </w:rPr>
              <w:t>65</w:t>
            </w:r>
          </w:p>
        </w:tc>
      </w:tr>
      <w:tr w14:paraId="560418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vMerge w:val="continue"/>
            <w:noWrap w:val="0"/>
            <w:vAlign w:val="center"/>
          </w:tcPr>
          <w:p w14:paraId="30F3824D">
            <w:pPr>
              <w:jc w:val="center"/>
              <w:rPr>
                <w:color w:val="auto"/>
                <w:u w:val="none" w:color="auto"/>
              </w:rPr>
            </w:pPr>
          </w:p>
        </w:tc>
        <w:tc>
          <w:tcPr>
            <w:tcW w:w="2235" w:type="dxa"/>
            <w:noWrap w:val="0"/>
            <w:vAlign w:val="center"/>
          </w:tcPr>
          <w:p w14:paraId="326638B0">
            <w:pPr>
              <w:jc w:val="center"/>
              <w:rPr>
                <w:rFonts w:hint="default" w:eastAsia="宋体"/>
                <w:color w:val="auto"/>
                <w:u w:val="none" w:color="auto"/>
                <w:lang w:val="en-US" w:eastAsia="zh-CN"/>
              </w:rPr>
            </w:pPr>
            <w:r>
              <w:rPr>
                <w:rFonts w:hint="eastAsia"/>
                <w:color w:val="auto"/>
                <w:u w:val="none" w:color="auto"/>
                <w:lang w:val="en-US" w:eastAsia="zh-CN"/>
              </w:rPr>
              <w:t>厂界南外1m</w:t>
            </w:r>
          </w:p>
        </w:tc>
        <w:tc>
          <w:tcPr>
            <w:tcW w:w="2264" w:type="dxa"/>
            <w:noWrap w:val="0"/>
            <w:vAlign w:val="center"/>
          </w:tcPr>
          <w:p w14:paraId="16C92212">
            <w:pPr>
              <w:jc w:val="center"/>
              <w:rPr>
                <w:rFonts w:hint="default" w:eastAsia="宋体"/>
                <w:color w:val="auto"/>
                <w:u w:val="none" w:color="auto"/>
                <w:lang w:val="en-US" w:eastAsia="zh-CN"/>
              </w:rPr>
            </w:pPr>
            <w:r>
              <w:rPr>
                <w:rFonts w:hint="eastAsia"/>
                <w:color w:val="auto"/>
                <w:u w:val="none" w:color="auto"/>
                <w:lang w:val="en-US" w:eastAsia="zh-CN"/>
              </w:rPr>
              <w:t>58</w:t>
            </w:r>
          </w:p>
        </w:tc>
        <w:tc>
          <w:tcPr>
            <w:tcW w:w="2265" w:type="dxa"/>
            <w:noWrap w:val="0"/>
            <w:vAlign w:val="center"/>
          </w:tcPr>
          <w:p w14:paraId="2EAEF23E">
            <w:pPr>
              <w:jc w:val="center"/>
              <w:rPr>
                <w:rFonts w:hint="default" w:eastAsia="宋体"/>
                <w:color w:val="auto"/>
                <w:u w:val="none" w:color="auto"/>
                <w:lang w:val="en-US" w:eastAsia="zh-CN"/>
              </w:rPr>
            </w:pPr>
            <w:r>
              <w:rPr>
                <w:rFonts w:hint="eastAsia"/>
                <w:color w:val="auto"/>
                <w:u w:val="none" w:color="auto"/>
                <w:lang w:val="en-US" w:eastAsia="zh-CN"/>
              </w:rPr>
              <w:t>65</w:t>
            </w:r>
          </w:p>
        </w:tc>
      </w:tr>
      <w:tr w14:paraId="1CF5CE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40" w:type="dxa"/>
            <w:vMerge w:val="continue"/>
            <w:noWrap w:val="0"/>
            <w:vAlign w:val="center"/>
          </w:tcPr>
          <w:p w14:paraId="70B36C45">
            <w:pPr>
              <w:jc w:val="center"/>
              <w:rPr>
                <w:rFonts w:hint="eastAsia"/>
                <w:color w:val="auto"/>
                <w:u w:val="none" w:color="auto"/>
              </w:rPr>
            </w:pPr>
          </w:p>
        </w:tc>
        <w:tc>
          <w:tcPr>
            <w:tcW w:w="2235" w:type="dxa"/>
            <w:noWrap w:val="0"/>
            <w:vAlign w:val="center"/>
          </w:tcPr>
          <w:p w14:paraId="18AB1564">
            <w:pPr>
              <w:jc w:val="center"/>
              <w:rPr>
                <w:rFonts w:hint="default" w:eastAsia="宋体"/>
                <w:color w:val="auto"/>
                <w:szCs w:val="21"/>
                <w:u w:val="none" w:color="auto"/>
                <w:lang w:val="en-US" w:eastAsia="zh-CN"/>
              </w:rPr>
            </w:pPr>
            <w:r>
              <w:rPr>
                <w:rFonts w:hint="eastAsia"/>
                <w:color w:val="auto"/>
                <w:szCs w:val="21"/>
                <w:u w:val="none" w:color="auto"/>
                <w:lang w:val="en-US" w:eastAsia="zh-CN"/>
              </w:rPr>
              <w:t>厂界北外1m</w:t>
            </w:r>
          </w:p>
        </w:tc>
        <w:tc>
          <w:tcPr>
            <w:tcW w:w="2264" w:type="dxa"/>
            <w:noWrap w:val="0"/>
            <w:vAlign w:val="center"/>
          </w:tcPr>
          <w:p w14:paraId="6DEE38CE">
            <w:pPr>
              <w:jc w:val="center"/>
              <w:rPr>
                <w:rFonts w:hint="default" w:eastAsia="宋体"/>
                <w:color w:val="auto"/>
                <w:u w:val="none" w:color="auto"/>
                <w:lang w:val="en-US" w:eastAsia="zh-CN"/>
              </w:rPr>
            </w:pPr>
            <w:r>
              <w:rPr>
                <w:rFonts w:hint="eastAsia"/>
                <w:color w:val="auto"/>
                <w:u w:val="none" w:color="auto"/>
                <w:lang w:val="en-US" w:eastAsia="zh-CN"/>
              </w:rPr>
              <w:t>54</w:t>
            </w:r>
          </w:p>
        </w:tc>
        <w:tc>
          <w:tcPr>
            <w:tcW w:w="2265" w:type="dxa"/>
            <w:noWrap w:val="0"/>
            <w:vAlign w:val="center"/>
          </w:tcPr>
          <w:p w14:paraId="2DAE1E11">
            <w:pPr>
              <w:jc w:val="center"/>
              <w:rPr>
                <w:rFonts w:hint="default" w:eastAsia="宋体"/>
                <w:color w:val="auto"/>
                <w:u w:val="none" w:color="auto"/>
                <w:lang w:val="en-US" w:eastAsia="zh-CN"/>
              </w:rPr>
            </w:pPr>
            <w:r>
              <w:rPr>
                <w:rFonts w:hint="eastAsia"/>
                <w:color w:val="auto"/>
                <w:u w:val="none" w:color="auto"/>
                <w:lang w:val="en-US" w:eastAsia="zh-CN"/>
              </w:rPr>
              <w:t>65</w:t>
            </w:r>
          </w:p>
        </w:tc>
      </w:tr>
    </w:tbl>
    <w:p w14:paraId="494EBE45">
      <w:pPr>
        <w:pStyle w:val="20"/>
        <w:bidi w:val="0"/>
        <w:rPr>
          <w:rFonts w:hint="eastAsia"/>
          <w:color w:val="auto"/>
          <w:u w:val="none" w:color="auto"/>
          <w:lang w:val="en-US" w:eastAsia="zh-CN"/>
        </w:rPr>
      </w:pPr>
      <w:r>
        <w:rPr>
          <w:rFonts w:hint="eastAsia"/>
          <w:color w:val="auto"/>
          <w:u w:val="none" w:color="auto"/>
          <w:lang w:val="en-US" w:eastAsia="zh-CN"/>
        </w:rPr>
        <w:t>由上表可知，项目厂界噪声满足《工业企业厂界环境噪声排放标准》（GB12348-2008）3类标准。</w:t>
      </w:r>
    </w:p>
    <w:p w14:paraId="19F2FDE5">
      <w:pPr>
        <w:pStyle w:val="4"/>
        <w:bidi w:val="0"/>
        <w:rPr>
          <w:rFonts w:hint="default"/>
          <w:color w:val="auto"/>
          <w:u w:val="none" w:color="auto"/>
          <w:lang w:val="en-US" w:eastAsia="zh-CN"/>
        </w:rPr>
      </w:pPr>
      <w:bookmarkStart w:id="589" w:name="_Toc16200"/>
      <w:r>
        <w:rPr>
          <w:rFonts w:hint="eastAsia"/>
          <w:color w:val="auto"/>
          <w:u w:val="none" w:color="auto"/>
          <w:lang w:val="en-US" w:eastAsia="zh-CN"/>
        </w:rPr>
        <w:t>3.3.4固体废物</w:t>
      </w:r>
      <w:bookmarkEnd w:id="589"/>
    </w:p>
    <w:p w14:paraId="251176DA">
      <w:pPr>
        <w:pStyle w:val="20"/>
        <w:bidi w:val="0"/>
        <w:rPr>
          <w:rFonts w:hint="eastAsia"/>
          <w:color w:val="auto"/>
          <w:u w:val="none" w:color="auto"/>
          <w:lang w:val="en-US" w:eastAsia="zh-CN"/>
        </w:rPr>
      </w:pPr>
      <w:r>
        <w:rPr>
          <w:rFonts w:hint="eastAsia"/>
          <w:color w:val="auto"/>
          <w:u w:val="none" w:color="auto"/>
          <w:lang w:val="en-US" w:eastAsia="zh-CN"/>
        </w:rPr>
        <w:t>根据项目特点，固体废物主要为生活垃圾、不合格产品、边角料、一般性废包装材料、循环沉淀池沉渣、收集的粉尘等一般固废和废矿物油、废活性炭、白乳胶桶、废UV灯管等危险废物，具体治理措施见下表。</w:t>
      </w:r>
    </w:p>
    <w:p w14:paraId="306EEC43">
      <w:pPr>
        <w:pStyle w:val="22"/>
        <w:bidi w:val="0"/>
        <w:rPr>
          <w:rFonts w:hint="eastAsia"/>
          <w:color w:val="auto"/>
          <w:u w:val="none" w:color="auto"/>
          <w:lang w:val="en-US" w:eastAsia="zh-CN"/>
        </w:rPr>
      </w:pPr>
      <w:r>
        <w:rPr>
          <w:rFonts w:hint="eastAsia"/>
          <w:color w:val="auto"/>
          <w:u w:val="none" w:color="auto"/>
          <w:lang w:val="en-US" w:eastAsia="zh-CN"/>
        </w:rPr>
        <w:t>表3.3-6 迁建前项目固体废物利用和处置情况</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2014"/>
        <w:gridCol w:w="1920"/>
        <w:gridCol w:w="2310"/>
        <w:gridCol w:w="1540"/>
      </w:tblGrid>
      <w:tr w14:paraId="72F76E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251EB426">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序号</w:t>
            </w:r>
          </w:p>
        </w:tc>
        <w:tc>
          <w:tcPr>
            <w:tcW w:w="2014" w:type="dxa"/>
            <w:noWrap w:val="0"/>
            <w:vAlign w:val="center"/>
          </w:tcPr>
          <w:p w14:paraId="031616FD">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类别</w:t>
            </w:r>
          </w:p>
        </w:tc>
        <w:tc>
          <w:tcPr>
            <w:tcW w:w="1920" w:type="dxa"/>
            <w:noWrap w:val="0"/>
            <w:vAlign w:val="center"/>
          </w:tcPr>
          <w:p w14:paraId="5CCB28D7">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产生量</w:t>
            </w:r>
          </w:p>
        </w:tc>
        <w:tc>
          <w:tcPr>
            <w:tcW w:w="2310" w:type="dxa"/>
            <w:noWrap w:val="0"/>
            <w:vAlign w:val="center"/>
          </w:tcPr>
          <w:p w14:paraId="6237D52E">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废物属性</w:t>
            </w:r>
          </w:p>
        </w:tc>
        <w:tc>
          <w:tcPr>
            <w:tcW w:w="1540" w:type="dxa"/>
            <w:noWrap w:val="0"/>
            <w:vAlign w:val="center"/>
          </w:tcPr>
          <w:p w14:paraId="3E7368A7">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处理方式</w:t>
            </w:r>
          </w:p>
        </w:tc>
      </w:tr>
      <w:tr w14:paraId="56FAC4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645CDFB8">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2014" w:type="dxa"/>
            <w:noWrap w:val="0"/>
            <w:vAlign w:val="center"/>
          </w:tcPr>
          <w:p w14:paraId="7802595A">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生活垃圾</w:t>
            </w:r>
          </w:p>
        </w:tc>
        <w:tc>
          <w:tcPr>
            <w:tcW w:w="1920" w:type="dxa"/>
            <w:noWrap w:val="0"/>
            <w:vAlign w:val="center"/>
          </w:tcPr>
          <w:p w14:paraId="567B0548">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7.5</w:t>
            </w:r>
            <w:r>
              <w:rPr>
                <w:rFonts w:hint="default" w:ascii="Times New Roman" w:hAnsi="Times New Roman" w:cs="Times New Roman"/>
                <w:color w:val="auto"/>
                <w:u w:val="none"/>
              </w:rPr>
              <w:t>t/a</w:t>
            </w:r>
          </w:p>
        </w:tc>
        <w:tc>
          <w:tcPr>
            <w:tcW w:w="2310" w:type="dxa"/>
            <w:noWrap w:val="0"/>
            <w:vAlign w:val="center"/>
          </w:tcPr>
          <w:p w14:paraId="11256D1E">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一般固废</w:t>
            </w:r>
          </w:p>
        </w:tc>
        <w:tc>
          <w:tcPr>
            <w:tcW w:w="1540" w:type="dxa"/>
            <w:vMerge w:val="restart"/>
            <w:noWrap w:val="0"/>
            <w:vAlign w:val="center"/>
          </w:tcPr>
          <w:p w14:paraId="686016B8">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交由环卫部门处理</w:t>
            </w:r>
          </w:p>
        </w:tc>
      </w:tr>
      <w:tr w14:paraId="4B1BC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0043B0D6">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2</w:t>
            </w:r>
          </w:p>
        </w:tc>
        <w:tc>
          <w:tcPr>
            <w:tcW w:w="2014" w:type="dxa"/>
            <w:noWrap w:val="0"/>
            <w:vAlign w:val="center"/>
          </w:tcPr>
          <w:p w14:paraId="54B19939">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循环沉淀池</w:t>
            </w:r>
            <w:r>
              <w:rPr>
                <w:rFonts w:hint="default" w:ascii="Times New Roman" w:hAnsi="Times New Roman" w:cs="Times New Roman"/>
                <w:color w:val="auto"/>
                <w:u w:val="none"/>
                <w:lang w:eastAsia="zh-CN"/>
              </w:rPr>
              <w:t>沉渣</w:t>
            </w:r>
          </w:p>
        </w:tc>
        <w:tc>
          <w:tcPr>
            <w:tcW w:w="1920" w:type="dxa"/>
            <w:noWrap w:val="0"/>
            <w:vAlign w:val="center"/>
          </w:tcPr>
          <w:p w14:paraId="1387D242">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0.05t/a</w:t>
            </w:r>
          </w:p>
        </w:tc>
        <w:tc>
          <w:tcPr>
            <w:tcW w:w="2310" w:type="dxa"/>
            <w:noWrap w:val="0"/>
            <w:vAlign w:val="center"/>
          </w:tcPr>
          <w:p w14:paraId="22C57D76">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一般固废</w:t>
            </w:r>
          </w:p>
        </w:tc>
        <w:tc>
          <w:tcPr>
            <w:tcW w:w="1540" w:type="dxa"/>
            <w:vMerge w:val="continue"/>
            <w:noWrap w:val="0"/>
            <w:vAlign w:val="center"/>
          </w:tcPr>
          <w:p w14:paraId="46E8A2AC">
            <w:pPr>
              <w:pStyle w:val="24"/>
              <w:rPr>
                <w:rFonts w:hint="default" w:ascii="Times New Roman" w:hAnsi="Times New Roman" w:cs="Times New Roman"/>
                <w:color w:val="auto"/>
                <w:u w:val="none"/>
                <w:lang w:val="en-US" w:eastAsia="zh-CN"/>
              </w:rPr>
            </w:pPr>
          </w:p>
        </w:tc>
      </w:tr>
      <w:tr w14:paraId="36611B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2323F145">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3</w:t>
            </w:r>
          </w:p>
        </w:tc>
        <w:tc>
          <w:tcPr>
            <w:tcW w:w="2014" w:type="dxa"/>
            <w:noWrap w:val="0"/>
            <w:vAlign w:val="center"/>
          </w:tcPr>
          <w:p w14:paraId="3754B07E">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不合格产品、边角料</w:t>
            </w:r>
          </w:p>
        </w:tc>
        <w:tc>
          <w:tcPr>
            <w:tcW w:w="1920" w:type="dxa"/>
            <w:noWrap w:val="0"/>
            <w:vAlign w:val="center"/>
          </w:tcPr>
          <w:p w14:paraId="771404C9">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950t</w:t>
            </w:r>
            <w:r>
              <w:rPr>
                <w:rFonts w:hint="default" w:ascii="Times New Roman" w:hAnsi="Times New Roman" w:cs="Times New Roman"/>
                <w:color w:val="auto"/>
                <w:u w:val="none"/>
              </w:rPr>
              <w:t>/a</w:t>
            </w:r>
          </w:p>
        </w:tc>
        <w:tc>
          <w:tcPr>
            <w:tcW w:w="2310" w:type="dxa"/>
            <w:noWrap w:val="0"/>
            <w:vAlign w:val="center"/>
          </w:tcPr>
          <w:p w14:paraId="3BFBFE7B">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一般固废</w:t>
            </w:r>
          </w:p>
        </w:tc>
        <w:tc>
          <w:tcPr>
            <w:tcW w:w="1540" w:type="dxa"/>
            <w:vMerge w:val="restart"/>
            <w:noWrap w:val="0"/>
            <w:vAlign w:val="center"/>
          </w:tcPr>
          <w:p w14:paraId="7D84A4AE">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收集后回用于生产</w:t>
            </w:r>
          </w:p>
        </w:tc>
      </w:tr>
      <w:tr w14:paraId="34E0B0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00CD30DE">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4</w:t>
            </w:r>
          </w:p>
        </w:tc>
        <w:tc>
          <w:tcPr>
            <w:tcW w:w="2014" w:type="dxa"/>
            <w:noWrap w:val="0"/>
            <w:vAlign w:val="center"/>
          </w:tcPr>
          <w:p w14:paraId="53563768">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收集到的粉尘</w:t>
            </w:r>
          </w:p>
        </w:tc>
        <w:tc>
          <w:tcPr>
            <w:tcW w:w="1920" w:type="dxa"/>
            <w:noWrap w:val="0"/>
            <w:vAlign w:val="center"/>
          </w:tcPr>
          <w:p w14:paraId="6DCA3B79">
            <w:pPr>
              <w:pStyle w:val="24"/>
              <w:rPr>
                <w:rFonts w:hint="default" w:ascii="Times New Roman" w:hAnsi="Times New Roman" w:cs="Times New Roman"/>
                <w:color w:val="auto"/>
                <w:u w:val="none"/>
                <w:lang w:val="en-US" w:eastAsia="zh-CN"/>
              </w:rPr>
            </w:pPr>
            <w:r>
              <w:rPr>
                <w:rFonts w:hint="eastAsia" w:cs="Times New Roman"/>
                <w:color w:val="auto"/>
                <w:u w:val="none"/>
                <w:lang w:val="en-US" w:eastAsia="zh-CN"/>
              </w:rPr>
              <w:t>10.834</w:t>
            </w:r>
            <w:r>
              <w:rPr>
                <w:rFonts w:hint="default" w:ascii="Times New Roman" w:hAnsi="Times New Roman" w:cs="Times New Roman"/>
                <w:color w:val="auto"/>
                <w:u w:val="none"/>
                <w:lang w:val="en-US" w:eastAsia="zh-CN"/>
              </w:rPr>
              <w:t>t</w:t>
            </w:r>
            <w:r>
              <w:rPr>
                <w:rFonts w:hint="default" w:ascii="Times New Roman" w:hAnsi="Times New Roman" w:cs="Times New Roman"/>
                <w:color w:val="auto"/>
                <w:u w:val="none"/>
              </w:rPr>
              <w:t>/a</w:t>
            </w:r>
          </w:p>
        </w:tc>
        <w:tc>
          <w:tcPr>
            <w:tcW w:w="2310" w:type="dxa"/>
            <w:noWrap w:val="0"/>
            <w:vAlign w:val="center"/>
          </w:tcPr>
          <w:p w14:paraId="40732FD3">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一般固废</w:t>
            </w:r>
          </w:p>
        </w:tc>
        <w:tc>
          <w:tcPr>
            <w:tcW w:w="1540" w:type="dxa"/>
            <w:vMerge w:val="continue"/>
            <w:noWrap w:val="0"/>
            <w:vAlign w:val="center"/>
          </w:tcPr>
          <w:p w14:paraId="6BF2EC8C">
            <w:pPr>
              <w:pStyle w:val="24"/>
              <w:rPr>
                <w:rFonts w:hint="default" w:ascii="Times New Roman" w:hAnsi="Times New Roman" w:cs="Times New Roman"/>
                <w:color w:val="auto"/>
                <w:u w:val="none"/>
                <w:lang w:val="en-US" w:eastAsia="zh-CN"/>
              </w:rPr>
            </w:pPr>
          </w:p>
        </w:tc>
      </w:tr>
      <w:tr w14:paraId="4D926F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749933B4">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2014" w:type="dxa"/>
            <w:noWrap w:val="0"/>
            <w:vAlign w:val="center"/>
          </w:tcPr>
          <w:p w14:paraId="4E72AF03">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一般性废包装材料</w:t>
            </w:r>
          </w:p>
        </w:tc>
        <w:tc>
          <w:tcPr>
            <w:tcW w:w="1920" w:type="dxa"/>
            <w:noWrap w:val="0"/>
            <w:vAlign w:val="center"/>
          </w:tcPr>
          <w:p w14:paraId="7492D31E">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w:t>
            </w:r>
            <w:r>
              <w:rPr>
                <w:rFonts w:hint="default" w:ascii="Times New Roman" w:hAnsi="Times New Roman" w:cs="Times New Roman"/>
                <w:color w:val="auto"/>
                <w:u w:val="none"/>
              </w:rPr>
              <w:t>t/a</w:t>
            </w:r>
          </w:p>
        </w:tc>
        <w:tc>
          <w:tcPr>
            <w:tcW w:w="2310" w:type="dxa"/>
            <w:noWrap w:val="0"/>
            <w:vAlign w:val="center"/>
          </w:tcPr>
          <w:p w14:paraId="75916219">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一般固废</w:t>
            </w:r>
          </w:p>
        </w:tc>
        <w:tc>
          <w:tcPr>
            <w:tcW w:w="1540" w:type="dxa"/>
            <w:noWrap w:val="0"/>
            <w:vAlign w:val="center"/>
          </w:tcPr>
          <w:p w14:paraId="24377F09">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交资源回收单位回收利用</w:t>
            </w:r>
          </w:p>
        </w:tc>
      </w:tr>
      <w:tr w14:paraId="0C92E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1CE490C9">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w:t>
            </w:r>
          </w:p>
        </w:tc>
        <w:tc>
          <w:tcPr>
            <w:tcW w:w="2014" w:type="dxa"/>
            <w:noWrap w:val="0"/>
            <w:vAlign w:val="center"/>
          </w:tcPr>
          <w:p w14:paraId="186A1380">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白乳胶桶</w:t>
            </w:r>
          </w:p>
        </w:tc>
        <w:tc>
          <w:tcPr>
            <w:tcW w:w="1920" w:type="dxa"/>
            <w:noWrap w:val="0"/>
            <w:vAlign w:val="center"/>
          </w:tcPr>
          <w:p w14:paraId="640DFCB3">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0.2</w:t>
            </w:r>
            <w:r>
              <w:rPr>
                <w:rFonts w:hint="default" w:ascii="Times New Roman" w:hAnsi="Times New Roman" w:cs="Times New Roman"/>
                <w:color w:val="auto"/>
                <w:u w:val="none"/>
              </w:rPr>
              <w:t>t/a</w:t>
            </w:r>
          </w:p>
        </w:tc>
        <w:tc>
          <w:tcPr>
            <w:tcW w:w="2310" w:type="dxa"/>
            <w:noWrap w:val="0"/>
            <w:vAlign w:val="center"/>
          </w:tcPr>
          <w:p w14:paraId="64C53B7B">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危险废物，编号为HW49</w:t>
            </w:r>
            <w:r>
              <w:rPr>
                <w:rFonts w:hint="eastAsia" w:cs="Times New Roman"/>
                <w:color w:val="auto"/>
                <w:u w:val="none"/>
                <w:lang w:val="en-US" w:eastAsia="zh-CN"/>
              </w:rPr>
              <w:t>（</w:t>
            </w:r>
            <w:r>
              <w:rPr>
                <w:rFonts w:hint="default" w:ascii="Times New Roman" w:hAnsi="Times New Roman" w:cs="Times New Roman"/>
                <w:color w:val="auto"/>
                <w:u w:val="none"/>
                <w:lang w:val="en-US" w:eastAsia="zh-CN"/>
              </w:rPr>
              <w:t>900-041-49</w:t>
            </w:r>
            <w:r>
              <w:rPr>
                <w:rFonts w:hint="eastAsia" w:cs="Times New Roman"/>
                <w:color w:val="auto"/>
                <w:u w:val="none"/>
                <w:lang w:val="en-US" w:eastAsia="zh-CN"/>
              </w:rPr>
              <w:t>）</w:t>
            </w:r>
          </w:p>
        </w:tc>
        <w:tc>
          <w:tcPr>
            <w:tcW w:w="1540" w:type="dxa"/>
            <w:noWrap w:val="0"/>
            <w:vAlign w:val="center"/>
          </w:tcPr>
          <w:p w14:paraId="769092AD">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交由厂家回收处理</w:t>
            </w:r>
          </w:p>
        </w:tc>
      </w:tr>
      <w:tr w14:paraId="3E2A10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400BBCF5">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w:t>
            </w:r>
          </w:p>
        </w:tc>
        <w:tc>
          <w:tcPr>
            <w:tcW w:w="2014" w:type="dxa"/>
            <w:noWrap w:val="0"/>
            <w:vAlign w:val="center"/>
          </w:tcPr>
          <w:p w14:paraId="0A3FE9C4">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废活性炭</w:t>
            </w:r>
          </w:p>
        </w:tc>
        <w:tc>
          <w:tcPr>
            <w:tcW w:w="1920" w:type="dxa"/>
            <w:noWrap w:val="0"/>
            <w:vAlign w:val="center"/>
          </w:tcPr>
          <w:p w14:paraId="56528818">
            <w:pPr>
              <w:pStyle w:val="24"/>
              <w:rPr>
                <w:rFonts w:hint="default" w:ascii="Times New Roman" w:hAnsi="Times New Roman" w:cs="Times New Roman"/>
                <w:color w:val="auto"/>
                <w:u w:val="none"/>
                <w:lang w:val="en-US" w:eastAsia="zh-CN"/>
              </w:rPr>
            </w:pPr>
            <w:r>
              <w:rPr>
                <w:rFonts w:hint="eastAsia" w:cs="Times New Roman"/>
                <w:color w:val="auto"/>
                <w:u w:val="none"/>
                <w:lang w:val="en-US" w:eastAsia="zh-CN"/>
              </w:rPr>
              <w:t>18.418</w:t>
            </w:r>
            <w:r>
              <w:rPr>
                <w:rFonts w:hint="default" w:ascii="Times New Roman" w:hAnsi="Times New Roman" w:cs="Times New Roman"/>
                <w:color w:val="auto"/>
                <w:u w:val="none"/>
              </w:rPr>
              <w:t>t/a</w:t>
            </w:r>
          </w:p>
        </w:tc>
        <w:tc>
          <w:tcPr>
            <w:tcW w:w="2310" w:type="dxa"/>
            <w:noWrap w:val="0"/>
            <w:vAlign w:val="center"/>
          </w:tcPr>
          <w:p w14:paraId="34C0DCB7">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危险废物，编号为HW49</w:t>
            </w:r>
            <w:r>
              <w:rPr>
                <w:rFonts w:hint="eastAsia" w:cs="Times New Roman"/>
                <w:color w:val="auto"/>
                <w:u w:val="none"/>
                <w:lang w:val="en-US" w:eastAsia="zh-CN"/>
              </w:rPr>
              <w:t>（</w:t>
            </w:r>
            <w:r>
              <w:rPr>
                <w:rFonts w:hint="default" w:ascii="Times New Roman" w:hAnsi="Times New Roman" w:cs="Times New Roman"/>
                <w:color w:val="auto"/>
                <w:u w:val="none"/>
                <w:lang w:val="en-US" w:eastAsia="zh-CN"/>
              </w:rPr>
              <w:t>900-041-49</w:t>
            </w:r>
            <w:r>
              <w:rPr>
                <w:rFonts w:hint="eastAsia" w:cs="Times New Roman"/>
                <w:color w:val="auto"/>
                <w:u w:val="none"/>
                <w:lang w:val="en-US" w:eastAsia="zh-CN"/>
              </w:rPr>
              <w:t>）</w:t>
            </w:r>
          </w:p>
        </w:tc>
        <w:tc>
          <w:tcPr>
            <w:tcW w:w="1540" w:type="dxa"/>
            <w:vMerge w:val="restart"/>
            <w:noWrap w:val="0"/>
            <w:vAlign w:val="center"/>
          </w:tcPr>
          <w:p w14:paraId="19CA713D">
            <w:pPr>
              <w:pStyle w:val="24"/>
              <w:rPr>
                <w:rFonts w:hint="default" w:ascii="Times New Roman" w:hAnsi="Times New Roman" w:cs="Times New Roman"/>
                <w:color w:val="auto"/>
                <w:u w:val="none"/>
                <w:lang w:val="en-US" w:eastAsia="zh-CN"/>
              </w:rPr>
            </w:pPr>
            <w:r>
              <w:rPr>
                <w:rFonts w:hint="default"/>
                <w:lang w:val="en-US" w:eastAsia="zh-CN"/>
              </w:rPr>
              <w:t>交由</w:t>
            </w:r>
            <w:r>
              <w:rPr>
                <w:rFonts w:hint="eastAsia"/>
                <w:lang w:val="en-US" w:eastAsia="zh-CN"/>
              </w:rPr>
              <w:t>湖南瀚洋环保科技有限公司处置</w:t>
            </w:r>
          </w:p>
        </w:tc>
      </w:tr>
      <w:tr w14:paraId="7BE6A4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2FE0D0EF">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8</w:t>
            </w:r>
          </w:p>
        </w:tc>
        <w:tc>
          <w:tcPr>
            <w:tcW w:w="2014" w:type="dxa"/>
            <w:noWrap w:val="0"/>
            <w:vAlign w:val="center"/>
          </w:tcPr>
          <w:p w14:paraId="2AD4BB40">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废矿物油</w:t>
            </w:r>
          </w:p>
        </w:tc>
        <w:tc>
          <w:tcPr>
            <w:tcW w:w="1920" w:type="dxa"/>
            <w:noWrap w:val="0"/>
            <w:vAlign w:val="center"/>
          </w:tcPr>
          <w:p w14:paraId="225C5F45">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0.01</w:t>
            </w:r>
            <w:r>
              <w:rPr>
                <w:rFonts w:hint="default" w:ascii="Times New Roman" w:hAnsi="Times New Roman" w:cs="Times New Roman"/>
                <w:color w:val="auto"/>
                <w:u w:val="none"/>
              </w:rPr>
              <w:t>t/a</w:t>
            </w:r>
          </w:p>
        </w:tc>
        <w:tc>
          <w:tcPr>
            <w:tcW w:w="2310" w:type="dxa"/>
            <w:noWrap w:val="0"/>
            <w:vAlign w:val="center"/>
          </w:tcPr>
          <w:p w14:paraId="501DE64B">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危险固废，编号为HW08</w:t>
            </w:r>
            <w:r>
              <w:rPr>
                <w:rFonts w:hint="eastAsia" w:cs="Times New Roman"/>
                <w:color w:val="auto"/>
                <w:u w:val="none"/>
                <w:lang w:val="en-US" w:eastAsia="zh-CN"/>
              </w:rPr>
              <w:t>（</w:t>
            </w:r>
            <w:r>
              <w:rPr>
                <w:rFonts w:hint="default" w:ascii="Times New Roman" w:hAnsi="Times New Roman" w:cs="Times New Roman"/>
                <w:color w:val="auto"/>
                <w:u w:val="none"/>
                <w:lang w:val="en-US" w:eastAsia="zh-CN"/>
              </w:rPr>
              <w:t>900-217-08</w:t>
            </w:r>
            <w:r>
              <w:rPr>
                <w:rFonts w:hint="eastAsia" w:cs="Times New Roman"/>
                <w:color w:val="auto"/>
                <w:u w:val="none"/>
                <w:lang w:val="en-US" w:eastAsia="zh-CN"/>
              </w:rPr>
              <w:t>）</w:t>
            </w:r>
          </w:p>
        </w:tc>
        <w:tc>
          <w:tcPr>
            <w:tcW w:w="1540" w:type="dxa"/>
            <w:vMerge w:val="continue"/>
            <w:noWrap w:val="0"/>
            <w:vAlign w:val="center"/>
          </w:tcPr>
          <w:p w14:paraId="2890AB56">
            <w:pPr>
              <w:pStyle w:val="24"/>
              <w:rPr>
                <w:rFonts w:hint="default" w:ascii="Times New Roman" w:hAnsi="Times New Roman" w:cs="Times New Roman"/>
                <w:color w:val="auto"/>
                <w:u w:val="single"/>
                <w:lang w:val="en-US" w:eastAsia="zh-CN"/>
              </w:rPr>
            </w:pPr>
          </w:p>
        </w:tc>
      </w:tr>
      <w:tr w14:paraId="649BA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20" w:type="dxa"/>
            <w:noWrap w:val="0"/>
            <w:vAlign w:val="center"/>
          </w:tcPr>
          <w:p w14:paraId="6CA68136">
            <w:pPr>
              <w:pStyle w:val="24"/>
              <w:rPr>
                <w:rFonts w:hint="default" w:ascii="Times New Roman" w:hAnsi="Times New Roman" w:cs="Times New Roman"/>
                <w:color w:val="auto"/>
                <w:u w:val="none"/>
                <w:lang w:val="en-US" w:eastAsia="zh-CN"/>
              </w:rPr>
            </w:pPr>
            <w:r>
              <w:rPr>
                <w:rFonts w:hint="eastAsia" w:cs="Times New Roman"/>
                <w:color w:val="auto"/>
                <w:u w:val="none"/>
                <w:lang w:val="en-US" w:eastAsia="zh-CN"/>
              </w:rPr>
              <w:t>9</w:t>
            </w:r>
          </w:p>
        </w:tc>
        <w:tc>
          <w:tcPr>
            <w:tcW w:w="2014" w:type="dxa"/>
            <w:noWrap w:val="0"/>
            <w:vAlign w:val="center"/>
          </w:tcPr>
          <w:p w14:paraId="6DAF0B3D">
            <w:pPr>
              <w:pStyle w:val="24"/>
              <w:rPr>
                <w:rFonts w:hint="default" w:ascii="Times New Roman" w:hAnsi="Times New Roman" w:cs="Times New Roman"/>
                <w:color w:val="auto"/>
                <w:u w:val="none"/>
                <w:lang w:val="en-US" w:eastAsia="zh-CN"/>
              </w:rPr>
            </w:pPr>
            <w:r>
              <w:rPr>
                <w:rFonts w:hint="eastAsia" w:cs="Times New Roman"/>
                <w:color w:val="auto"/>
                <w:u w:val="none"/>
                <w:lang w:val="en-US" w:eastAsia="zh-CN"/>
              </w:rPr>
              <w:t>UV灯管</w:t>
            </w:r>
          </w:p>
        </w:tc>
        <w:tc>
          <w:tcPr>
            <w:tcW w:w="1920" w:type="dxa"/>
            <w:noWrap w:val="0"/>
            <w:vAlign w:val="center"/>
          </w:tcPr>
          <w:p w14:paraId="218FFC4B">
            <w:pPr>
              <w:pStyle w:val="24"/>
              <w:rPr>
                <w:rFonts w:hint="default" w:ascii="Times New Roman" w:hAnsi="Times New Roman" w:cs="Times New Roman"/>
                <w:color w:val="auto"/>
                <w:u w:val="none"/>
                <w:lang w:val="en-US" w:eastAsia="zh-CN"/>
              </w:rPr>
            </w:pPr>
            <w:r>
              <w:rPr>
                <w:rFonts w:hint="eastAsia"/>
                <w:color w:val="auto"/>
                <w:u w:val="none"/>
                <w:lang w:eastAsia="zh-CN"/>
              </w:rPr>
              <w:t>0.001t/a</w:t>
            </w:r>
          </w:p>
        </w:tc>
        <w:tc>
          <w:tcPr>
            <w:tcW w:w="2310" w:type="dxa"/>
            <w:noWrap w:val="0"/>
            <w:vAlign w:val="center"/>
          </w:tcPr>
          <w:p w14:paraId="7A1F886E">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危险</w:t>
            </w:r>
            <w:r>
              <w:rPr>
                <w:rFonts w:hint="eastAsia" w:ascii="Times New Roman" w:hAnsi="Times New Roman" w:cs="Times New Roman"/>
                <w:color w:val="auto"/>
                <w:u w:val="none"/>
                <w:lang w:val="en-US" w:eastAsia="zh-CN"/>
              </w:rPr>
              <w:t>废物</w:t>
            </w:r>
            <w:r>
              <w:rPr>
                <w:rFonts w:hint="default" w:ascii="Times New Roman" w:hAnsi="Times New Roman" w:cs="Times New Roman"/>
                <w:color w:val="auto"/>
                <w:u w:val="none"/>
                <w:lang w:val="en-US" w:eastAsia="zh-CN"/>
              </w:rPr>
              <w:t>，编号为HW29</w:t>
            </w:r>
            <w:r>
              <w:rPr>
                <w:rFonts w:hint="eastAsia" w:ascii="Times New Roman" w:hAnsi="Times New Roman" w:cs="Times New Roman"/>
                <w:color w:val="auto"/>
                <w:u w:val="none"/>
                <w:lang w:val="en-US" w:eastAsia="zh-CN"/>
              </w:rPr>
              <w:t>（</w:t>
            </w:r>
            <w:r>
              <w:rPr>
                <w:rFonts w:hint="default" w:ascii="Times New Roman" w:hAnsi="Times New Roman" w:cs="Times New Roman"/>
                <w:color w:val="auto"/>
                <w:u w:val="none"/>
                <w:lang w:val="en-US" w:eastAsia="zh-CN"/>
              </w:rPr>
              <w:t>900-023-29</w:t>
            </w:r>
            <w:r>
              <w:rPr>
                <w:rFonts w:hint="eastAsia" w:ascii="Times New Roman" w:hAnsi="Times New Roman" w:cs="Times New Roman"/>
                <w:color w:val="auto"/>
                <w:u w:val="none"/>
                <w:lang w:val="en-US" w:eastAsia="zh-CN"/>
              </w:rPr>
              <w:t>）</w:t>
            </w:r>
          </w:p>
        </w:tc>
        <w:tc>
          <w:tcPr>
            <w:tcW w:w="1540" w:type="dxa"/>
            <w:vMerge w:val="continue"/>
            <w:noWrap w:val="0"/>
            <w:vAlign w:val="center"/>
          </w:tcPr>
          <w:p w14:paraId="149BCBB2">
            <w:pPr>
              <w:pStyle w:val="24"/>
              <w:rPr>
                <w:rFonts w:hint="default" w:ascii="Times New Roman" w:hAnsi="Times New Roman" w:cs="Times New Roman"/>
                <w:color w:val="auto"/>
                <w:u w:val="single"/>
                <w:lang w:val="en-US" w:eastAsia="zh-CN"/>
              </w:rPr>
            </w:pPr>
          </w:p>
        </w:tc>
      </w:tr>
    </w:tbl>
    <w:p w14:paraId="09BCEC36">
      <w:pPr>
        <w:pStyle w:val="4"/>
        <w:bidi w:val="0"/>
        <w:rPr>
          <w:rFonts w:hint="eastAsia"/>
          <w:color w:val="auto"/>
          <w:u w:val="none" w:color="auto"/>
          <w:lang w:val="en-US" w:eastAsia="zh-CN"/>
        </w:rPr>
      </w:pPr>
      <w:bookmarkStart w:id="590" w:name="_Toc27093"/>
      <w:r>
        <w:rPr>
          <w:rFonts w:hint="eastAsia"/>
          <w:color w:val="auto"/>
          <w:u w:val="none" w:color="auto"/>
          <w:lang w:val="en-US" w:eastAsia="zh-CN"/>
        </w:rPr>
        <w:t>3.3.5迁建前项目主要污染物排放汇总</w:t>
      </w:r>
      <w:bookmarkEnd w:id="590"/>
    </w:p>
    <w:p w14:paraId="7F742205">
      <w:pPr>
        <w:pStyle w:val="20"/>
        <w:bidi w:val="0"/>
        <w:rPr>
          <w:rFonts w:hint="eastAsia"/>
          <w:color w:val="auto"/>
          <w:u w:val="none" w:color="auto"/>
          <w:lang w:val="en-US" w:eastAsia="zh-CN"/>
        </w:rPr>
      </w:pPr>
      <w:r>
        <w:rPr>
          <w:rFonts w:hint="eastAsia"/>
          <w:color w:val="auto"/>
          <w:u w:val="none" w:color="auto"/>
          <w:lang w:val="en-US" w:eastAsia="zh-CN"/>
        </w:rPr>
        <w:t>迁建前项目主要污染物排放汇总情况见下表。</w:t>
      </w:r>
    </w:p>
    <w:p w14:paraId="6DF2C43A">
      <w:pPr>
        <w:pStyle w:val="22"/>
        <w:bidi w:val="0"/>
        <w:rPr>
          <w:rFonts w:hint="eastAsia"/>
          <w:color w:val="auto"/>
          <w:u w:val="none" w:color="auto"/>
          <w:lang w:val="en-US" w:eastAsia="zh-CN"/>
        </w:rPr>
      </w:pPr>
      <w:r>
        <w:rPr>
          <w:rFonts w:hint="eastAsia"/>
          <w:color w:val="auto"/>
          <w:u w:val="none" w:color="auto"/>
          <w:lang w:val="en-US" w:eastAsia="zh-CN"/>
        </w:rPr>
        <w:t>表3.3-7 迁建前项目主要污染物排放汇总表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930"/>
        <w:gridCol w:w="1193"/>
        <w:gridCol w:w="1290"/>
        <w:gridCol w:w="2268"/>
        <w:gridCol w:w="1095"/>
        <w:gridCol w:w="1728"/>
      </w:tblGrid>
      <w:tr w14:paraId="7BDE3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tcBorders>
              <w:tl2br w:val="nil"/>
              <w:tr2bl w:val="nil"/>
            </w:tcBorders>
            <w:noWrap w:val="0"/>
            <w:vAlign w:val="center"/>
          </w:tcPr>
          <w:p w14:paraId="23C9A067">
            <w:pPr>
              <w:pStyle w:val="24"/>
              <w:bidi w:val="0"/>
              <w:rPr>
                <w:rFonts w:hint="default"/>
                <w:b/>
                <w:bCs/>
                <w:color w:val="auto"/>
                <w:u w:val="none" w:color="auto"/>
                <w:lang w:val="en-US" w:eastAsia="zh-CN"/>
              </w:rPr>
            </w:pPr>
            <w:bookmarkStart w:id="591" w:name="_Toc93"/>
            <w:bookmarkStart w:id="592" w:name="_Toc3727"/>
            <w:bookmarkStart w:id="593" w:name="_Toc13740"/>
            <w:bookmarkStart w:id="594" w:name="_Toc7552"/>
            <w:bookmarkStart w:id="595" w:name="_Toc27213"/>
            <w:bookmarkStart w:id="596" w:name="_Toc18847"/>
            <w:bookmarkStart w:id="597" w:name="_Toc4244"/>
            <w:bookmarkStart w:id="598" w:name="_Toc10583"/>
            <w:bookmarkStart w:id="599" w:name="_Toc24813"/>
            <w:r>
              <w:rPr>
                <w:rFonts w:hint="eastAsia"/>
                <w:b/>
                <w:bCs/>
                <w:color w:val="auto"/>
                <w:u w:val="none" w:color="auto"/>
                <w:lang w:val="en-US" w:eastAsia="zh-CN"/>
              </w:rPr>
              <w:t>项目</w:t>
            </w:r>
          </w:p>
        </w:tc>
        <w:tc>
          <w:tcPr>
            <w:tcW w:w="1193" w:type="dxa"/>
            <w:tcBorders>
              <w:tl2br w:val="nil"/>
              <w:tr2bl w:val="nil"/>
            </w:tcBorders>
            <w:noWrap w:val="0"/>
            <w:vAlign w:val="center"/>
          </w:tcPr>
          <w:p w14:paraId="2414DC7B">
            <w:pPr>
              <w:pStyle w:val="24"/>
              <w:bidi w:val="0"/>
              <w:rPr>
                <w:rFonts w:hint="default"/>
                <w:b/>
                <w:bCs/>
                <w:color w:val="auto"/>
                <w:u w:val="none" w:color="auto"/>
                <w:lang w:val="en-US" w:eastAsia="zh-CN"/>
              </w:rPr>
            </w:pPr>
            <w:r>
              <w:rPr>
                <w:rFonts w:hint="eastAsia"/>
                <w:b/>
                <w:bCs/>
                <w:color w:val="auto"/>
                <w:u w:val="none" w:color="auto"/>
                <w:lang w:val="en-US" w:eastAsia="zh-CN"/>
              </w:rPr>
              <w:t>来源</w:t>
            </w:r>
          </w:p>
        </w:tc>
        <w:tc>
          <w:tcPr>
            <w:tcW w:w="1290" w:type="dxa"/>
            <w:tcBorders>
              <w:tl2br w:val="nil"/>
              <w:tr2bl w:val="nil"/>
            </w:tcBorders>
            <w:noWrap w:val="0"/>
            <w:vAlign w:val="center"/>
          </w:tcPr>
          <w:p w14:paraId="7FF1D733">
            <w:pPr>
              <w:pStyle w:val="24"/>
              <w:bidi w:val="0"/>
              <w:rPr>
                <w:rFonts w:hint="default"/>
                <w:b/>
                <w:bCs/>
                <w:color w:val="auto"/>
                <w:u w:val="none" w:color="auto"/>
                <w:lang w:val="en-US" w:eastAsia="zh-CN"/>
              </w:rPr>
            </w:pPr>
            <w:r>
              <w:rPr>
                <w:rFonts w:hint="eastAsia"/>
                <w:b/>
                <w:bCs/>
                <w:color w:val="auto"/>
                <w:u w:val="none" w:color="auto"/>
                <w:lang w:val="en-US" w:eastAsia="zh-CN"/>
              </w:rPr>
              <w:t>污染物名称</w:t>
            </w:r>
          </w:p>
        </w:tc>
        <w:tc>
          <w:tcPr>
            <w:tcW w:w="2268" w:type="dxa"/>
            <w:tcBorders>
              <w:tl2br w:val="nil"/>
              <w:tr2bl w:val="nil"/>
            </w:tcBorders>
            <w:noWrap w:val="0"/>
            <w:vAlign w:val="center"/>
          </w:tcPr>
          <w:p w14:paraId="54940FF4">
            <w:pPr>
              <w:pStyle w:val="24"/>
              <w:bidi w:val="0"/>
              <w:rPr>
                <w:rFonts w:hint="default"/>
                <w:b/>
                <w:bCs/>
                <w:color w:val="auto"/>
                <w:u w:val="none" w:color="auto"/>
                <w:lang w:val="en-US" w:eastAsia="zh-CN"/>
              </w:rPr>
            </w:pPr>
            <w:r>
              <w:rPr>
                <w:rFonts w:hint="eastAsia"/>
                <w:b/>
                <w:bCs/>
                <w:color w:val="auto"/>
                <w:u w:val="none" w:color="auto"/>
                <w:lang w:val="en-US" w:eastAsia="zh-CN"/>
              </w:rPr>
              <w:t>处理方式</w:t>
            </w:r>
          </w:p>
        </w:tc>
        <w:tc>
          <w:tcPr>
            <w:tcW w:w="1095" w:type="dxa"/>
            <w:tcBorders>
              <w:tl2br w:val="nil"/>
              <w:tr2bl w:val="nil"/>
            </w:tcBorders>
            <w:noWrap w:val="0"/>
            <w:vAlign w:val="center"/>
          </w:tcPr>
          <w:p w14:paraId="1E310E78">
            <w:pPr>
              <w:pStyle w:val="24"/>
              <w:bidi w:val="0"/>
              <w:rPr>
                <w:rFonts w:hint="default"/>
                <w:b/>
                <w:bCs/>
                <w:color w:val="auto"/>
                <w:u w:val="none" w:color="auto"/>
                <w:lang w:val="en-US" w:eastAsia="zh-CN"/>
              </w:rPr>
            </w:pPr>
            <w:r>
              <w:rPr>
                <w:rFonts w:hint="eastAsia"/>
                <w:b/>
                <w:bCs/>
                <w:color w:val="auto"/>
                <w:u w:val="none" w:color="auto"/>
                <w:lang w:val="en-US" w:eastAsia="zh-CN"/>
              </w:rPr>
              <w:t>排放量（t/a）</w:t>
            </w:r>
          </w:p>
        </w:tc>
        <w:tc>
          <w:tcPr>
            <w:tcW w:w="1728" w:type="dxa"/>
            <w:tcBorders>
              <w:tl2br w:val="nil"/>
              <w:tr2bl w:val="nil"/>
            </w:tcBorders>
            <w:noWrap w:val="0"/>
            <w:vAlign w:val="center"/>
          </w:tcPr>
          <w:p w14:paraId="315A50A0">
            <w:pPr>
              <w:pStyle w:val="24"/>
              <w:bidi w:val="0"/>
              <w:rPr>
                <w:rFonts w:hint="default"/>
                <w:b/>
                <w:bCs/>
                <w:color w:val="auto"/>
                <w:u w:val="none" w:color="auto"/>
                <w:lang w:val="en-US" w:eastAsia="zh-CN"/>
              </w:rPr>
            </w:pPr>
            <w:r>
              <w:rPr>
                <w:rFonts w:hint="eastAsia"/>
                <w:b/>
                <w:bCs/>
                <w:color w:val="auto"/>
                <w:u w:val="none" w:color="auto"/>
                <w:lang w:val="en-US" w:eastAsia="zh-CN"/>
              </w:rPr>
              <w:t>排放方式</w:t>
            </w:r>
          </w:p>
        </w:tc>
      </w:tr>
      <w:tr w14:paraId="02B9C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restart"/>
            <w:tcBorders>
              <w:tl2br w:val="nil"/>
              <w:tr2bl w:val="nil"/>
            </w:tcBorders>
            <w:noWrap w:val="0"/>
            <w:vAlign w:val="center"/>
          </w:tcPr>
          <w:p w14:paraId="301FEDA5">
            <w:pPr>
              <w:pStyle w:val="24"/>
              <w:bidi w:val="0"/>
              <w:rPr>
                <w:rFonts w:hint="default"/>
                <w:color w:val="auto"/>
                <w:u w:val="none" w:color="auto"/>
                <w:lang w:val="en-US" w:eastAsia="zh-CN"/>
              </w:rPr>
            </w:pPr>
            <w:r>
              <w:rPr>
                <w:rFonts w:hint="eastAsia"/>
                <w:color w:val="auto"/>
                <w:u w:val="none" w:color="auto"/>
                <w:lang w:val="en-US" w:eastAsia="zh-CN"/>
              </w:rPr>
              <w:t>废气</w:t>
            </w:r>
          </w:p>
        </w:tc>
        <w:tc>
          <w:tcPr>
            <w:tcW w:w="1193" w:type="dxa"/>
            <w:tcBorders>
              <w:tl2br w:val="nil"/>
              <w:tr2bl w:val="nil"/>
            </w:tcBorders>
            <w:noWrap w:val="0"/>
            <w:vAlign w:val="center"/>
          </w:tcPr>
          <w:p w14:paraId="6F60BDAC">
            <w:pPr>
              <w:pStyle w:val="24"/>
              <w:bidi w:val="0"/>
              <w:rPr>
                <w:rFonts w:hint="default"/>
                <w:color w:val="auto"/>
                <w:u w:val="none" w:color="auto"/>
                <w:lang w:val="en-US" w:eastAsia="zh-CN"/>
              </w:rPr>
            </w:pPr>
            <w:r>
              <w:rPr>
                <w:rFonts w:hint="eastAsia"/>
                <w:color w:val="auto"/>
                <w:u w:val="none" w:color="auto"/>
                <w:lang w:val="en-US" w:eastAsia="zh-CN"/>
              </w:rPr>
              <w:t>破碎磨粉粉尘</w:t>
            </w:r>
          </w:p>
        </w:tc>
        <w:tc>
          <w:tcPr>
            <w:tcW w:w="1290" w:type="dxa"/>
            <w:tcBorders>
              <w:tl2br w:val="nil"/>
              <w:tr2bl w:val="nil"/>
            </w:tcBorders>
            <w:noWrap w:val="0"/>
            <w:vAlign w:val="center"/>
          </w:tcPr>
          <w:p w14:paraId="60126872">
            <w:pPr>
              <w:pStyle w:val="24"/>
              <w:bidi w:val="0"/>
              <w:rPr>
                <w:rFonts w:hint="default"/>
                <w:color w:val="auto"/>
                <w:u w:val="none" w:color="auto"/>
                <w:lang w:val="en-US" w:eastAsia="zh-CN"/>
              </w:rPr>
            </w:pPr>
            <w:r>
              <w:rPr>
                <w:rFonts w:hint="eastAsia"/>
                <w:color w:val="auto"/>
                <w:u w:val="none" w:color="auto"/>
                <w:lang w:val="en-US" w:eastAsia="zh-CN"/>
              </w:rPr>
              <w:t>颗粒物</w:t>
            </w:r>
          </w:p>
        </w:tc>
        <w:tc>
          <w:tcPr>
            <w:tcW w:w="2268" w:type="dxa"/>
            <w:tcBorders>
              <w:tl2br w:val="nil"/>
              <w:tr2bl w:val="nil"/>
            </w:tcBorders>
            <w:noWrap w:val="0"/>
            <w:vAlign w:val="center"/>
          </w:tcPr>
          <w:p w14:paraId="4C66FF50">
            <w:pPr>
              <w:pStyle w:val="24"/>
              <w:bidi w:val="0"/>
              <w:rPr>
                <w:rFonts w:hint="default"/>
                <w:color w:val="auto"/>
                <w:u w:val="none" w:color="auto"/>
                <w:lang w:val="en-US" w:eastAsia="zh-CN"/>
              </w:rPr>
            </w:pPr>
            <w:r>
              <w:rPr>
                <w:rFonts w:hint="eastAsia" w:ascii="Times New Roman" w:hAnsi="Times New Roman" w:eastAsia="宋体" w:cs="Times New Roman"/>
                <w:color w:val="auto"/>
                <w:sz w:val="21"/>
                <w:szCs w:val="21"/>
                <w:u w:val="none" w:color="auto"/>
                <w:lang w:val="en-US" w:eastAsia="zh-CN"/>
              </w:rPr>
              <w:t>集气罩+布袋除尘器</w:t>
            </w:r>
          </w:p>
        </w:tc>
        <w:tc>
          <w:tcPr>
            <w:tcW w:w="1095" w:type="dxa"/>
            <w:tcBorders>
              <w:tl2br w:val="nil"/>
              <w:tr2bl w:val="nil"/>
            </w:tcBorders>
            <w:noWrap w:val="0"/>
            <w:vAlign w:val="center"/>
          </w:tcPr>
          <w:p w14:paraId="2AF7B3E4">
            <w:pPr>
              <w:pStyle w:val="24"/>
              <w:bidi w:val="0"/>
              <w:rPr>
                <w:rFonts w:hint="default"/>
                <w:color w:val="auto"/>
                <w:u w:val="none" w:color="auto"/>
                <w:lang w:val="en-US" w:eastAsia="zh-CN"/>
              </w:rPr>
            </w:pPr>
            <w:r>
              <w:rPr>
                <w:rFonts w:hint="eastAsia"/>
                <w:color w:val="auto"/>
                <w:u w:val="none" w:color="auto"/>
                <w:lang w:val="en-US" w:eastAsia="zh-CN"/>
              </w:rPr>
              <w:t>0.082</w:t>
            </w:r>
          </w:p>
        </w:tc>
        <w:tc>
          <w:tcPr>
            <w:tcW w:w="1728" w:type="dxa"/>
            <w:tcBorders>
              <w:tl2br w:val="nil"/>
              <w:tr2bl w:val="nil"/>
            </w:tcBorders>
            <w:noWrap w:val="0"/>
            <w:vAlign w:val="center"/>
          </w:tcPr>
          <w:p w14:paraId="77B16D8D">
            <w:pPr>
              <w:pStyle w:val="24"/>
              <w:bidi w:val="0"/>
              <w:rPr>
                <w:rFonts w:hint="default"/>
                <w:color w:val="auto"/>
                <w:u w:val="none" w:color="auto"/>
                <w:lang w:val="en-US" w:eastAsia="zh-CN"/>
              </w:rPr>
            </w:pPr>
            <w:r>
              <w:rPr>
                <w:rFonts w:hint="eastAsia"/>
                <w:color w:val="auto"/>
                <w:u w:val="none" w:color="auto"/>
                <w:lang w:val="en-US" w:eastAsia="zh-CN"/>
              </w:rPr>
              <w:t>15m高DA003排气筒</w:t>
            </w:r>
          </w:p>
        </w:tc>
      </w:tr>
      <w:tr w14:paraId="67855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3952E5FA">
            <w:pPr>
              <w:pStyle w:val="24"/>
              <w:bidi w:val="0"/>
              <w:rPr>
                <w:rFonts w:hint="eastAsia"/>
                <w:color w:val="auto"/>
                <w:u w:val="none" w:color="auto"/>
                <w:lang w:val="en-US" w:eastAsia="zh-CN"/>
              </w:rPr>
            </w:pPr>
          </w:p>
        </w:tc>
        <w:tc>
          <w:tcPr>
            <w:tcW w:w="1193" w:type="dxa"/>
            <w:tcBorders>
              <w:tl2br w:val="nil"/>
              <w:tr2bl w:val="nil"/>
            </w:tcBorders>
            <w:noWrap w:val="0"/>
            <w:vAlign w:val="center"/>
          </w:tcPr>
          <w:p w14:paraId="5216F3B6">
            <w:pPr>
              <w:pStyle w:val="24"/>
              <w:bidi w:val="0"/>
              <w:rPr>
                <w:rFonts w:hint="default"/>
                <w:color w:val="auto"/>
                <w:u w:val="none" w:color="auto"/>
                <w:lang w:val="en-US" w:eastAsia="zh-CN"/>
              </w:rPr>
            </w:pPr>
            <w:r>
              <w:rPr>
                <w:rFonts w:hint="eastAsia"/>
                <w:color w:val="auto"/>
                <w:u w:val="none" w:color="auto"/>
                <w:lang w:val="en-US" w:eastAsia="zh-CN"/>
              </w:rPr>
              <w:t>投料混料粉尘</w:t>
            </w:r>
          </w:p>
        </w:tc>
        <w:tc>
          <w:tcPr>
            <w:tcW w:w="1290" w:type="dxa"/>
            <w:tcBorders>
              <w:tl2br w:val="nil"/>
              <w:tr2bl w:val="nil"/>
            </w:tcBorders>
            <w:noWrap w:val="0"/>
            <w:vAlign w:val="center"/>
          </w:tcPr>
          <w:p w14:paraId="1D0C924E">
            <w:pPr>
              <w:pStyle w:val="24"/>
              <w:bidi w:val="0"/>
              <w:rPr>
                <w:rFonts w:hint="default"/>
                <w:color w:val="auto"/>
                <w:u w:val="none" w:color="auto"/>
                <w:lang w:val="en-US" w:eastAsia="zh-CN"/>
              </w:rPr>
            </w:pPr>
            <w:r>
              <w:rPr>
                <w:rFonts w:hint="eastAsia"/>
                <w:color w:val="auto"/>
                <w:u w:val="none" w:color="auto"/>
                <w:lang w:val="en-US" w:eastAsia="zh-CN"/>
              </w:rPr>
              <w:t>颗粒物</w:t>
            </w:r>
          </w:p>
        </w:tc>
        <w:tc>
          <w:tcPr>
            <w:tcW w:w="2268" w:type="dxa"/>
            <w:tcBorders>
              <w:tl2br w:val="nil"/>
              <w:tr2bl w:val="nil"/>
            </w:tcBorders>
            <w:noWrap w:val="0"/>
            <w:vAlign w:val="center"/>
          </w:tcPr>
          <w:p w14:paraId="2154F5F0">
            <w:pPr>
              <w:pStyle w:val="24"/>
              <w:bidi w:val="0"/>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集气罩+布袋除尘器</w:t>
            </w:r>
          </w:p>
        </w:tc>
        <w:tc>
          <w:tcPr>
            <w:tcW w:w="1095" w:type="dxa"/>
            <w:tcBorders>
              <w:tl2br w:val="nil"/>
              <w:tr2bl w:val="nil"/>
            </w:tcBorders>
            <w:noWrap w:val="0"/>
            <w:vAlign w:val="center"/>
          </w:tcPr>
          <w:p w14:paraId="714EB10F">
            <w:pPr>
              <w:pStyle w:val="24"/>
              <w:bidi w:val="0"/>
              <w:rPr>
                <w:rFonts w:hint="default"/>
                <w:color w:val="auto"/>
                <w:u w:val="none" w:color="auto"/>
                <w:lang w:val="en-US" w:eastAsia="zh-CN"/>
              </w:rPr>
            </w:pPr>
            <w:r>
              <w:rPr>
                <w:rFonts w:hint="eastAsia"/>
                <w:color w:val="auto"/>
                <w:u w:val="none" w:color="auto"/>
                <w:lang w:val="en-US" w:eastAsia="zh-CN"/>
              </w:rPr>
              <w:t>0.048</w:t>
            </w:r>
          </w:p>
        </w:tc>
        <w:tc>
          <w:tcPr>
            <w:tcW w:w="1728" w:type="dxa"/>
            <w:tcBorders>
              <w:tl2br w:val="nil"/>
              <w:tr2bl w:val="nil"/>
            </w:tcBorders>
            <w:noWrap w:val="0"/>
            <w:vAlign w:val="center"/>
          </w:tcPr>
          <w:p w14:paraId="5B188E20">
            <w:pPr>
              <w:pStyle w:val="24"/>
              <w:bidi w:val="0"/>
              <w:rPr>
                <w:rFonts w:hint="eastAsia"/>
                <w:color w:val="auto"/>
                <w:u w:val="none" w:color="auto"/>
                <w:lang w:val="en-US" w:eastAsia="zh-CN"/>
              </w:rPr>
            </w:pPr>
            <w:r>
              <w:rPr>
                <w:rFonts w:hint="eastAsia"/>
                <w:color w:val="auto"/>
                <w:u w:val="none" w:color="auto"/>
                <w:lang w:val="en-US" w:eastAsia="zh-CN"/>
              </w:rPr>
              <w:t>15m高DA002排气筒</w:t>
            </w:r>
          </w:p>
        </w:tc>
      </w:tr>
      <w:tr w14:paraId="64FF0B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54FD9A7C">
            <w:pPr>
              <w:pStyle w:val="24"/>
              <w:bidi w:val="0"/>
              <w:rPr>
                <w:rFonts w:hint="default"/>
                <w:color w:val="auto"/>
                <w:u w:val="none" w:color="auto"/>
                <w:lang w:val="en-US" w:eastAsia="zh-CN"/>
              </w:rPr>
            </w:pPr>
          </w:p>
        </w:tc>
        <w:tc>
          <w:tcPr>
            <w:tcW w:w="1193" w:type="dxa"/>
            <w:vMerge w:val="restart"/>
            <w:tcBorders>
              <w:tl2br w:val="nil"/>
              <w:tr2bl w:val="nil"/>
            </w:tcBorders>
            <w:noWrap w:val="0"/>
            <w:vAlign w:val="center"/>
          </w:tcPr>
          <w:p w14:paraId="22A33FDC">
            <w:pPr>
              <w:pStyle w:val="24"/>
              <w:bidi w:val="0"/>
              <w:rPr>
                <w:rFonts w:hint="default"/>
                <w:color w:val="auto"/>
                <w:u w:val="none" w:color="auto"/>
                <w:lang w:val="en-US" w:eastAsia="zh-CN"/>
              </w:rPr>
            </w:pPr>
            <w:r>
              <w:rPr>
                <w:rFonts w:hint="eastAsia"/>
                <w:color w:val="auto"/>
                <w:u w:val="none" w:color="auto"/>
                <w:lang w:val="en-US" w:eastAsia="zh-CN"/>
              </w:rPr>
              <w:t>挤出覆膜废气</w:t>
            </w:r>
          </w:p>
        </w:tc>
        <w:tc>
          <w:tcPr>
            <w:tcW w:w="1290" w:type="dxa"/>
            <w:tcBorders>
              <w:tl2br w:val="nil"/>
              <w:tr2bl w:val="nil"/>
            </w:tcBorders>
            <w:noWrap w:val="0"/>
            <w:vAlign w:val="center"/>
          </w:tcPr>
          <w:p w14:paraId="13C4DCBB">
            <w:pPr>
              <w:pStyle w:val="24"/>
              <w:bidi w:val="0"/>
              <w:rPr>
                <w:rFonts w:hint="default"/>
                <w:color w:val="auto"/>
                <w:u w:val="none" w:color="auto"/>
                <w:lang w:val="en-US" w:eastAsia="zh-CN"/>
              </w:rPr>
            </w:pPr>
            <w:r>
              <w:rPr>
                <w:rFonts w:hint="eastAsia"/>
                <w:color w:val="auto"/>
                <w:u w:val="none" w:color="auto"/>
                <w:lang w:val="en-US" w:eastAsia="zh-CN"/>
              </w:rPr>
              <w:t>非甲烷总烃</w:t>
            </w:r>
          </w:p>
        </w:tc>
        <w:tc>
          <w:tcPr>
            <w:tcW w:w="2268" w:type="dxa"/>
            <w:vMerge w:val="restart"/>
            <w:tcBorders>
              <w:tl2br w:val="nil"/>
              <w:tr2bl w:val="nil"/>
            </w:tcBorders>
            <w:noWrap w:val="0"/>
            <w:vAlign w:val="center"/>
          </w:tcPr>
          <w:p w14:paraId="3192A4CD">
            <w:pPr>
              <w:pStyle w:val="24"/>
              <w:bidi w:val="0"/>
              <w:rPr>
                <w:rFonts w:hint="default"/>
                <w:color w:val="auto"/>
                <w:u w:val="none" w:color="auto"/>
                <w:lang w:val="en-US" w:eastAsia="zh-CN"/>
              </w:rPr>
            </w:pPr>
            <w:r>
              <w:rPr>
                <w:rFonts w:hint="default" w:ascii="Times New Roman" w:hAnsi="Times New Roman" w:eastAsia="宋体" w:cs="Times New Roman"/>
                <w:color w:val="auto"/>
                <w:sz w:val="21"/>
                <w:szCs w:val="21"/>
                <w:u w:val="none" w:color="auto"/>
                <w:lang w:eastAsia="zh-CN"/>
              </w:rPr>
              <w:t>集气</w:t>
            </w:r>
            <w:r>
              <w:rPr>
                <w:rFonts w:hint="eastAsia" w:ascii="Times New Roman" w:hAnsi="Times New Roman" w:eastAsia="宋体" w:cs="Times New Roman"/>
                <w:color w:val="auto"/>
                <w:sz w:val="21"/>
                <w:szCs w:val="21"/>
                <w:u w:val="none" w:color="auto"/>
                <w:lang w:val="en-US" w:eastAsia="zh-CN"/>
              </w:rPr>
              <w:t>罩</w:t>
            </w:r>
            <w:r>
              <w:rPr>
                <w:rFonts w:hint="default" w:ascii="Times New Roman" w:hAnsi="Times New Roman" w:eastAsia="宋体" w:cs="Times New Roman"/>
                <w:color w:val="auto"/>
                <w:sz w:val="21"/>
                <w:szCs w:val="21"/>
                <w:u w:val="none" w:color="auto"/>
                <w:lang w:eastAsia="zh-CN"/>
              </w:rPr>
              <w:t>+</w:t>
            </w:r>
            <w:r>
              <w:rPr>
                <w:rFonts w:hint="eastAsia" w:ascii="Times New Roman" w:hAnsi="Times New Roman" w:eastAsia="宋体" w:cs="Times New Roman"/>
                <w:color w:val="auto"/>
                <w:sz w:val="21"/>
                <w:szCs w:val="21"/>
                <w:u w:val="none" w:color="auto"/>
                <w:lang w:val="en-US" w:eastAsia="zh-CN"/>
              </w:rPr>
              <w:t>UV光解+活性炭吸附装置</w:t>
            </w:r>
          </w:p>
        </w:tc>
        <w:tc>
          <w:tcPr>
            <w:tcW w:w="1095" w:type="dxa"/>
            <w:tcBorders>
              <w:tl2br w:val="nil"/>
              <w:tr2bl w:val="nil"/>
            </w:tcBorders>
            <w:noWrap w:val="0"/>
            <w:vAlign w:val="center"/>
          </w:tcPr>
          <w:p w14:paraId="61164F1D">
            <w:pPr>
              <w:pStyle w:val="24"/>
              <w:bidi w:val="0"/>
              <w:rPr>
                <w:rFonts w:hint="default"/>
                <w:color w:val="auto"/>
                <w:u w:val="none" w:color="auto"/>
                <w:lang w:val="en-US" w:eastAsia="zh-CN"/>
              </w:rPr>
            </w:pPr>
            <w:r>
              <w:rPr>
                <w:rFonts w:hint="eastAsia"/>
                <w:color w:val="auto"/>
                <w:u w:val="none" w:color="auto"/>
                <w:lang w:val="en-US" w:eastAsia="zh-CN"/>
              </w:rPr>
              <w:t>0.432</w:t>
            </w:r>
          </w:p>
        </w:tc>
        <w:tc>
          <w:tcPr>
            <w:tcW w:w="1728" w:type="dxa"/>
            <w:vMerge w:val="restart"/>
            <w:tcBorders>
              <w:tl2br w:val="nil"/>
              <w:tr2bl w:val="nil"/>
            </w:tcBorders>
            <w:noWrap w:val="0"/>
            <w:vAlign w:val="center"/>
          </w:tcPr>
          <w:p w14:paraId="1C64F21E">
            <w:pPr>
              <w:pStyle w:val="24"/>
              <w:bidi w:val="0"/>
              <w:rPr>
                <w:rFonts w:hint="default"/>
                <w:color w:val="auto"/>
                <w:u w:val="none" w:color="auto"/>
                <w:lang w:val="en-US" w:eastAsia="zh-CN"/>
              </w:rPr>
            </w:pPr>
            <w:r>
              <w:rPr>
                <w:rFonts w:hint="eastAsia"/>
                <w:color w:val="auto"/>
                <w:u w:val="none" w:color="auto"/>
                <w:lang w:val="en-US" w:eastAsia="zh-CN"/>
              </w:rPr>
              <w:t>15m高DA001排气筒</w:t>
            </w:r>
          </w:p>
        </w:tc>
      </w:tr>
      <w:tr w14:paraId="298C1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7FBBA41A">
            <w:pPr>
              <w:pStyle w:val="24"/>
              <w:bidi w:val="0"/>
              <w:rPr>
                <w:rFonts w:hint="default"/>
                <w:color w:val="auto"/>
                <w:u w:val="none" w:color="auto"/>
                <w:lang w:val="en-US" w:eastAsia="zh-CN"/>
              </w:rPr>
            </w:pPr>
          </w:p>
        </w:tc>
        <w:tc>
          <w:tcPr>
            <w:tcW w:w="1193" w:type="dxa"/>
            <w:vMerge w:val="continue"/>
            <w:tcBorders>
              <w:tl2br w:val="nil"/>
              <w:tr2bl w:val="nil"/>
            </w:tcBorders>
            <w:noWrap w:val="0"/>
            <w:vAlign w:val="center"/>
          </w:tcPr>
          <w:p w14:paraId="7774AB50">
            <w:pPr>
              <w:pStyle w:val="24"/>
              <w:bidi w:val="0"/>
              <w:rPr>
                <w:rFonts w:hint="default"/>
                <w:color w:val="auto"/>
                <w:u w:val="none" w:color="auto"/>
                <w:lang w:val="en-US" w:eastAsia="zh-CN"/>
              </w:rPr>
            </w:pPr>
          </w:p>
        </w:tc>
        <w:tc>
          <w:tcPr>
            <w:tcW w:w="1290" w:type="dxa"/>
            <w:tcBorders>
              <w:tl2br w:val="nil"/>
              <w:tr2bl w:val="nil"/>
            </w:tcBorders>
            <w:noWrap w:val="0"/>
            <w:vAlign w:val="center"/>
          </w:tcPr>
          <w:p w14:paraId="57CFB274">
            <w:pPr>
              <w:pStyle w:val="24"/>
              <w:bidi w:val="0"/>
              <w:rPr>
                <w:rFonts w:hint="default"/>
                <w:color w:val="auto"/>
                <w:u w:val="none" w:color="auto"/>
                <w:lang w:val="en-US" w:eastAsia="zh-CN"/>
              </w:rPr>
            </w:pPr>
            <w:r>
              <w:rPr>
                <w:rFonts w:hint="eastAsia"/>
                <w:color w:val="auto"/>
                <w:u w:val="none" w:color="auto"/>
                <w:lang w:val="en-US" w:eastAsia="zh-CN"/>
              </w:rPr>
              <w:t>氯化氢</w:t>
            </w:r>
          </w:p>
        </w:tc>
        <w:tc>
          <w:tcPr>
            <w:tcW w:w="2268" w:type="dxa"/>
            <w:vMerge w:val="continue"/>
            <w:tcBorders>
              <w:tl2br w:val="nil"/>
              <w:tr2bl w:val="nil"/>
            </w:tcBorders>
            <w:noWrap w:val="0"/>
            <w:vAlign w:val="center"/>
          </w:tcPr>
          <w:p w14:paraId="07F25F14">
            <w:pPr>
              <w:pStyle w:val="24"/>
              <w:bidi w:val="0"/>
              <w:rPr>
                <w:rFonts w:hint="default"/>
                <w:color w:val="auto"/>
                <w:u w:val="none" w:color="auto"/>
                <w:lang w:val="en-US" w:eastAsia="zh-CN"/>
              </w:rPr>
            </w:pPr>
          </w:p>
        </w:tc>
        <w:tc>
          <w:tcPr>
            <w:tcW w:w="1095" w:type="dxa"/>
            <w:tcBorders>
              <w:tl2br w:val="nil"/>
              <w:tr2bl w:val="nil"/>
            </w:tcBorders>
            <w:noWrap w:val="0"/>
            <w:vAlign w:val="center"/>
          </w:tcPr>
          <w:p w14:paraId="36E00786">
            <w:pPr>
              <w:pStyle w:val="24"/>
              <w:bidi w:val="0"/>
              <w:rPr>
                <w:rFonts w:hint="default"/>
                <w:color w:val="auto"/>
                <w:u w:val="none" w:color="auto"/>
                <w:lang w:val="en-US" w:eastAsia="zh-CN"/>
              </w:rPr>
            </w:pPr>
            <w:r>
              <w:rPr>
                <w:rFonts w:hint="eastAsia"/>
                <w:color w:val="auto"/>
                <w:u w:val="none" w:color="auto"/>
                <w:lang w:val="en-US" w:eastAsia="zh-CN"/>
              </w:rPr>
              <w:t>0.384</w:t>
            </w:r>
          </w:p>
        </w:tc>
        <w:tc>
          <w:tcPr>
            <w:tcW w:w="1728" w:type="dxa"/>
            <w:vMerge w:val="continue"/>
            <w:tcBorders>
              <w:tl2br w:val="nil"/>
              <w:tr2bl w:val="nil"/>
            </w:tcBorders>
            <w:noWrap w:val="0"/>
            <w:vAlign w:val="center"/>
          </w:tcPr>
          <w:p w14:paraId="0646CAF6">
            <w:pPr>
              <w:pStyle w:val="24"/>
              <w:bidi w:val="0"/>
              <w:rPr>
                <w:rFonts w:hint="default"/>
                <w:color w:val="auto"/>
                <w:u w:val="none" w:color="auto"/>
                <w:lang w:val="en-US" w:eastAsia="zh-CN"/>
              </w:rPr>
            </w:pPr>
          </w:p>
        </w:tc>
      </w:tr>
      <w:tr w14:paraId="47B8E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restart"/>
            <w:tcBorders>
              <w:tl2br w:val="nil"/>
              <w:tr2bl w:val="nil"/>
            </w:tcBorders>
            <w:noWrap w:val="0"/>
            <w:vAlign w:val="center"/>
          </w:tcPr>
          <w:p w14:paraId="0CD83499">
            <w:pPr>
              <w:pStyle w:val="24"/>
              <w:bidi w:val="0"/>
              <w:rPr>
                <w:rFonts w:hint="default"/>
                <w:color w:val="auto"/>
                <w:u w:val="none" w:color="auto"/>
                <w:lang w:val="en-US" w:eastAsia="zh-CN"/>
              </w:rPr>
            </w:pPr>
            <w:r>
              <w:rPr>
                <w:rFonts w:hint="eastAsia"/>
                <w:color w:val="auto"/>
                <w:u w:val="none" w:color="auto"/>
                <w:lang w:val="en-US" w:eastAsia="zh-CN"/>
              </w:rPr>
              <w:t>废水</w:t>
            </w:r>
          </w:p>
        </w:tc>
        <w:tc>
          <w:tcPr>
            <w:tcW w:w="1193" w:type="dxa"/>
            <w:vMerge w:val="restart"/>
            <w:tcBorders>
              <w:tl2br w:val="nil"/>
              <w:tr2bl w:val="nil"/>
            </w:tcBorders>
            <w:noWrap w:val="0"/>
            <w:vAlign w:val="center"/>
          </w:tcPr>
          <w:p w14:paraId="19CD85F4">
            <w:pPr>
              <w:pStyle w:val="24"/>
              <w:bidi w:val="0"/>
              <w:rPr>
                <w:rFonts w:hint="default"/>
                <w:color w:val="auto"/>
                <w:u w:val="none" w:color="auto"/>
                <w:lang w:val="en-US" w:eastAsia="zh-CN"/>
              </w:rPr>
            </w:pPr>
            <w:r>
              <w:rPr>
                <w:rFonts w:hint="eastAsia"/>
                <w:color w:val="auto"/>
                <w:u w:val="none" w:color="auto"/>
                <w:lang w:val="en-US" w:eastAsia="zh-CN"/>
              </w:rPr>
              <w:t>生活污水</w:t>
            </w:r>
          </w:p>
        </w:tc>
        <w:tc>
          <w:tcPr>
            <w:tcW w:w="1290" w:type="dxa"/>
            <w:tcBorders>
              <w:tl2br w:val="nil"/>
              <w:tr2bl w:val="nil"/>
            </w:tcBorders>
            <w:noWrap w:val="0"/>
            <w:vAlign w:val="center"/>
          </w:tcPr>
          <w:p w14:paraId="5E4BE218">
            <w:pPr>
              <w:pStyle w:val="24"/>
              <w:bidi w:val="0"/>
              <w:rPr>
                <w:rFonts w:hint="default"/>
                <w:color w:val="auto"/>
                <w:u w:val="none" w:color="auto"/>
                <w:lang w:val="en-US" w:eastAsia="zh-CN"/>
              </w:rPr>
            </w:pPr>
            <w:r>
              <w:rPr>
                <w:rFonts w:hint="eastAsia"/>
                <w:color w:val="auto"/>
                <w:u w:val="none" w:color="auto"/>
                <w:lang w:val="en-US" w:eastAsia="zh-CN"/>
              </w:rPr>
              <w:t>CODcr</w:t>
            </w:r>
          </w:p>
        </w:tc>
        <w:tc>
          <w:tcPr>
            <w:tcW w:w="2268" w:type="dxa"/>
            <w:vMerge w:val="restart"/>
            <w:tcBorders>
              <w:tl2br w:val="nil"/>
              <w:tr2bl w:val="nil"/>
            </w:tcBorders>
            <w:noWrap w:val="0"/>
            <w:vAlign w:val="center"/>
          </w:tcPr>
          <w:p w14:paraId="0E0D1214">
            <w:pPr>
              <w:pStyle w:val="24"/>
              <w:bidi w:val="0"/>
              <w:rPr>
                <w:rFonts w:hint="default"/>
                <w:color w:val="auto"/>
                <w:u w:val="none" w:color="auto"/>
                <w:lang w:val="en-US" w:eastAsia="zh-CN"/>
              </w:rPr>
            </w:pPr>
            <w:r>
              <w:rPr>
                <w:rFonts w:hint="eastAsia"/>
                <w:color w:val="auto"/>
                <w:u w:val="none" w:color="auto"/>
                <w:lang w:val="en-US" w:eastAsia="zh-CN"/>
              </w:rPr>
              <w:t>现代家俱隔油沉淀池、化粪池</w:t>
            </w:r>
          </w:p>
        </w:tc>
        <w:tc>
          <w:tcPr>
            <w:tcW w:w="1095" w:type="dxa"/>
            <w:tcBorders>
              <w:tl2br w:val="nil"/>
              <w:tr2bl w:val="nil"/>
            </w:tcBorders>
            <w:noWrap w:val="0"/>
            <w:vAlign w:val="center"/>
          </w:tcPr>
          <w:p w14:paraId="14591F71">
            <w:pPr>
              <w:pStyle w:val="24"/>
              <w:bidi w:val="0"/>
              <w:rPr>
                <w:rFonts w:hint="default"/>
                <w:color w:val="auto"/>
                <w:u w:val="none" w:color="auto"/>
                <w:lang w:val="en-US" w:eastAsia="zh-CN"/>
              </w:rPr>
            </w:pPr>
            <w:r>
              <w:rPr>
                <w:rFonts w:hint="eastAsia"/>
                <w:color w:val="auto"/>
                <w:u w:val="none" w:color="auto"/>
                <w:lang w:val="en-US" w:eastAsia="zh-CN"/>
              </w:rPr>
              <w:t>/</w:t>
            </w:r>
          </w:p>
        </w:tc>
        <w:tc>
          <w:tcPr>
            <w:tcW w:w="1728" w:type="dxa"/>
            <w:vMerge w:val="restart"/>
            <w:tcBorders>
              <w:tl2br w:val="nil"/>
              <w:tr2bl w:val="nil"/>
            </w:tcBorders>
            <w:noWrap w:val="0"/>
            <w:vAlign w:val="center"/>
          </w:tcPr>
          <w:p w14:paraId="34CEDA59">
            <w:pPr>
              <w:pStyle w:val="24"/>
              <w:bidi w:val="0"/>
              <w:rPr>
                <w:rFonts w:hint="default"/>
                <w:color w:val="auto"/>
                <w:u w:val="none" w:color="auto"/>
                <w:lang w:val="en-US" w:eastAsia="zh-CN"/>
              </w:rPr>
            </w:pPr>
            <w:r>
              <w:rPr>
                <w:rFonts w:hint="eastAsia"/>
                <w:color w:val="auto"/>
                <w:u w:val="none" w:color="auto"/>
                <w:lang w:val="en-US" w:eastAsia="zh-CN"/>
              </w:rPr>
              <w:t>排入湖南汨罗高新技术产业开发区（循环园区）污水处理厂</w:t>
            </w:r>
          </w:p>
        </w:tc>
      </w:tr>
      <w:tr w14:paraId="4DB2BA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4C26ECA5">
            <w:pPr>
              <w:pStyle w:val="24"/>
              <w:bidi w:val="0"/>
              <w:rPr>
                <w:rFonts w:hint="eastAsia"/>
                <w:color w:val="auto"/>
                <w:u w:val="none" w:color="auto"/>
                <w:lang w:val="en-US" w:eastAsia="zh-CN"/>
              </w:rPr>
            </w:pPr>
          </w:p>
        </w:tc>
        <w:tc>
          <w:tcPr>
            <w:tcW w:w="1193" w:type="dxa"/>
            <w:vMerge w:val="continue"/>
            <w:tcBorders>
              <w:tl2br w:val="nil"/>
              <w:tr2bl w:val="nil"/>
            </w:tcBorders>
            <w:noWrap w:val="0"/>
            <w:vAlign w:val="center"/>
          </w:tcPr>
          <w:p w14:paraId="3D8E21E9">
            <w:pPr>
              <w:pStyle w:val="24"/>
              <w:bidi w:val="0"/>
              <w:rPr>
                <w:rFonts w:hint="eastAsia"/>
                <w:color w:val="auto"/>
                <w:u w:val="none" w:color="auto"/>
                <w:lang w:val="en-US" w:eastAsia="zh-CN"/>
              </w:rPr>
            </w:pPr>
          </w:p>
        </w:tc>
        <w:tc>
          <w:tcPr>
            <w:tcW w:w="1290" w:type="dxa"/>
            <w:tcBorders>
              <w:tl2br w:val="nil"/>
              <w:tr2bl w:val="nil"/>
            </w:tcBorders>
            <w:noWrap w:val="0"/>
            <w:vAlign w:val="center"/>
          </w:tcPr>
          <w:p w14:paraId="269CFCB9">
            <w:pPr>
              <w:pStyle w:val="24"/>
              <w:bidi w:val="0"/>
              <w:rPr>
                <w:rFonts w:hint="default"/>
                <w:color w:val="auto"/>
                <w:u w:val="none" w:color="auto"/>
                <w:lang w:val="en-US" w:eastAsia="zh-CN"/>
              </w:rPr>
            </w:pPr>
            <w:r>
              <w:rPr>
                <w:rFonts w:hint="eastAsia"/>
                <w:color w:val="auto"/>
                <w:u w:val="none" w:color="auto"/>
                <w:lang w:val="en-US" w:eastAsia="zh-CN"/>
              </w:rPr>
              <w:t>NH</w:t>
            </w:r>
            <w:r>
              <w:rPr>
                <w:rFonts w:hint="eastAsia"/>
                <w:color w:val="auto"/>
                <w:u w:val="none" w:color="auto"/>
                <w:vertAlign w:val="subscript"/>
                <w:lang w:val="en-US" w:eastAsia="zh-CN"/>
              </w:rPr>
              <w:t>3</w:t>
            </w:r>
            <w:r>
              <w:rPr>
                <w:rFonts w:hint="eastAsia"/>
                <w:color w:val="auto"/>
                <w:u w:val="none" w:color="auto"/>
                <w:lang w:val="en-US" w:eastAsia="zh-CN"/>
              </w:rPr>
              <w:t>-N</w:t>
            </w:r>
          </w:p>
        </w:tc>
        <w:tc>
          <w:tcPr>
            <w:tcW w:w="2268" w:type="dxa"/>
            <w:vMerge w:val="continue"/>
            <w:tcBorders>
              <w:tl2br w:val="nil"/>
              <w:tr2bl w:val="nil"/>
            </w:tcBorders>
            <w:noWrap w:val="0"/>
            <w:vAlign w:val="center"/>
          </w:tcPr>
          <w:p w14:paraId="35089B1E">
            <w:pPr>
              <w:pStyle w:val="24"/>
              <w:bidi w:val="0"/>
              <w:rPr>
                <w:rFonts w:hint="default"/>
                <w:color w:val="auto"/>
                <w:u w:val="none" w:color="auto"/>
                <w:lang w:val="en-US" w:eastAsia="zh-CN"/>
              </w:rPr>
            </w:pPr>
          </w:p>
        </w:tc>
        <w:tc>
          <w:tcPr>
            <w:tcW w:w="1095" w:type="dxa"/>
            <w:tcBorders>
              <w:tl2br w:val="nil"/>
              <w:tr2bl w:val="nil"/>
            </w:tcBorders>
            <w:noWrap w:val="0"/>
            <w:vAlign w:val="center"/>
          </w:tcPr>
          <w:p w14:paraId="0B288032">
            <w:pPr>
              <w:pStyle w:val="24"/>
              <w:bidi w:val="0"/>
              <w:rPr>
                <w:rFonts w:hint="default"/>
                <w:color w:val="auto"/>
                <w:u w:val="none" w:color="auto"/>
                <w:lang w:val="en-US" w:eastAsia="zh-CN"/>
              </w:rPr>
            </w:pPr>
            <w:r>
              <w:rPr>
                <w:rFonts w:hint="eastAsia"/>
                <w:color w:val="auto"/>
                <w:u w:val="none" w:color="auto"/>
                <w:lang w:val="en-US" w:eastAsia="zh-CN"/>
              </w:rPr>
              <w:t>/</w:t>
            </w:r>
          </w:p>
        </w:tc>
        <w:tc>
          <w:tcPr>
            <w:tcW w:w="1728" w:type="dxa"/>
            <w:vMerge w:val="continue"/>
            <w:tcBorders>
              <w:tl2br w:val="nil"/>
              <w:tr2bl w:val="nil"/>
            </w:tcBorders>
            <w:noWrap w:val="0"/>
            <w:vAlign w:val="center"/>
          </w:tcPr>
          <w:p w14:paraId="36E3510A">
            <w:pPr>
              <w:pStyle w:val="24"/>
              <w:bidi w:val="0"/>
              <w:rPr>
                <w:rFonts w:hint="default"/>
                <w:color w:val="auto"/>
                <w:u w:val="none" w:color="auto"/>
                <w:lang w:val="en-US" w:eastAsia="zh-CN"/>
              </w:rPr>
            </w:pPr>
          </w:p>
        </w:tc>
      </w:tr>
      <w:tr w14:paraId="5A536A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7B11B0B8">
            <w:pPr>
              <w:pStyle w:val="24"/>
              <w:bidi w:val="0"/>
              <w:rPr>
                <w:rFonts w:hint="eastAsia"/>
                <w:color w:val="auto"/>
                <w:u w:val="none" w:color="auto"/>
                <w:lang w:val="en-US" w:eastAsia="zh-CN"/>
              </w:rPr>
            </w:pPr>
          </w:p>
        </w:tc>
        <w:tc>
          <w:tcPr>
            <w:tcW w:w="1193" w:type="dxa"/>
            <w:tcBorders>
              <w:tl2br w:val="nil"/>
              <w:tr2bl w:val="nil"/>
            </w:tcBorders>
            <w:noWrap w:val="0"/>
            <w:vAlign w:val="center"/>
          </w:tcPr>
          <w:p w14:paraId="67AF2DF7">
            <w:pPr>
              <w:pStyle w:val="24"/>
              <w:bidi w:val="0"/>
              <w:rPr>
                <w:rFonts w:hint="default"/>
                <w:color w:val="auto"/>
                <w:u w:val="none" w:color="auto"/>
                <w:lang w:val="en-US" w:eastAsia="zh-CN"/>
              </w:rPr>
            </w:pPr>
            <w:r>
              <w:rPr>
                <w:rFonts w:hint="eastAsia"/>
                <w:color w:val="auto"/>
                <w:u w:val="none" w:color="auto"/>
                <w:lang w:val="en-US" w:eastAsia="zh-CN"/>
              </w:rPr>
              <w:t>循环冷却水</w:t>
            </w:r>
          </w:p>
        </w:tc>
        <w:tc>
          <w:tcPr>
            <w:tcW w:w="1290" w:type="dxa"/>
            <w:tcBorders>
              <w:tl2br w:val="nil"/>
              <w:tr2bl w:val="nil"/>
            </w:tcBorders>
            <w:noWrap w:val="0"/>
            <w:vAlign w:val="center"/>
          </w:tcPr>
          <w:p w14:paraId="0D00916F">
            <w:pPr>
              <w:pStyle w:val="24"/>
              <w:bidi w:val="0"/>
              <w:rPr>
                <w:rFonts w:hint="default"/>
                <w:color w:val="auto"/>
                <w:u w:val="none" w:color="auto"/>
                <w:lang w:val="en-US" w:eastAsia="zh-CN"/>
              </w:rPr>
            </w:pPr>
            <w:r>
              <w:rPr>
                <w:rFonts w:hint="eastAsia"/>
                <w:color w:val="auto"/>
                <w:u w:val="none" w:color="auto"/>
                <w:lang w:val="en-US" w:eastAsia="zh-CN"/>
              </w:rPr>
              <w:t>SS</w:t>
            </w:r>
          </w:p>
        </w:tc>
        <w:tc>
          <w:tcPr>
            <w:tcW w:w="2268" w:type="dxa"/>
            <w:tcBorders>
              <w:tl2br w:val="nil"/>
              <w:tr2bl w:val="nil"/>
            </w:tcBorders>
            <w:noWrap w:val="0"/>
            <w:vAlign w:val="center"/>
          </w:tcPr>
          <w:p w14:paraId="2C00CBF0">
            <w:pPr>
              <w:pStyle w:val="24"/>
              <w:bidi w:val="0"/>
              <w:rPr>
                <w:rFonts w:hint="default"/>
                <w:color w:val="auto"/>
                <w:u w:val="none" w:color="auto"/>
                <w:lang w:val="en-US" w:eastAsia="zh-CN"/>
              </w:rPr>
            </w:pPr>
            <w:r>
              <w:rPr>
                <w:rFonts w:hint="eastAsia"/>
                <w:color w:val="auto"/>
                <w:u w:val="none" w:color="auto"/>
                <w:lang w:val="en-US" w:eastAsia="zh-CN"/>
              </w:rPr>
              <w:t>循环沉淀池</w:t>
            </w:r>
          </w:p>
        </w:tc>
        <w:tc>
          <w:tcPr>
            <w:tcW w:w="1095" w:type="dxa"/>
            <w:tcBorders>
              <w:tl2br w:val="nil"/>
              <w:tr2bl w:val="nil"/>
            </w:tcBorders>
            <w:noWrap w:val="0"/>
            <w:vAlign w:val="center"/>
          </w:tcPr>
          <w:p w14:paraId="75C4A2E3">
            <w:pPr>
              <w:pStyle w:val="24"/>
              <w:bidi w:val="0"/>
              <w:rPr>
                <w:rFonts w:hint="default"/>
                <w:color w:val="auto"/>
                <w:u w:val="none" w:color="auto"/>
                <w:lang w:val="en-US" w:eastAsia="zh-CN"/>
              </w:rPr>
            </w:pPr>
            <w:r>
              <w:rPr>
                <w:rFonts w:hint="eastAsia"/>
                <w:color w:val="auto"/>
                <w:u w:val="none" w:color="auto"/>
                <w:lang w:val="en-US" w:eastAsia="zh-CN"/>
              </w:rPr>
              <w:t>/</w:t>
            </w:r>
          </w:p>
        </w:tc>
        <w:tc>
          <w:tcPr>
            <w:tcW w:w="1728" w:type="dxa"/>
            <w:tcBorders>
              <w:tl2br w:val="nil"/>
              <w:tr2bl w:val="nil"/>
            </w:tcBorders>
            <w:noWrap w:val="0"/>
            <w:vAlign w:val="center"/>
          </w:tcPr>
          <w:p w14:paraId="03BEEC49">
            <w:pPr>
              <w:pStyle w:val="24"/>
              <w:bidi w:val="0"/>
              <w:rPr>
                <w:rFonts w:hint="default"/>
                <w:color w:val="auto"/>
                <w:u w:val="none" w:color="auto"/>
                <w:lang w:val="en-US" w:eastAsia="zh-CN"/>
              </w:rPr>
            </w:pPr>
            <w:r>
              <w:rPr>
                <w:rFonts w:hint="default" w:ascii="Times New Roman" w:hAnsi="Times New Roman" w:cs="Times New Roman"/>
                <w:color w:val="auto"/>
                <w:u w:val="none" w:color="auto"/>
                <w:lang w:eastAsia="zh-CN"/>
              </w:rPr>
              <w:t>循环使用不外排</w:t>
            </w:r>
          </w:p>
        </w:tc>
      </w:tr>
      <w:tr w14:paraId="73034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restart"/>
            <w:tcBorders>
              <w:tl2br w:val="nil"/>
              <w:tr2bl w:val="nil"/>
            </w:tcBorders>
            <w:noWrap w:val="0"/>
            <w:vAlign w:val="center"/>
          </w:tcPr>
          <w:p w14:paraId="25EE0E1D">
            <w:pPr>
              <w:pStyle w:val="24"/>
              <w:bidi w:val="0"/>
              <w:rPr>
                <w:rFonts w:hint="default"/>
                <w:color w:val="auto"/>
                <w:u w:val="none" w:color="auto"/>
                <w:lang w:val="en-US" w:eastAsia="zh-CN"/>
              </w:rPr>
            </w:pPr>
            <w:r>
              <w:rPr>
                <w:rFonts w:hint="eastAsia"/>
                <w:color w:val="auto"/>
                <w:u w:val="none" w:color="auto"/>
                <w:lang w:val="en-US" w:eastAsia="zh-CN"/>
              </w:rPr>
              <w:t>固体废物</w:t>
            </w:r>
          </w:p>
        </w:tc>
        <w:tc>
          <w:tcPr>
            <w:tcW w:w="1193" w:type="dxa"/>
            <w:tcBorders>
              <w:tl2br w:val="nil"/>
              <w:tr2bl w:val="nil"/>
            </w:tcBorders>
            <w:noWrap w:val="0"/>
            <w:vAlign w:val="center"/>
          </w:tcPr>
          <w:p w14:paraId="466F4888">
            <w:pPr>
              <w:pStyle w:val="24"/>
              <w:bidi w:val="0"/>
              <w:rPr>
                <w:rFonts w:hint="default"/>
                <w:color w:val="auto"/>
                <w:u w:val="none" w:color="auto"/>
                <w:lang w:val="en-US" w:eastAsia="zh-CN"/>
              </w:rPr>
            </w:pPr>
            <w:r>
              <w:rPr>
                <w:rFonts w:hint="eastAsia"/>
                <w:color w:val="auto"/>
                <w:u w:val="none" w:color="auto"/>
                <w:lang w:val="en-US" w:eastAsia="zh-CN"/>
              </w:rPr>
              <w:t>员工</w:t>
            </w:r>
          </w:p>
        </w:tc>
        <w:tc>
          <w:tcPr>
            <w:tcW w:w="1290" w:type="dxa"/>
            <w:tcBorders>
              <w:tl2br w:val="nil"/>
              <w:tr2bl w:val="nil"/>
            </w:tcBorders>
            <w:noWrap w:val="0"/>
            <w:vAlign w:val="center"/>
          </w:tcPr>
          <w:p w14:paraId="785568DF">
            <w:pPr>
              <w:pStyle w:val="24"/>
              <w:bidi w:val="0"/>
              <w:rPr>
                <w:rFonts w:hint="default"/>
                <w:color w:val="auto"/>
                <w:u w:val="none" w:color="auto"/>
                <w:lang w:val="en-US" w:eastAsia="zh-CN"/>
              </w:rPr>
            </w:pPr>
            <w:r>
              <w:rPr>
                <w:rFonts w:hint="eastAsia"/>
                <w:color w:val="auto"/>
                <w:u w:val="none" w:color="auto"/>
                <w:lang w:val="en-US" w:eastAsia="zh-CN"/>
              </w:rPr>
              <w:t>生活垃圾</w:t>
            </w:r>
          </w:p>
        </w:tc>
        <w:tc>
          <w:tcPr>
            <w:tcW w:w="2268" w:type="dxa"/>
            <w:tcBorders>
              <w:tl2br w:val="nil"/>
              <w:tr2bl w:val="nil"/>
            </w:tcBorders>
            <w:noWrap w:val="0"/>
            <w:vAlign w:val="center"/>
          </w:tcPr>
          <w:p w14:paraId="63FD0E82">
            <w:pPr>
              <w:pStyle w:val="24"/>
              <w:bidi w:val="0"/>
              <w:rPr>
                <w:rFonts w:hint="default"/>
                <w:color w:val="auto"/>
                <w:u w:val="none" w:color="auto"/>
                <w:lang w:val="en-US" w:eastAsia="zh-CN"/>
              </w:rPr>
            </w:pPr>
            <w:r>
              <w:rPr>
                <w:rFonts w:hint="default"/>
                <w:color w:val="auto"/>
                <w:u w:val="none" w:color="auto"/>
                <w:lang w:val="en-US" w:eastAsia="zh-CN"/>
              </w:rPr>
              <w:t>垃圾收集桶、环卫定期清运</w:t>
            </w:r>
          </w:p>
        </w:tc>
        <w:tc>
          <w:tcPr>
            <w:tcW w:w="1095" w:type="dxa"/>
            <w:tcBorders>
              <w:tl2br w:val="nil"/>
              <w:tr2bl w:val="nil"/>
            </w:tcBorders>
            <w:noWrap w:val="0"/>
            <w:vAlign w:val="center"/>
          </w:tcPr>
          <w:p w14:paraId="2856DA8D">
            <w:pPr>
              <w:pStyle w:val="24"/>
              <w:bidi w:val="0"/>
              <w:rPr>
                <w:rFonts w:hint="default"/>
                <w:color w:val="auto"/>
                <w:u w:val="none" w:color="auto"/>
                <w:lang w:val="en-US" w:eastAsia="zh-CN"/>
              </w:rPr>
            </w:pPr>
            <w:r>
              <w:rPr>
                <w:rFonts w:hint="eastAsia"/>
                <w:color w:val="auto"/>
                <w:u w:val="none" w:color="auto"/>
                <w:lang w:val="en-US" w:eastAsia="zh-CN"/>
              </w:rPr>
              <w:t>7.5</w:t>
            </w:r>
          </w:p>
        </w:tc>
        <w:tc>
          <w:tcPr>
            <w:tcW w:w="1728" w:type="dxa"/>
            <w:tcBorders>
              <w:tl2br w:val="nil"/>
              <w:tr2bl w:val="nil"/>
            </w:tcBorders>
            <w:noWrap w:val="0"/>
            <w:vAlign w:val="center"/>
          </w:tcPr>
          <w:p w14:paraId="3D9A56FA">
            <w:pPr>
              <w:pStyle w:val="24"/>
              <w:bidi w:val="0"/>
              <w:rPr>
                <w:rFonts w:hint="default"/>
                <w:color w:val="auto"/>
                <w:u w:val="none" w:color="auto"/>
                <w:lang w:val="en-US" w:eastAsia="zh-CN"/>
              </w:rPr>
            </w:pPr>
            <w:r>
              <w:rPr>
                <w:rFonts w:hint="eastAsia"/>
                <w:color w:val="auto"/>
                <w:u w:val="none" w:color="auto"/>
                <w:lang w:val="en-US" w:eastAsia="zh-CN"/>
              </w:rPr>
              <w:t>/</w:t>
            </w:r>
          </w:p>
        </w:tc>
      </w:tr>
      <w:tr w14:paraId="51E52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71D99C49">
            <w:pPr>
              <w:pStyle w:val="24"/>
              <w:bidi w:val="0"/>
              <w:rPr>
                <w:rFonts w:hint="eastAsia"/>
                <w:color w:val="auto"/>
                <w:u w:val="none" w:color="auto"/>
                <w:lang w:val="en-US" w:eastAsia="zh-CN"/>
              </w:rPr>
            </w:pPr>
          </w:p>
        </w:tc>
        <w:tc>
          <w:tcPr>
            <w:tcW w:w="1193" w:type="dxa"/>
            <w:tcBorders>
              <w:tl2br w:val="nil"/>
              <w:tr2bl w:val="nil"/>
            </w:tcBorders>
            <w:noWrap w:val="0"/>
            <w:vAlign w:val="center"/>
          </w:tcPr>
          <w:p w14:paraId="5FBC150A">
            <w:pPr>
              <w:pStyle w:val="24"/>
              <w:bidi w:val="0"/>
              <w:rPr>
                <w:rFonts w:hint="default"/>
                <w:color w:val="auto"/>
                <w:u w:val="none" w:color="auto"/>
                <w:lang w:val="en-US" w:eastAsia="zh-CN"/>
              </w:rPr>
            </w:pPr>
            <w:r>
              <w:rPr>
                <w:rFonts w:hint="eastAsia"/>
                <w:color w:val="auto"/>
                <w:u w:val="none" w:color="auto"/>
                <w:lang w:val="en-US" w:eastAsia="zh-CN"/>
              </w:rPr>
              <w:t>废水处理</w:t>
            </w:r>
          </w:p>
        </w:tc>
        <w:tc>
          <w:tcPr>
            <w:tcW w:w="1290" w:type="dxa"/>
            <w:tcBorders>
              <w:tl2br w:val="nil"/>
              <w:tr2bl w:val="nil"/>
            </w:tcBorders>
            <w:noWrap w:val="0"/>
            <w:vAlign w:val="center"/>
          </w:tcPr>
          <w:p w14:paraId="01DE7948">
            <w:pPr>
              <w:pStyle w:val="24"/>
              <w:bidi w:val="0"/>
              <w:rPr>
                <w:rFonts w:hint="default"/>
                <w:color w:val="auto"/>
                <w:u w:val="none" w:color="auto"/>
                <w:lang w:val="en-US" w:eastAsia="zh-CN"/>
              </w:rPr>
            </w:pPr>
            <w:r>
              <w:rPr>
                <w:rFonts w:hint="eastAsia"/>
                <w:color w:val="auto"/>
                <w:u w:val="none" w:color="auto"/>
                <w:lang w:val="en-US" w:eastAsia="zh-CN"/>
              </w:rPr>
              <w:t>循环沉淀池沉渣</w:t>
            </w:r>
          </w:p>
        </w:tc>
        <w:tc>
          <w:tcPr>
            <w:tcW w:w="2268" w:type="dxa"/>
            <w:tcBorders>
              <w:tl2br w:val="nil"/>
              <w:tr2bl w:val="nil"/>
            </w:tcBorders>
            <w:noWrap w:val="0"/>
            <w:vAlign w:val="center"/>
          </w:tcPr>
          <w:p w14:paraId="6B40157C">
            <w:pPr>
              <w:pStyle w:val="24"/>
              <w:bidi w:val="0"/>
              <w:rPr>
                <w:rFonts w:hint="default"/>
                <w:color w:val="auto"/>
                <w:u w:val="none" w:color="auto"/>
                <w:lang w:val="en-US" w:eastAsia="zh-CN"/>
              </w:rPr>
            </w:pPr>
            <w:r>
              <w:rPr>
                <w:rFonts w:hint="eastAsia"/>
                <w:color w:val="auto"/>
                <w:u w:val="none" w:color="auto"/>
                <w:lang w:val="en-US" w:eastAsia="zh-CN"/>
              </w:rPr>
              <w:t>定期清理，交由环卫部门处理</w:t>
            </w:r>
          </w:p>
        </w:tc>
        <w:tc>
          <w:tcPr>
            <w:tcW w:w="1095" w:type="dxa"/>
            <w:tcBorders>
              <w:tl2br w:val="nil"/>
              <w:tr2bl w:val="nil"/>
            </w:tcBorders>
            <w:noWrap w:val="0"/>
            <w:vAlign w:val="center"/>
          </w:tcPr>
          <w:p w14:paraId="2B7F13F3">
            <w:pPr>
              <w:pStyle w:val="24"/>
              <w:bidi w:val="0"/>
              <w:rPr>
                <w:rFonts w:hint="default"/>
                <w:color w:val="auto"/>
                <w:u w:val="none" w:color="auto"/>
                <w:lang w:val="en-US" w:eastAsia="zh-CN"/>
              </w:rPr>
            </w:pPr>
            <w:r>
              <w:rPr>
                <w:rFonts w:hint="eastAsia"/>
                <w:color w:val="auto"/>
                <w:u w:val="none" w:color="auto"/>
                <w:lang w:val="en-US" w:eastAsia="zh-CN"/>
              </w:rPr>
              <w:t>0.05</w:t>
            </w:r>
          </w:p>
        </w:tc>
        <w:tc>
          <w:tcPr>
            <w:tcW w:w="1728" w:type="dxa"/>
            <w:tcBorders>
              <w:tl2br w:val="nil"/>
              <w:tr2bl w:val="nil"/>
            </w:tcBorders>
            <w:noWrap w:val="0"/>
            <w:vAlign w:val="center"/>
          </w:tcPr>
          <w:p w14:paraId="1D3829A5">
            <w:pPr>
              <w:pStyle w:val="24"/>
              <w:bidi w:val="0"/>
              <w:rPr>
                <w:rFonts w:hint="default"/>
                <w:color w:val="auto"/>
                <w:u w:val="none" w:color="auto"/>
                <w:lang w:val="en-US" w:eastAsia="zh-CN"/>
              </w:rPr>
            </w:pPr>
            <w:r>
              <w:rPr>
                <w:rFonts w:hint="eastAsia"/>
                <w:color w:val="auto"/>
                <w:u w:val="none" w:color="auto"/>
                <w:lang w:val="en-US" w:eastAsia="zh-CN"/>
              </w:rPr>
              <w:t>/</w:t>
            </w:r>
          </w:p>
        </w:tc>
      </w:tr>
      <w:tr w14:paraId="1589B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245FDA05">
            <w:pPr>
              <w:pStyle w:val="24"/>
              <w:bidi w:val="0"/>
              <w:rPr>
                <w:rFonts w:hint="eastAsia"/>
                <w:color w:val="auto"/>
                <w:u w:val="none" w:color="auto"/>
                <w:lang w:val="en-US" w:eastAsia="zh-CN"/>
              </w:rPr>
            </w:pPr>
          </w:p>
        </w:tc>
        <w:tc>
          <w:tcPr>
            <w:tcW w:w="1193" w:type="dxa"/>
            <w:vMerge w:val="restart"/>
            <w:tcBorders>
              <w:tl2br w:val="nil"/>
              <w:tr2bl w:val="nil"/>
            </w:tcBorders>
            <w:noWrap w:val="0"/>
            <w:vAlign w:val="center"/>
          </w:tcPr>
          <w:p w14:paraId="6A1F8C71">
            <w:pPr>
              <w:pStyle w:val="24"/>
              <w:bidi w:val="0"/>
              <w:rPr>
                <w:rFonts w:hint="default"/>
                <w:color w:val="auto"/>
                <w:u w:val="none" w:color="auto"/>
                <w:lang w:val="en-US" w:eastAsia="zh-CN"/>
              </w:rPr>
            </w:pPr>
            <w:r>
              <w:rPr>
                <w:rFonts w:hint="eastAsia"/>
                <w:color w:val="auto"/>
                <w:u w:val="none" w:color="auto"/>
                <w:lang w:val="en-US" w:eastAsia="zh-CN"/>
              </w:rPr>
              <w:t>生产车间</w:t>
            </w:r>
          </w:p>
          <w:p w14:paraId="641613BF">
            <w:pPr>
              <w:pStyle w:val="24"/>
              <w:bidi w:val="0"/>
              <w:rPr>
                <w:rFonts w:hint="default"/>
                <w:color w:val="auto"/>
                <w:u w:val="none" w:color="auto"/>
                <w:lang w:val="en-US" w:eastAsia="zh-CN"/>
              </w:rPr>
            </w:pPr>
          </w:p>
        </w:tc>
        <w:tc>
          <w:tcPr>
            <w:tcW w:w="1290" w:type="dxa"/>
            <w:tcBorders>
              <w:tl2br w:val="nil"/>
              <w:tr2bl w:val="nil"/>
            </w:tcBorders>
            <w:noWrap w:val="0"/>
            <w:vAlign w:val="center"/>
          </w:tcPr>
          <w:p w14:paraId="1436C4FB">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一般性废包装材料</w:t>
            </w:r>
          </w:p>
        </w:tc>
        <w:tc>
          <w:tcPr>
            <w:tcW w:w="2268" w:type="dxa"/>
            <w:tcBorders>
              <w:tl2br w:val="nil"/>
              <w:tr2bl w:val="nil"/>
            </w:tcBorders>
            <w:noWrap w:val="0"/>
            <w:vAlign w:val="center"/>
          </w:tcPr>
          <w:p w14:paraId="78572A11">
            <w:pPr>
              <w:pStyle w:val="24"/>
              <w:bidi w:val="0"/>
              <w:rPr>
                <w:rFonts w:hint="default"/>
                <w:color w:val="auto"/>
                <w:u w:val="none" w:color="auto"/>
                <w:lang w:val="en-US" w:eastAsia="zh-CN"/>
              </w:rPr>
            </w:pPr>
            <w:r>
              <w:rPr>
                <w:rFonts w:hint="eastAsia"/>
                <w:color w:val="auto"/>
                <w:u w:val="none" w:color="auto"/>
                <w:lang w:val="en-US" w:eastAsia="zh-CN"/>
              </w:rPr>
              <w:t>交资源回收单位回收利用</w:t>
            </w:r>
          </w:p>
        </w:tc>
        <w:tc>
          <w:tcPr>
            <w:tcW w:w="1095" w:type="dxa"/>
            <w:tcBorders>
              <w:tl2br w:val="nil"/>
              <w:tr2bl w:val="nil"/>
            </w:tcBorders>
            <w:noWrap w:val="0"/>
            <w:vAlign w:val="center"/>
          </w:tcPr>
          <w:p w14:paraId="5FC0BD70">
            <w:pPr>
              <w:pStyle w:val="24"/>
              <w:bidi w:val="0"/>
              <w:rPr>
                <w:rFonts w:hint="default"/>
                <w:color w:val="auto"/>
                <w:u w:val="none" w:color="auto"/>
                <w:lang w:val="en-US" w:eastAsia="zh-CN"/>
              </w:rPr>
            </w:pPr>
            <w:r>
              <w:rPr>
                <w:rFonts w:hint="eastAsia"/>
                <w:color w:val="auto"/>
                <w:u w:val="none" w:color="auto"/>
                <w:lang w:val="en-US" w:eastAsia="zh-CN"/>
              </w:rPr>
              <w:t>2</w:t>
            </w:r>
          </w:p>
        </w:tc>
        <w:tc>
          <w:tcPr>
            <w:tcW w:w="1728" w:type="dxa"/>
            <w:tcBorders>
              <w:tl2br w:val="nil"/>
              <w:tr2bl w:val="nil"/>
            </w:tcBorders>
            <w:noWrap w:val="0"/>
            <w:vAlign w:val="center"/>
          </w:tcPr>
          <w:p w14:paraId="5DF98585">
            <w:pPr>
              <w:pStyle w:val="24"/>
              <w:bidi w:val="0"/>
              <w:rPr>
                <w:rFonts w:hint="default"/>
                <w:color w:val="auto"/>
                <w:u w:val="none" w:color="auto"/>
                <w:lang w:val="en-US" w:eastAsia="zh-CN"/>
              </w:rPr>
            </w:pPr>
            <w:r>
              <w:rPr>
                <w:rFonts w:hint="eastAsia"/>
                <w:color w:val="auto"/>
                <w:u w:val="none" w:color="auto"/>
                <w:lang w:val="en-US" w:eastAsia="zh-CN"/>
              </w:rPr>
              <w:t>/</w:t>
            </w:r>
          </w:p>
        </w:tc>
      </w:tr>
      <w:tr w14:paraId="28A65B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573383C0">
            <w:pPr>
              <w:pStyle w:val="24"/>
              <w:bidi w:val="0"/>
              <w:rPr>
                <w:rFonts w:hint="eastAsia"/>
                <w:color w:val="auto"/>
                <w:u w:val="none" w:color="auto"/>
                <w:lang w:val="en-US" w:eastAsia="zh-CN"/>
              </w:rPr>
            </w:pPr>
          </w:p>
        </w:tc>
        <w:tc>
          <w:tcPr>
            <w:tcW w:w="1193" w:type="dxa"/>
            <w:vMerge w:val="continue"/>
            <w:tcBorders>
              <w:tl2br w:val="nil"/>
              <w:tr2bl w:val="nil"/>
            </w:tcBorders>
            <w:noWrap w:val="0"/>
            <w:vAlign w:val="center"/>
          </w:tcPr>
          <w:p w14:paraId="273FA20C">
            <w:pPr>
              <w:pStyle w:val="24"/>
              <w:bidi w:val="0"/>
              <w:rPr>
                <w:rFonts w:hint="eastAsia"/>
                <w:color w:val="auto"/>
                <w:u w:val="none" w:color="auto"/>
                <w:lang w:val="en-US" w:eastAsia="zh-CN"/>
              </w:rPr>
            </w:pPr>
          </w:p>
        </w:tc>
        <w:tc>
          <w:tcPr>
            <w:tcW w:w="1290" w:type="dxa"/>
            <w:tcBorders>
              <w:tl2br w:val="nil"/>
              <w:tr2bl w:val="nil"/>
            </w:tcBorders>
            <w:noWrap w:val="0"/>
            <w:vAlign w:val="center"/>
          </w:tcPr>
          <w:p w14:paraId="4F03B0A1">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不合格品、边角料</w:t>
            </w:r>
          </w:p>
        </w:tc>
        <w:tc>
          <w:tcPr>
            <w:tcW w:w="2268" w:type="dxa"/>
            <w:vMerge w:val="restart"/>
            <w:tcBorders>
              <w:tl2br w:val="nil"/>
              <w:tr2bl w:val="nil"/>
            </w:tcBorders>
            <w:noWrap w:val="0"/>
            <w:vAlign w:val="center"/>
          </w:tcPr>
          <w:p w14:paraId="5F22C519">
            <w:pPr>
              <w:pStyle w:val="24"/>
              <w:bidi w:val="0"/>
              <w:rPr>
                <w:rFonts w:hint="eastAsia"/>
                <w:color w:val="auto"/>
                <w:u w:val="none" w:color="auto"/>
                <w:lang w:val="en-US" w:eastAsia="zh-CN"/>
              </w:rPr>
            </w:pPr>
            <w:r>
              <w:rPr>
                <w:rFonts w:hint="eastAsia" w:cs="Times New Roman"/>
                <w:color w:val="auto"/>
                <w:kern w:val="2"/>
                <w:sz w:val="21"/>
                <w:szCs w:val="21"/>
                <w:u w:val="none" w:color="auto"/>
                <w:lang w:val="en-US" w:eastAsia="zh-CN" w:bidi="ar-SA"/>
              </w:rPr>
              <w:t>收集后回用于生产</w:t>
            </w:r>
          </w:p>
        </w:tc>
        <w:tc>
          <w:tcPr>
            <w:tcW w:w="1095" w:type="dxa"/>
            <w:tcBorders>
              <w:tl2br w:val="nil"/>
              <w:tr2bl w:val="nil"/>
            </w:tcBorders>
            <w:noWrap w:val="0"/>
            <w:vAlign w:val="center"/>
          </w:tcPr>
          <w:p w14:paraId="66593B2C">
            <w:pPr>
              <w:pStyle w:val="24"/>
              <w:bidi w:val="0"/>
              <w:rPr>
                <w:rFonts w:hint="default"/>
                <w:color w:val="auto"/>
                <w:u w:val="none" w:color="auto"/>
                <w:lang w:val="en-US" w:eastAsia="zh-CN"/>
              </w:rPr>
            </w:pPr>
            <w:r>
              <w:rPr>
                <w:rFonts w:hint="eastAsia"/>
                <w:color w:val="auto"/>
                <w:u w:val="none" w:color="auto"/>
                <w:lang w:val="en-US" w:eastAsia="zh-CN"/>
              </w:rPr>
              <w:t>950</w:t>
            </w:r>
          </w:p>
        </w:tc>
        <w:tc>
          <w:tcPr>
            <w:tcW w:w="1728" w:type="dxa"/>
            <w:tcBorders>
              <w:tl2br w:val="nil"/>
              <w:tr2bl w:val="nil"/>
            </w:tcBorders>
            <w:noWrap w:val="0"/>
            <w:vAlign w:val="center"/>
          </w:tcPr>
          <w:p w14:paraId="6834F53B">
            <w:pPr>
              <w:pStyle w:val="24"/>
              <w:bidi w:val="0"/>
              <w:rPr>
                <w:rFonts w:hint="default"/>
                <w:color w:val="auto"/>
                <w:u w:val="none" w:color="auto"/>
                <w:lang w:val="en-US" w:eastAsia="zh-CN"/>
              </w:rPr>
            </w:pPr>
            <w:r>
              <w:rPr>
                <w:rFonts w:hint="eastAsia"/>
                <w:color w:val="auto"/>
                <w:u w:val="none" w:color="auto"/>
                <w:lang w:val="en-US" w:eastAsia="zh-CN"/>
              </w:rPr>
              <w:t>/</w:t>
            </w:r>
          </w:p>
        </w:tc>
      </w:tr>
      <w:tr w14:paraId="5B710E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4DC1AB5F">
            <w:pPr>
              <w:pStyle w:val="24"/>
              <w:bidi w:val="0"/>
              <w:rPr>
                <w:rFonts w:hint="eastAsia"/>
                <w:color w:val="auto"/>
                <w:u w:val="none" w:color="auto"/>
                <w:lang w:val="en-US" w:eastAsia="zh-CN"/>
              </w:rPr>
            </w:pPr>
          </w:p>
        </w:tc>
        <w:tc>
          <w:tcPr>
            <w:tcW w:w="1193" w:type="dxa"/>
            <w:vMerge w:val="continue"/>
            <w:tcBorders>
              <w:tl2br w:val="nil"/>
              <w:tr2bl w:val="nil"/>
            </w:tcBorders>
            <w:noWrap w:val="0"/>
            <w:vAlign w:val="center"/>
          </w:tcPr>
          <w:p w14:paraId="360B5C8C">
            <w:pPr>
              <w:pStyle w:val="24"/>
              <w:bidi w:val="0"/>
              <w:rPr>
                <w:rFonts w:hint="eastAsia"/>
                <w:color w:val="auto"/>
                <w:u w:val="none" w:color="auto"/>
                <w:lang w:val="en-US" w:eastAsia="zh-CN"/>
              </w:rPr>
            </w:pPr>
          </w:p>
        </w:tc>
        <w:tc>
          <w:tcPr>
            <w:tcW w:w="1290" w:type="dxa"/>
            <w:tcBorders>
              <w:tl2br w:val="nil"/>
              <w:tr2bl w:val="nil"/>
            </w:tcBorders>
            <w:noWrap w:val="0"/>
            <w:vAlign w:val="center"/>
          </w:tcPr>
          <w:p w14:paraId="2363EE8B">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除尘系统收集的粉尘</w:t>
            </w:r>
          </w:p>
        </w:tc>
        <w:tc>
          <w:tcPr>
            <w:tcW w:w="2268" w:type="dxa"/>
            <w:vMerge w:val="continue"/>
            <w:tcBorders>
              <w:tl2br w:val="nil"/>
              <w:tr2bl w:val="nil"/>
            </w:tcBorders>
            <w:noWrap w:val="0"/>
            <w:vAlign w:val="center"/>
          </w:tcPr>
          <w:p w14:paraId="0615AC93">
            <w:pPr>
              <w:pStyle w:val="24"/>
              <w:bidi w:val="0"/>
              <w:rPr>
                <w:rFonts w:hint="eastAsia"/>
                <w:color w:val="auto"/>
                <w:u w:val="none" w:color="auto"/>
                <w:lang w:val="en-US" w:eastAsia="zh-CN"/>
              </w:rPr>
            </w:pPr>
          </w:p>
        </w:tc>
        <w:tc>
          <w:tcPr>
            <w:tcW w:w="1095" w:type="dxa"/>
            <w:tcBorders>
              <w:tl2br w:val="nil"/>
              <w:tr2bl w:val="nil"/>
            </w:tcBorders>
            <w:noWrap w:val="0"/>
            <w:vAlign w:val="center"/>
          </w:tcPr>
          <w:p w14:paraId="6BB5FE70">
            <w:pPr>
              <w:pStyle w:val="24"/>
              <w:bidi w:val="0"/>
              <w:rPr>
                <w:rFonts w:hint="default"/>
                <w:color w:val="auto"/>
                <w:u w:val="none" w:color="auto"/>
                <w:lang w:val="en-US" w:eastAsia="zh-CN"/>
              </w:rPr>
            </w:pPr>
            <w:r>
              <w:rPr>
                <w:rFonts w:hint="eastAsia"/>
                <w:color w:val="auto"/>
                <w:u w:val="none" w:color="auto"/>
                <w:lang w:val="en-US" w:eastAsia="zh-CN"/>
              </w:rPr>
              <w:t>10.834</w:t>
            </w:r>
          </w:p>
        </w:tc>
        <w:tc>
          <w:tcPr>
            <w:tcW w:w="1728" w:type="dxa"/>
            <w:tcBorders>
              <w:tl2br w:val="nil"/>
              <w:tr2bl w:val="nil"/>
            </w:tcBorders>
            <w:noWrap w:val="0"/>
            <w:vAlign w:val="center"/>
          </w:tcPr>
          <w:p w14:paraId="72543A6B">
            <w:pPr>
              <w:pStyle w:val="24"/>
              <w:bidi w:val="0"/>
              <w:rPr>
                <w:rFonts w:hint="default"/>
                <w:color w:val="auto"/>
                <w:u w:val="none" w:color="auto"/>
                <w:lang w:val="en-US" w:eastAsia="zh-CN"/>
              </w:rPr>
            </w:pPr>
            <w:r>
              <w:rPr>
                <w:rFonts w:hint="eastAsia"/>
                <w:color w:val="auto"/>
                <w:u w:val="none" w:color="auto"/>
                <w:lang w:val="en-US" w:eastAsia="zh-CN"/>
              </w:rPr>
              <w:t>/</w:t>
            </w:r>
          </w:p>
        </w:tc>
      </w:tr>
      <w:tr w14:paraId="726461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7FB18ED3">
            <w:pPr>
              <w:pStyle w:val="24"/>
              <w:bidi w:val="0"/>
              <w:rPr>
                <w:rFonts w:hint="eastAsia"/>
                <w:color w:val="auto"/>
                <w:u w:val="none" w:color="auto"/>
                <w:lang w:val="en-US" w:eastAsia="zh-CN"/>
              </w:rPr>
            </w:pPr>
          </w:p>
        </w:tc>
        <w:tc>
          <w:tcPr>
            <w:tcW w:w="1193" w:type="dxa"/>
            <w:vMerge w:val="continue"/>
            <w:tcBorders>
              <w:tl2br w:val="nil"/>
              <w:tr2bl w:val="nil"/>
            </w:tcBorders>
            <w:noWrap w:val="0"/>
            <w:vAlign w:val="center"/>
          </w:tcPr>
          <w:p w14:paraId="78DA30D3">
            <w:pPr>
              <w:pStyle w:val="24"/>
              <w:bidi w:val="0"/>
              <w:rPr>
                <w:rFonts w:hint="eastAsia"/>
                <w:color w:val="auto"/>
                <w:u w:val="none" w:color="auto"/>
                <w:lang w:val="en-US" w:eastAsia="zh-CN"/>
              </w:rPr>
            </w:pPr>
          </w:p>
        </w:tc>
        <w:tc>
          <w:tcPr>
            <w:tcW w:w="1290" w:type="dxa"/>
            <w:tcBorders>
              <w:tl2br w:val="nil"/>
              <w:tr2bl w:val="nil"/>
            </w:tcBorders>
            <w:noWrap w:val="0"/>
            <w:vAlign w:val="center"/>
          </w:tcPr>
          <w:p w14:paraId="09A9C6AD">
            <w:pPr>
              <w:pStyle w:val="24"/>
              <w:bidi w:val="0"/>
              <w:rPr>
                <w:rFonts w:hint="default"/>
                <w:color w:val="auto"/>
                <w:u w:val="none" w:color="auto"/>
                <w:lang w:val="en-US" w:eastAsia="zh-CN"/>
              </w:rPr>
            </w:pPr>
            <w:r>
              <w:rPr>
                <w:rFonts w:hint="eastAsia"/>
                <w:color w:val="auto"/>
                <w:u w:val="none" w:color="auto"/>
                <w:lang w:val="en-US" w:eastAsia="zh-CN"/>
              </w:rPr>
              <w:t>白乳胶桶</w:t>
            </w:r>
          </w:p>
        </w:tc>
        <w:tc>
          <w:tcPr>
            <w:tcW w:w="2268" w:type="dxa"/>
            <w:tcBorders>
              <w:tl2br w:val="nil"/>
              <w:tr2bl w:val="nil"/>
            </w:tcBorders>
            <w:noWrap w:val="0"/>
            <w:vAlign w:val="center"/>
          </w:tcPr>
          <w:p w14:paraId="67F47ECF">
            <w:pPr>
              <w:pStyle w:val="24"/>
              <w:bidi w:val="0"/>
              <w:rPr>
                <w:rFonts w:hint="default"/>
                <w:color w:val="auto"/>
                <w:u w:val="none" w:color="auto"/>
                <w:lang w:val="en-US" w:eastAsia="zh-CN"/>
              </w:rPr>
            </w:pPr>
            <w:r>
              <w:rPr>
                <w:rFonts w:hint="eastAsia"/>
                <w:color w:val="auto"/>
                <w:u w:val="none" w:color="auto"/>
                <w:lang w:val="en-US" w:eastAsia="zh-CN"/>
              </w:rPr>
              <w:t>交由厂家回收处理</w:t>
            </w:r>
          </w:p>
        </w:tc>
        <w:tc>
          <w:tcPr>
            <w:tcW w:w="1095" w:type="dxa"/>
            <w:tcBorders>
              <w:tl2br w:val="nil"/>
              <w:tr2bl w:val="nil"/>
            </w:tcBorders>
            <w:noWrap w:val="0"/>
            <w:vAlign w:val="center"/>
          </w:tcPr>
          <w:p w14:paraId="3D5589B4">
            <w:pPr>
              <w:pStyle w:val="24"/>
              <w:bidi w:val="0"/>
              <w:rPr>
                <w:rFonts w:hint="default"/>
                <w:color w:val="auto"/>
                <w:u w:val="none" w:color="auto"/>
                <w:lang w:val="en-US" w:eastAsia="zh-CN"/>
              </w:rPr>
            </w:pPr>
            <w:r>
              <w:rPr>
                <w:rFonts w:hint="eastAsia"/>
                <w:color w:val="auto"/>
                <w:u w:val="none" w:color="auto"/>
                <w:lang w:val="en-US" w:eastAsia="zh-CN"/>
              </w:rPr>
              <w:t>0.2</w:t>
            </w:r>
          </w:p>
        </w:tc>
        <w:tc>
          <w:tcPr>
            <w:tcW w:w="1728" w:type="dxa"/>
            <w:tcBorders>
              <w:tl2br w:val="nil"/>
              <w:tr2bl w:val="nil"/>
            </w:tcBorders>
            <w:noWrap w:val="0"/>
            <w:vAlign w:val="center"/>
          </w:tcPr>
          <w:p w14:paraId="33C1073E">
            <w:pPr>
              <w:pStyle w:val="24"/>
              <w:bidi w:val="0"/>
              <w:rPr>
                <w:rFonts w:hint="default"/>
                <w:color w:val="auto"/>
                <w:u w:val="none" w:color="auto"/>
                <w:lang w:val="en-US" w:eastAsia="zh-CN"/>
              </w:rPr>
            </w:pPr>
            <w:r>
              <w:rPr>
                <w:rFonts w:hint="eastAsia"/>
                <w:color w:val="auto"/>
                <w:u w:val="none" w:color="auto"/>
                <w:lang w:val="en-US" w:eastAsia="zh-CN"/>
              </w:rPr>
              <w:t>/</w:t>
            </w:r>
          </w:p>
        </w:tc>
      </w:tr>
      <w:tr w14:paraId="5DE45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70B5A68C">
            <w:pPr>
              <w:pStyle w:val="24"/>
              <w:bidi w:val="0"/>
              <w:rPr>
                <w:rFonts w:hint="eastAsia"/>
                <w:color w:val="auto"/>
                <w:u w:val="none" w:color="auto"/>
                <w:lang w:val="en-US" w:eastAsia="zh-CN"/>
              </w:rPr>
            </w:pPr>
          </w:p>
        </w:tc>
        <w:tc>
          <w:tcPr>
            <w:tcW w:w="1193" w:type="dxa"/>
            <w:vMerge w:val="restart"/>
            <w:tcBorders>
              <w:tl2br w:val="nil"/>
              <w:tr2bl w:val="nil"/>
            </w:tcBorders>
            <w:noWrap w:val="0"/>
            <w:vAlign w:val="center"/>
          </w:tcPr>
          <w:p w14:paraId="2532619F">
            <w:pPr>
              <w:pStyle w:val="24"/>
              <w:bidi w:val="0"/>
              <w:rPr>
                <w:rFonts w:hint="eastAsia"/>
                <w:color w:val="auto"/>
                <w:u w:val="none" w:color="auto"/>
                <w:lang w:val="en-US" w:eastAsia="zh-CN"/>
              </w:rPr>
            </w:pPr>
            <w:r>
              <w:rPr>
                <w:rFonts w:hint="eastAsia"/>
                <w:color w:val="auto"/>
                <w:u w:val="none" w:color="auto"/>
                <w:lang w:val="en-US" w:eastAsia="zh-CN"/>
              </w:rPr>
              <w:t>废气处理</w:t>
            </w:r>
          </w:p>
        </w:tc>
        <w:tc>
          <w:tcPr>
            <w:tcW w:w="1290" w:type="dxa"/>
            <w:tcBorders>
              <w:tl2br w:val="nil"/>
              <w:tr2bl w:val="nil"/>
            </w:tcBorders>
            <w:noWrap w:val="0"/>
            <w:vAlign w:val="center"/>
          </w:tcPr>
          <w:p w14:paraId="53A3841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废活性炭</w:t>
            </w:r>
          </w:p>
        </w:tc>
        <w:tc>
          <w:tcPr>
            <w:tcW w:w="2268" w:type="dxa"/>
            <w:tcBorders>
              <w:tl2br w:val="nil"/>
              <w:tr2bl w:val="nil"/>
            </w:tcBorders>
            <w:noWrap w:val="0"/>
            <w:vAlign w:val="center"/>
          </w:tcPr>
          <w:p w14:paraId="2E58EBC7">
            <w:pPr>
              <w:pStyle w:val="24"/>
              <w:bidi w:val="0"/>
              <w:rPr>
                <w:rFonts w:hint="eastAsia"/>
                <w:color w:val="auto"/>
                <w:u w:val="none" w:color="auto"/>
                <w:lang w:val="en-US" w:eastAsia="zh-CN"/>
              </w:rPr>
            </w:pPr>
            <w:r>
              <w:rPr>
                <w:rFonts w:hint="eastAsia"/>
                <w:color w:val="auto"/>
                <w:u w:val="none" w:color="auto"/>
                <w:lang w:val="en-US" w:eastAsia="zh-CN"/>
              </w:rPr>
              <w:t>暂存于危废暂存间，定期交由湖南瀚洋环保科技有限公司进行处置</w:t>
            </w:r>
          </w:p>
        </w:tc>
        <w:tc>
          <w:tcPr>
            <w:tcW w:w="1095" w:type="dxa"/>
            <w:tcBorders>
              <w:tl2br w:val="nil"/>
              <w:tr2bl w:val="nil"/>
            </w:tcBorders>
            <w:noWrap w:val="0"/>
            <w:vAlign w:val="center"/>
          </w:tcPr>
          <w:p w14:paraId="3F17439E">
            <w:pPr>
              <w:pStyle w:val="24"/>
              <w:bidi w:val="0"/>
              <w:rPr>
                <w:rFonts w:hint="default"/>
                <w:color w:val="auto"/>
                <w:u w:val="none" w:color="auto"/>
                <w:lang w:val="en-US" w:eastAsia="zh-CN"/>
              </w:rPr>
            </w:pPr>
            <w:r>
              <w:rPr>
                <w:rFonts w:hint="eastAsia"/>
                <w:color w:val="auto"/>
                <w:u w:val="none" w:color="auto"/>
                <w:lang w:val="en-US" w:eastAsia="zh-CN"/>
              </w:rPr>
              <w:t>18.418</w:t>
            </w:r>
          </w:p>
        </w:tc>
        <w:tc>
          <w:tcPr>
            <w:tcW w:w="1728" w:type="dxa"/>
            <w:tcBorders>
              <w:tl2br w:val="nil"/>
              <w:tr2bl w:val="nil"/>
            </w:tcBorders>
            <w:noWrap w:val="0"/>
            <w:vAlign w:val="center"/>
          </w:tcPr>
          <w:p w14:paraId="59FF13E2">
            <w:pPr>
              <w:pStyle w:val="24"/>
              <w:bidi w:val="0"/>
              <w:rPr>
                <w:rFonts w:hint="default"/>
                <w:color w:val="auto"/>
                <w:u w:val="none" w:color="auto"/>
                <w:lang w:val="en-US" w:eastAsia="zh-CN"/>
              </w:rPr>
            </w:pPr>
            <w:r>
              <w:rPr>
                <w:rFonts w:hint="eastAsia"/>
                <w:color w:val="auto"/>
                <w:u w:val="none" w:color="auto"/>
                <w:lang w:val="en-US" w:eastAsia="zh-CN"/>
              </w:rPr>
              <w:t>/</w:t>
            </w:r>
          </w:p>
        </w:tc>
      </w:tr>
      <w:tr w14:paraId="6AD4A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76E82394">
            <w:pPr>
              <w:pStyle w:val="24"/>
              <w:bidi w:val="0"/>
              <w:rPr>
                <w:rFonts w:hint="eastAsia"/>
                <w:color w:val="auto"/>
                <w:u w:val="none" w:color="auto"/>
                <w:lang w:val="en-US" w:eastAsia="zh-CN"/>
              </w:rPr>
            </w:pPr>
          </w:p>
        </w:tc>
        <w:tc>
          <w:tcPr>
            <w:tcW w:w="1193" w:type="dxa"/>
            <w:vMerge w:val="continue"/>
            <w:tcBorders>
              <w:tl2br w:val="nil"/>
              <w:tr2bl w:val="nil"/>
            </w:tcBorders>
            <w:noWrap w:val="0"/>
            <w:vAlign w:val="center"/>
          </w:tcPr>
          <w:p w14:paraId="34BDFE62">
            <w:pPr>
              <w:pStyle w:val="24"/>
              <w:bidi w:val="0"/>
              <w:rPr>
                <w:rFonts w:hint="eastAsia" w:ascii="Times New Roman" w:hAnsi="Times New Roman" w:eastAsia="宋体" w:cs="Times New Roman"/>
                <w:color w:val="auto"/>
                <w:kern w:val="2"/>
                <w:sz w:val="21"/>
                <w:szCs w:val="21"/>
                <w:u w:val="none" w:color="auto"/>
                <w:lang w:val="en-US" w:eastAsia="zh-CN" w:bidi="ar-SA"/>
              </w:rPr>
            </w:pPr>
          </w:p>
        </w:tc>
        <w:tc>
          <w:tcPr>
            <w:tcW w:w="1290" w:type="dxa"/>
            <w:tcBorders>
              <w:tl2br w:val="nil"/>
              <w:tr2bl w:val="nil"/>
            </w:tcBorders>
            <w:noWrap w:val="0"/>
            <w:vAlign w:val="center"/>
          </w:tcPr>
          <w:p w14:paraId="21A918E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废UV灯管</w:t>
            </w:r>
          </w:p>
        </w:tc>
        <w:tc>
          <w:tcPr>
            <w:tcW w:w="2268" w:type="dxa"/>
            <w:tcBorders>
              <w:tl2br w:val="nil"/>
              <w:tr2bl w:val="nil"/>
            </w:tcBorders>
            <w:noWrap w:val="0"/>
            <w:vAlign w:val="center"/>
          </w:tcPr>
          <w:p w14:paraId="49AA87B7">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暂存于危废暂存间，定期交由湖南瀚洋环保科技有限公司进行处置</w:t>
            </w:r>
          </w:p>
        </w:tc>
        <w:tc>
          <w:tcPr>
            <w:tcW w:w="1095" w:type="dxa"/>
            <w:tcBorders>
              <w:tl2br w:val="nil"/>
              <w:tr2bl w:val="nil"/>
            </w:tcBorders>
            <w:noWrap w:val="0"/>
            <w:vAlign w:val="center"/>
          </w:tcPr>
          <w:p w14:paraId="2A114795">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0.001</w:t>
            </w:r>
          </w:p>
        </w:tc>
        <w:tc>
          <w:tcPr>
            <w:tcW w:w="1728" w:type="dxa"/>
            <w:tcBorders>
              <w:tl2br w:val="nil"/>
              <w:tr2bl w:val="nil"/>
            </w:tcBorders>
            <w:noWrap w:val="0"/>
            <w:vAlign w:val="center"/>
          </w:tcPr>
          <w:p w14:paraId="095A2FB8">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w:t>
            </w:r>
          </w:p>
        </w:tc>
      </w:tr>
      <w:tr w14:paraId="4043D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vMerge w:val="continue"/>
            <w:tcBorders>
              <w:tl2br w:val="nil"/>
              <w:tr2bl w:val="nil"/>
            </w:tcBorders>
            <w:noWrap w:val="0"/>
            <w:vAlign w:val="center"/>
          </w:tcPr>
          <w:p w14:paraId="22CF3BC5">
            <w:pPr>
              <w:pStyle w:val="24"/>
              <w:bidi w:val="0"/>
              <w:rPr>
                <w:rFonts w:hint="eastAsia"/>
                <w:color w:val="auto"/>
                <w:u w:val="none" w:color="auto"/>
                <w:lang w:val="en-US" w:eastAsia="zh-CN"/>
              </w:rPr>
            </w:pPr>
          </w:p>
        </w:tc>
        <w:tc>
          <w:tcPr>
            <w:tcW w:w="1193" w:type="dxa"/>
            <w:tcBorders>
              <w:tl2br w:val="nil"/>
              <w:tr2bl w:val="nil"/>
            </w:tcBorders>
            <w:noWrap w:val="0"/>
            <w:vAlign w:val="center"/>
          </w:tcPr>
          <w:p w14:paraId="4C1362E3">
            <w:pPr>
              <w:pStyle w:val="24"/>
              <w:bidi w:val="0"/>
              <w:rPr>
                <w:rFonts w:hint="default"/>
                <w:color w:val="auto"/>
                <w:u w:val="none" w:color="auto"/>
                <w:lang w:val="en-US" w:eastAsia="zh-CN"/>
              </w:rPr>
            </w:pPr>
            <w:r>
              <w:rPr>
                <w:rFonts w:hint="eastAsia"/>
                <w:color w:val="auto"/>
                <w:u w:val="none" w:color="auto"/>
                <w:lang w:val="en-US" w:eastAsia="zh-CN"/>
              </w:rPr>
              <w:t>设备维护</w:t>
            </w:r>
          </w:p>
        </w:tc>
        <w:tc>
          <w:tcPr>
            <w:tcW w:w="1290" w:type="dxa"/>
            <w:tcBorders>
              <w:tl2br w:val="nil"/>
              <w:tr2bl w:val="nil"/>
            </w:tcBorders>
            <w:noWrap w:val="0"/>
            <w:vAlign w:val="center"/>
          </w:tcPr>
          <w:p w14:paraId="1F01A65F">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废润滑油</w:t>
            </w:r>
          </w:p>
        </w:tc>
        <w:tc>
          <w:tcPr>
            <w:tcW w:w="2268" w:type="dxa"/>
            <w:tcBorders>
              <w:tl2br w:val="nil"/>
              <w:tr2bl w:val="nil"/>
            </w:tcBorders>
            <w:noWrap w:val="0"/>
            <w:vAlign w:val="center"/>
          </w:tcPr>
          <w:p w14:paraId="4D522758">
            <w:pPr>
              <w:pStyle w:val="24"/>
              <w:bidi w:val="0"/>
              <w:rPr>
                <w:rFonts w:hint="eastAsia"/>
                <w:color w:val="auto"/>
                <w:u w:val="none" w:color="auto"/>
                <w:lang w:val="en-US" w:eastAsia="zh-CN"/>
              </w:rPr>
            </w:pPr>
            <w:r>
              <w:rPr>
                <w:rFonts w:hint="eastAsia"/>
                <w:color w:val="auto"/>
                <w:u w:val="none" w:color="auto"/>
                <w:lang w:val="en-US" w:eastAsia="zh-CN"/>
              </w:rPr>
              <w:t>暂存于危废暂存间，定期交由湖南瀚洋环保科技有限公司进行处置</w:t>
            </w:r>
          </w:p>
        </w:tc>
        <w:tc>
          <w:tcPr>
            <w:tcW w:w="1095" w:type="dxa"/>
            <w:tcBorders>
              <w:tl2br w:val="nil"/>
              <w:tr2bl w:val="nil"/>
            </w:tcBorders>
            <w:noWrap w:val="0"/>
            <w:vAlign w:val="center"/>
          </w:tcPr>
          <w:p w14:paraId="3CE08866">
            <w:pPr>
              <w:pStyle w:val="24"/>
              <w:bidi w:val="0"/>
              <w:rPr>
                <w:rFonts w:hint="default"/>
                <w:color w:val="auto"/>
                <w:u w:val="none" w:color="auto"/>
                <w:lang w:val="en-US" w:eastAsia="zh-CN"/>
              </w:rPr>
            </w:pPr>
            <w:r>
              <w:rPr>
                <w:rFonts w:hint="eastAsia"/>
                <w:color w:val="auto"/>
                <w:u w:val="none" w:color="auto"/>
                <w:lang w:val="en-US" w:eastAsia="zh-CN"/>
              </w:rPr>
              <w:t>0.01</w:t>
            </w:r>
          </w:p>
        </w:tc>
        <w:tc>
          <w:tcPr>
            <w:tcW w:w="1728" w:type="dxa"/>
            <w:tcBorders>
              <w:tl2br w:val="nil"/>
              <w:tr2bl w:val="nil"/>
            </w:tcBorders>
            <w:noWrap w:val="0"/>
            <w:vAlign w:val="center"/>
          </w:tcPr>
          <w:p w14:paraId="562FD1CF">
            <w:pPr>
              <w:pStyle w:val="24"/>
              <w:bidi w:val="0"/>
              <w:rPr>
                <w:rFonts w:hint="default"/>
                <w:color w:val="auto"/>
                <w:u w:val="none" w:color="auto"/>
                <w:lang w:val="en-US" w:eastAsia="zh-CN"/>
              </w:rPr>
            </w:pPr>
            <w:r>
              <w:rPr>
                <w:rFonts w:hint="eastAsia"/>
                <w:color w:val="auto"/>
                <w:u w:val="none" w:color="auto"/>
                <w:lang w:val="en-US" w:eastAsia="zh-CN"/>
              </w:rPr>
              <w:t>/</w:t>
            </w:r>
          </w:p>
        </w:tc>
      </w:tr>
      <w:tr w14:paraId="3BA4A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930" w:type="dxa"/>
            <w:tcBorders>
              <w:tl2br w:val="nil"/>
              <w:tr2bl w:val="nil"/>
            </w:tcBorders>
            <w:noWrap w:val="0"/>
            <w:vAlign w:val="center"/>
          </w:tcPr>
          <w:p w14:paraId="65971A43">
            <w:pPr>
              <w:pStyle w:val="24"/>
              <w:bidi w:val="0"/>
              <w:rPr>
                <w:rFonts w:hint="default"/>
                <w:color w:val="auto"/>
                <w:u w:val="none" w:color="auto"/>
                <w:lang w:val="en-US" w:eastAsia="zh-CN"/>
              </w:rPr>
            </w:pPr>
            <w:r>
              <w:rPr>
                <w:rFonts w:hint="eastAsia"/>
                <w:color w:val="auto"/>
                <w:u w:val="none" w:color="auto"/>
                <w:lang w:val="en-US" w:eastAsia="zh-CN"/>
              </w:rPr>
              <w:t>噪声</w:t>
            </w:r>
          </w:p>
        </w:tc>
        <w:tc>
          <w:tcPr>
            <w:tcW w:w="1193" w:type="dxa"/>
            <w:tcBorders>
              <w:tl2br w:val="nil"/>
              <w:tr2bl w:val="nil"/>
            </w:tcBorders>
            <w:noWrap w:val="0"/>
            <w:vAlign w:val="center"/>
          </w:tcPr>
          <w:p w14:paraId="2492C95D">
            <w:pPr>
              <w:pStyle w:val="24"/>
              <w:bidi w:val="0"/>
              <w:rPr>
                <w:rFonts w:hint="default"/>
                <w:color w:val="auto"/>
                <w:u w:val="none" w:color="auto"/>
                <w:lang w:val="en-US" w:eastAsia="zh-CN"/>
              </w:rPr>
            </w:pPr>
            <w:r>
              <w:rPr>
                <w:rFonts w:hint="eastAsia"/>
                <w:color w:val="auto"/>
                <w:u w:val="none" w:color="auto"/>
                <w:lang w:val="en-US" w:eastAsia="zh-CN"/>
              </w:rPr>
              <w:t>生产设备、各类机泵</w:t>
            </w:r>
          </w:p>
        </w:tc>
        <w:tc>
          <w:tcPr>
            <w:tcW w:w="1290" w:type="dxa"/>
            <w:tcBorders>
              <w:tl2br w:val="nil"/>
              <w:tr2bl w:val="nil"/>
            </w:tcBorders>
            <w:noWrap w:val="0"/>
            <w:vAlign w:val="center"/>
          </w:tcPr>
          <w:p w14:paraId="517E653D">
            <w:pPr>
              <w:pStyle w:val="24"/>
              <w:bidi w:val="0"/>
              <w:rPr>
                <w:rFonts w:hint="default"/>
                <w:color w:val="auto"/>
                <w:u w:val="none" w:color="auto"/>
                <w:lang w:val="en-US" w:eastAsia="zh-CN"/>
              </w:rPr>
            </w:pPr>
            <w:r>
              <w:rPr>
                <w:rFonts w:hint="eastAsia"/>
                <w:color w:val="auto"/>
                <w:u w:val="none" w:color="auto"/>
                <w:lang w:val="en-US" w:eastAsia="zh-CN"/>
              </w:rPr>
              <w:t>噪声</w:t>
            </w:r>
          </w:p>
        </w:tc>
        <w:tc>
          <w:tcPr>
            <w:tcW w:w="2268" w:type="dxa"/>
            <w:tcBorders>
              <w:tl2br w:val="nil"/>
              <w:tr2bl w:val="nil"/>
            </w:tcBorders>
            <w:noWrap w:val="0"/>
            <w:vAlign w:val="center"/>
          </w:tcPr>
          <w:p w14:paraId="34E0396A">
            <w:pPr>
              <w:pStyle w:val="24"/>
              <w:bidi w:val="0"/>
              <w:rPr>
                <w:rFonts w:hint="default"/>
                <w:color w:val="auto"/>
                <w:u w:val="none" w:color="auto"/>
                <w:lang w:val="en-US" w:eastAsia="zh-CN"/>
              </w:rPr>
            </w:pPr>
            <w:r>
              <w:rPr>
                <w:rFonts w:hint="eastAsia"/>
                <w:color w:val="auto"/>
                <w:u w:val="none" w:color="auto"/>
                <w:lang w:val="en-US" w:eastAsia="zh-CN"/>
              </w:rPr>
              <w:t>隔声、基础减振、消声等</w:t>
            </w:r>
          </w:p>
        </w:tc>
        <w:tc>
          <w:tcPr>
            <w:tcW w:w="1095" w:type="dxa"/>
            <w:tcBorders>
              <w:tl2br w:val="nil"/>
              <w:tr2bl w:val="nil"/>
            </w:tcBorders>
            <w:noWrap w:val="0"/>
            <w:vAlign w:val="center"/>
          </w:tcPr>
          <w:p w14:paraId="6C5E726A">
            <w:pPr>
              <w:pStyle w:val="24"/>
              <w:bidi w:val="0"/>
              <w:rPr>
                <w:rFonts w:hint="default"/>
                <w:color w:val="auto"/>
                <w:u w:val="none" w:color="auto"/>
                <w:lang w:val="en-US" w:eastAsia="zh-CN"/>
              </w:rPr>
            </w:pPr>
            <w:r>
              <w:rPr>
                <w:rFonts w:hint="eastAsia"/>
                <w:color w:val="auto"/>
                <w:u w:val="none" w:color="auto"/>
                <w:lang w:val="en-US" w:eastAsia="zh-CN"/>
              </w:rPr>
              <w:t>/</w:t>
            </w:r>
          </w:p>
        </w:tc>
        <w:tc>
          <w:tcPr>
            <w:tcW w:w="1728" w:type="dxa"/>
            <w:tcBorders>
              <w:tl2br w:val="nil"/>
              <w:tr2bl w:val="nil"/>
            </w:tcBorders>
            <w:noWrap w:val="0"/>
            <w:vAlign w:val="center"/>
          </w:tcPr>
          <w:p w14:paraId="3EC08AE3">
            <w:pPr>
              <w:pStyle w:val="24"/>
              <w:bidi w:val="0"/>
              <w:rPr>
                <w:rFonts w:hint="default"/>
                <w:color w:val="auto"/>
                <w:u w:val="none" w:color="auto"/>
                <w:lang w:val="en-US" w:eastAsia="zh-CN"/>
              </w:rPr>
            </w:pPr>
            <w:r>
              <w:rPr>
                <w:rFonts w:hint="eastAsia"/>
                <w:color w:val="auto"/>
                <w:u w:val="none" w:color="auto"/>
                <w:lang w:val="en-US" w:eastAsia="zh-CN"/>
              </w:rPr>
              <w:t>/</w:t>
            </w:r>
          </w:p>
        </w:tc>
      </w:tr>
    </w:tbl>
    <w:p w14:paraId="1328263C">
      <w:pPr>
        <w:pStyle w:val="3"/>
        <w:bidi w:val="0"/>
        <w:rPr>
          <w:rFonts w:hint="eastAsia"/>
          <w:color w:val="auto"/>
          <w:u w:val="none" w:color="auto"/>
          <w:lang w:val="en-US" w:eastAsia="zh-CN"/>
        </w:rPr>
      </w:pPr>
      <w:bookmarkStart w:id="600" w:name="_Toc5881"/>
      <w:r>
        <w:rPr>
          <w:rFonts w:hint="eastAsia"/>
          <w:color w:val="auto"/>
          <w:u w:val="none" w:color="auto"/>
          <w:lang w:val="en-US" w:eastAsia="zh-CN"/>
        </w:rPr>
        <w:t>3.4环保投诉及处罚情况</w:t>
      </w:r>
      <w:bookmarkEnd w:id="591"/>
      <w:bookmarkEnd w:id="592"/>
      <w:bookmarkEnd w:id="593"/>
      <w:bookmarkEnd w:id="594"/>
      <w:bookmarkEnd w:id="595"/>
      <w:bookmarkEnd w:id="596"/>
      <w:bookmarkEnd w:id="597"/>
      <w:bookmarkEnd w:id="600"/>
    </w:p>
    <w:p w14:paraId="0C27255F">
      <w:pPr>
        <w:pStyle w:val="20"/>
        <w:bidi w:val="0"/>
        <w:rPr>
          <w:rFonts w:hint="default"/>
          <w:color w:val="auto"/>
          <w:u w:val="none" w:color="auto"/>
          <w:lang w:val="en-US" w:eastAsia="zh-CN"/>
        </w:rPr>
      </w:pPr>
      <w:r>
        <w:rPr>
          <w:rFonts w:hint="eastAsia"/>
          <w:color w:val="auto"/>
          <w:u w:val="none" w:color="auto"/>
          <w:lang w:val="en-US" w:eastAsia="zh-CN"/>
        </w:rPr>
        <w:t>迁建前项目建成投运以来未收到环保投诉；2023年12月5日收到岳阳市生态环境局的处罚，违法事实为：2023年9月7日，汨罗分局陪同岳阳市生态环境局第二轮大气污染源排查组开展VOCs专项走航监测检查，发现湖南铭腾新材料有限公司在线覆膜机更换为离线覆膜机设备升级改造过程中，安装在临时租用的现代家俱另外两个车间内的2台PVC墙板离线覆膜机、5台PVC装饰线条离线覆膜机正在作业但车间大门未关闭，且未按照规定安装、使用挥发性有机物废气污染防治设施，覆膜用白乳胶挥发产生的挥发性有机物废气无组织排放。2023年11月收到岳阳市生态环境局的处罚决定后，建设单位积极配合整改，迅速完成设备升级改造，改造完成后建设单位租赁面积、设备数量均无变化。根据建设单位2025年的常规检测报告可知，迁建前项目</w:t>
      </w:r>
      <w:r>
        <w:rPr>
          <w:rFonts w:hint="eastAsia" w:ascii="Times New Roman" w:hAnsi="Times New Roman" w:cs="Times New Roman"/>
          <w:color w:val="auto"/>
          <w:sz w:val="24"/>
          <w:u w:val="none" w:color="auto"/>
          <w:lang w:val="en-US" w:eastAsia="zh-CN"/>
        </w:rPr>
        <w:t>厂区内无组织非甲烷总烃可满足《挥发性有机物无组织排放控制标准》（GB37822-2019）表A.1厂区内非甲烷总烃无组织排放限值。</w:t>
      </w:r>
    </w:p>
    <w:p w14:paraId="7401FA79">
      <w:pPr>
        <w:pStyle w:val="3"/>
        <w:bidi w:val="0"/>
        <w:rPr>
          <w:rFonts w:hint="default"/>
          <w:color w:val="auto"/>
          <w:u w:val="none" w:color="auto"/>
          <w:lang w:val="en-US" w:eastAsia="zh-CN"/>
        </w:rPr>
      </w:pPr>
      <w:bookmarkStart w:id="601" w:name="_Toc25490"/>
      <w:r>
        <w:rPr>
          <w:rFonts w:hint="eastAsia"/>
          <w:color w:val="auto"/>
          <w:u w:val="none" w:color="auto"/>
          <w:lang w:val="en-US" w:eastAsia="zh-CN"/>
        </w:rPr>
        <w:t>3.5搬迁过程中的污染防治控制要求</w:t>
      </w:r>
      <w:bookmarkEnd w:id="601"/>
    </w:p>
    <w:p w14:paraId="7EAF77DD">
      <w:pPr>
        <w:pStyle w:val="20"/>
        <w:numPr>
          <w:ilvl w:val="0"/>
          <w:numId w:val="7"/>
        </w:numPr>
        <w:bidi w:val="0"/>
        <w:rPr>
          <w:rFonts w:hint="eastAsia"/>
          <w:color w:val="auto"/>
          <w:u w:val="none" w:color="auto"/>
          <w:lang w:val="en-US" w:eastAsia="zh-CN"/>
        </w:rPr>
      </w:pPr>
      <w:r>
        <w:rPr>
          <w:rFonts w:hint="eastAsia"/>
          <w:color w:val="auto"/>
          <w:u w:val="none" w:color="auto"/>
          <w:lang w:val="en-US" w:eastAsia="zh-CN"/>
        </w:rPr>
        <w:t>编制应急预案防范环境影响：建设单位在搬迁前，需排查可能引发突发环境事件的风险源与因素，制定有针对性的专项环境应急预案，报岳阳市生态环境局汨罗分局备案。同时储备应急装备和物资，落实救援人员，加强搬迁和运输中的风险防控，提供搬迁前厂区总平面布置图、主要产品、原辅材料、工艺设备、主要污染物及污染防治措施等环境信息资料。遇到紧急或不明情况，要及时应对并向汨罗市人民政府和岳阳市生态环境局汨罗分局报告。</w:t>
      </w:r>
    </w:p>
    <w:p w14:paraId="120F92EB">
      <w:pPr>
        <w:pStyle w:val="20"/>
        <w:numPr>
          <w:ilvl w:val="0"/>
          <w:numId w:val="7"/>
        </w:numPr>
        <w:bidi w:val="0"/>
        <w:rPr>
          <w:rFonts w:hint="eastAsia"/>
          <w:color w:val="auto"/>
          <w:u w:val="none" w:color="auto"/>
          <w:lang w:val="en-US" w:eastAsia="zh-CN"/>
        </w:rPr>
      </w:pPr>
      <w:r>
        <w:rPr>
          <w:rFonts w:hint="eastAsia"/>
          <w:color w:val="auto"/>
          <w:u w:val="none" w:color="auto"/>
          <w:lang w:val="en-US" w:eastAsia="zh-CN"/>
        </w:rPr>
        <w:t>规范各类设施拆除流程：确保污染防治设施在搬迁中正常运行或使用，妥善处理遗留或产生的污染物，待生产设备拆除且污染物处理完毕后，再拆除污染治理设施。若污染防治设施无法正常运行，需制定并实施污染物临时处理处置方案，对地上及地下建筑物、构筑物、生产装置、管线、污染治理设施、有毒有害化学品及石油产品储存设施等进行规范清理和拆除。</w:t>
      </w:r>
    </w:p>
    <w:p w14:paraId="41C96875">
      <w:pPr>
        <w:pStyle w:val="20"/>
        <w:bidi w:val="0"/>
        <w:rPr>
          <w:rFonts w:hint="default"/>
          <w:color w:val="auto"/>
          <w:u w:val="none" w:color="auto"/>
          <w:lang w:val="en-US" w:eastAsia="zh-CN"/>
        </w:rPr>
      </w:pPr>
      <w:r>
        <w:rPr>
          <w:rFonts w:hint="eastAsia"/>
          <w:color w:val="auto"/>
          <w:u w:val="none" w:color="auto"/>
          <w:lang w:val="en-US" w:eastAsia="zh-CN"/>
        </w:rPr>
        <w:t>3、安全处置遗留固体废物：对现有场地残留和搬迁中产生的有毒有害物质、危险废物、一般工业固体废物等进行处理处置。危险废物委托有资质的专业单位安全处置，并执行转移联单制度；一般工业固体废物按国家环保标准制定处置方案；不能直接判定危险特性的固体废物，按《危险废物鉴别标准》进行鉴别。妥善处理搬迁过程中产生的各类废弃物，避免随意丢弃造成环境污染。</w:t>
      </w:r>
    </w:p>
    <w:p w14:paraId="5BE0AC47">
      <w:pPr>
        <w:pStyle w:val="3"/>
        <w:bidi w:val="0"/>
        <w:rPr>
          <w:rFonts w:hint="default"/>
          <w:color w:val="auto"/>
          <w:u w:val="none" w:color="auto"/>
          <w:lang w:val="en-US" w:eastAsia="zh-CN"/>
        </w:rPr>
      </w:pPr>
      <w:bookmarkStart w:id="602" w:name="_Toc20586"/>
      <w:r>
        <w:rPr>
          <w:rFonts w:hint="eastAsia"/>
          <w:color w:val="auto"/>
          <w:u w:val="none" w:color="auto"/>
          <w:lang w:val="en-US" w:eastAsia="zh-CN"/>
        </w:rPr>
        <w:t>3.6搬迁后遗留的环境问题</w:t>
      </w:r>
      <w:bookmarkEnd w:id="602"/>
    </w:p>
    <w:p w14:paraId="3CFFF99E">
      <w:pPr>
        <w:pStyle w:val="20"/>
        <w:bidi w:val="0"/>
        <w:rPr>
          <w:rFonts w:hint="eastAsia"/>
          <w:color w:val="auto"/>
          <w:u w:val="none" w:color="auto"/>
          <w:lang w:val="en-US" w:eastAsia="zh-CN"/>
        </w:rPr>
      </w:pPr>
      <w:r>
        <w:rPr>
          <w:rFonts w:hint="eastAsia"/>
          <w:color w:val="auto"/>
          <w:u w:val="none" w:color="auto"/>
          <w:lang w:val="en-US" w:eastAsia="zh-CN"/>
        </w:rPr>
        <w:t>项目搬迁后，由于不再进行生产，废气、废水问题将消失。项目搬迁后，现有场地归还</w:t>
      </w:r>
      <w:r>
        <w:rPr>
          <w:rFonts w:hint="eastAsia" w:ascii="Times New Roman" w:hAnsi="Times New Roman"/>
          <w:color w:val="auto"/>
          <w:sz w:val="24"/>
          <w:szCs w:val="24"/>
          <w:u w:val="none" w:color="auto"/>
        </w:rPr>
        <w:t>湖南现代家俱装饰有限公司</w:t>
      </w:r>
      <w:r>
        <w:rPr>
          <w:rFonts w:hint="eastAsia"/>
          <w:color w:val="auto"/>
          <w:u w:val="none" w:color="auto"/>
          <w:lang w:val="en-US" w:eastAsia="zh-CN"/>
        </w:rPr>
        <w:t>，不存在土壤遗留问题，对于搬迁后遗留收集的废机油、废手套等应收集后委托有资质的单位处理。</w:t>
      </w:r>
    </w:p>
    <w:p w14:paraId="1A08F3D6">
      <w:pPr>
        <w:pStyle w:val="3"/>
        <w:bidi w:val="0"/>
        <w:rPr>
          <w:rFonts w:hint="default"/>
          <w:color w:val="auto"/>
          <w:u w:val="none" w:color="auto"/>
          <w:lang w:val="en-US" w:eastAsia="zh-CN"/>
        </w:rPr>
      </w:pPr>
      <w:bookmarkStart w:id="603" w:name="_Toc26086"/>
      <w:r>
        <w:rPr>
          <w:rFonts w:hint="eastAsia"/>
          <w:color w:val="auto"/>
          <w:u w:val="none" w:color="auto"/>
          <w:lang w:val="en-US" w:eastAsia="zh-CN"/>
        </w:rPr>
        <w:t>3.7迁建前项目存在的主要环境问题及“以新带老”措施</w:t>
      </w:r>
      <w:bookmarkEnd w:id="603"/>
    </w:p>
    <w:p w14:paraId="4457F23B">
      <w:pPr>
        <w:pStyle w:val="20"/>
        <w:bidi w:val="0"/>
        <w:rPr>
          <w:rFonts w:hint="eastAsia"/>
          <w:color w:val="auto"/>
          <w:u w:val="none" w:color="auto"/>
          <w:lang w:val="en-US" w:eastAsia="zh-CN"/>
        </w:rPr>
      </w:pPr>
      <w:r>
        <w:rPr>
          <w:rFonts w:hint="eastAsia"/>
          <w:color w:val="auto"/>
          <w:u w:val="none" w:color="auto"/>
          <w:lang w:val="en-US" w:eastAsia="zh-CN"/>
        </w:rPr>
        <w:t>通过对迁建前项目回顾性分析，企业存在的主要环境问题：</w:t>
      </w:r>
    </w:p>
    <w:p w14:paraId="448CC4AF">
      <w:pPr>
        <w:pStyle w:val="20"/>
        <w:bidi w:val="0"/>
        <w:rPr>
          <w:rFonts w:hint="eastAsia"/>
          <w:color w:val="auto"/>
          <w:u w:val="none" w:color="auto"/>
          <w:lang w:val="en-US" w:eastAsia="zh-CN"/>
        </w:rPr>
      </w:pPr>
      <w:r>
        <w:rPr>
          <w:rFonts w:hint="eastAsia"/>
          <w:color w:val="auto"/>
          <w:u w:val="none" w:color="auto"/>
          <w:lang w:val="en-US" w:eastAsia="zh-CN"/>
        </w:rPr>
        <w:t>1、生产车间内地面洒落物料较多，未及时清扫；</w:t>
      </w:r>
    </w:p>
    <w:p w14:paraId="6324A2D8">
      <w:pPr>
        <w:pStyle w:val="20"/>
        <w:bidi w:val="0"/>
        <w:rPr>
          <w:rFonts w:hint="default"/>
          <w:color w:val="auto"/>
          <w:u w:val="none" w:color="auto"/>
          <w:lang w:val="en-US" w:eastAsia="zh-CN"/>
        </w:rPr>
      </w:pPr>
      <w:r>
        <w:rPr>
          <w:rFonts w:hint="eastAsia"/>
          <w:color w:val="auto"/>
          <w:u w:val="none" w:color="auto"/>
          <w:lang w:val="en-US" w:eastAsia="zh-CN"/>
        </w:rPr>
        <w:t>2、生产车间内工艺摆放较为紧凑混乱，生产工序运转不流畅；</w:t>
      </w:r>
    </w:p>
    <w:p w14:paraId="7E86C8D9">
      <w:pPr>
        <w:pStyle w:val="20"/>
        <w:bidi w:val="0"/>
        <w:rPr>
          <w:rFonts w:hint="eastAsia"/>
          <w:color w:val="auto"/>
          <w:u w:val="none" w:color="auto"/>
          <w:lang w:val="en-US" w:eastAsia="zh-CN"/>
        </w:rPr>
      </w:pPr>
      <w:r>
        <w:rPr>
          <w:rFonts w:hint="eastAsia"/>
          <w:color w:val="auto"/>
          <w:u w:val="none" w:color="auto"/>
          <w:lang w:val="en-US" w:eastAsia="zh-CN"/>
        </w:rPr>
        <w:t>3、迁建前项目挤出覆膜废气采用UV光解+活性炭吸附装置处置，根据《国家污染防治技术指导目录》（2024年，限制类和淘汰类），UV光解属于淘汰类技术，对VOCs治理时处理效率低。</w:t>
      </w:r>
    </w:p>
    <w:p w14:paraId="68531914">
      <w:pPr>
        <w:pStyle w:val="20"/>
        <w:bidi w:val="0"/>
        <w:rPr>
          <w:rFonts w:hint="eastAsia"/>
          <w:color w:val="auto"/>
          <w:u w:val="none" w:color="auto"/>
          <w:lang w:val="en-US" w:eastAsia="zh-CN"/>
        </w:rPr>
      </w:pPr>
      <w:r>
        <w:rPr>
          <w:rFonts w:hint="eastAsia"/>
          <w:color w:val="auto"/>
          <w:u w:val="none" w:color="auto"/>
          <w:lang w:val="en-US" w:eastAsia="zh-CN"/>
        </w:rPr>
        <w:t>“以新带老”措施：</w:t>
      </w:r>
    </w:p>
    <w:p w14:paraId="68724906">
      <w:pPr>
        <w:pStyle w:val="20"/>
        <w:bidi w:val="0"/>
        <w:rPr>
          <w:rFonts w:hint="eastAsia"/>
          <w:color w:val="auto"/>
          <w:u w:val="none" w:color="auto"/>
          <w:lang w:val="en-US" w:eastAsia="zh-CN"/>
        </w:rPr>
      </w:pPr>
      <w:r>
        <w:rPr>
          <w:rFonts w:hint="eastAsia"/>
          <w:color w:val="auto"/>
          <w:u w:val="none" w:color="auto"/>
          <w:lang w:val="en-US" w:eastAsia="zh-CN"/>
        </w:rPr>
        <w:t>1、项目迁建时，购置1整套自动化配料输送系统，该系统自动化程度高，极大减少人工投料、转运产生的粉尘及其在车间内的沉降；</w:t>
      </w:r>
    </w:p>
    <w:p w14:paraId="29F31300">
      <w:pPr>
        <w:pStyle w:val="20"/>
        <w:bidi w:val="0"/>
        <w:rPr>
          <w:rFonts w:hint="default"/>
          <w:color w:val="auto"/>
          <w:u w:val="none" w:color="auto"/>
          <w:lang w:val="en-US" w:eastAsia="zh-CN"/>
        </w:rPr>
      </w:pPr>
      <w:r>
        <w:rPr>
          <w:rFonts w:hint="eastAsia"/>
          <w:color w:val="auto"/>
          <w:u w:val="none" w:color="auto"/>
          <w:lang w:val="en-US" w:eastAsia="zh-CN"/>
        </w:rPr>
        <w:t>2、根据建设单位生产需求合理进行布局，提高生产效益；</w:t>
      </w:r>
    </w:p>
    <w:p w14:paraId="07284EAD">
      <w:pPr>
        <w:pStyle w:val="20"/>
        <w:bidi w:val="0"/>
        <w:rPr>
          <w:rFonts w:hint="eastAsia"/>
          <w:color w:val="auto"/>
          <w:u w:val="none" w:color="auto"/>
          <w:lang w:val="en-US" w:eastAsia="zh-CN"/>
        </w:rPr>
      </w:pPr>
      <w:r>
        <w:rPr>
          <w:rFonts w:hint="eastAsia"/>
          <w:color w:val="auto"/>
          <w:u w:val="none" w:color="auto"/>
          <w:lang w:val="en-US" w:eastAsia="zh-CN"/>
        </w:rPr>
        <w:t>3、项目搬迁至新址后，挤出、覆膜工序废气均采用二级活性炭吸附装置进行处理。</w:t>
      </w:r>
    </w:p>
    <w:bookmarkEnd w:id="598"/>
    <w:bookmarkEnd w:id="599"/>
    <w:p w14:paraId="25D1747B">
      <w:pPr>
        <w:pStyle w:val="20"/>
        <w:bidi w:val="0"/>
        <w:rPr>
          <w:rFonts w:hint="eastAsia"/>
          <w:color w:val="auto"/>
          <w:u w:val="none" w:color="auto"/>
          <w:lang w:val="en-US" w:eastAsia="zh-CN"/>
        </w:rPr>
      </w:pPr>
    </w:p>
    <w:p w14:paraId="5D4A9292">
      <w:pPr>
        <w:pStyle w:val="2"/>
        <w:bidi w:val="0"/>
        <w:outlineLvl w:val="0"/>
        <w:rPr>
          <w:rFonts w:hint="eastAsia"/>
          <w:color w:val="auto"/>
          <w:u w:val="none" w:color="auto"/>
          <w:lang w:val="en-US" w:eastAsia="zh-CN"/>
        </w:rPr>
      </w:pPr>
      <w:bookmarkStart w:id="604" w:name="_Toc10214"/>
      <w:bookmarkStart w:id="605" w:name="_Toc32561"/>
      <w:r>
        <w:rPr>
          <w:rFonts w:hint="eastAsia"/>
          <w:color w:val="auto"/>
          <w:u w:val="none" w:color="auto"/>
          <w:lang w:val="en-US" w:eastAsia="zh-CN"/>
        </w:rPr>
        <w:br w:type="page"/>
      </w:r>
      <w:bookmarkStart w:id="606" w:name="_Toc21912"/>
      <w:r>
        <w:rPr>
          <w:rFonts w:hint="eastAsia"/>
          <w:color w:val="auto"/>
          <w:u w:val="none" w:color="auto"/>
          <w:lang w:val="en-US" w:eastAsia="zh-CN"/>
        </w:rPr>
        <w:t>4、迁建工程</w:t>
      </w:r>
      <w:bookmarkEnd w:id="606"/>
    </w:p>
    <w:p w14:paraId="55BE8302">
      <w:pPr>
        <w:pStyle w:val="3"/>
        <w:bidi w:val="0"/>
        <w:rPr>
          <w:rFonts w:hint="default"/>
          <w:color w:val="auto"/>
          <w:u w:val="none" w:color="auto"/>
          <w:lang w:val="en-US" w:eastAsia="zh-CN"/>
        </w:rPr>
      </w:pPr>
      <w:bookmarkStart w:id="607" w:name="_Toc27009"/>
      <w:r>
        <w:rPr>
          <w:rFonts w:hint="eastAsia"/>
          <w:color w:val="auto"/>
          <w:u w:val="none" w:color="auto"/>
          <w:lang w:val="en-US" w:eastAsia="zh-CN"/>
        </w:rPr>
        <w:t>4.1迁建项目概况</w:t>
      </w:r>
      <w:bookmarkEnd w:id="607"/>
    </w:p>
    <w:bookmarkEnd w:id="604"/>
    <w:bookmarkEnd w:id="605"/>
    <w:p w14:paraId="38A5000D">
      <w:pPr>
        <w:pStyle w:val="4"/>
        <w:bidi w:val="0"/>
        <w:rPr>
          <w:rFonts w:hint="eastAsia"/>
          <w:color w:val="auto"/>
          <w:u w:val="none" w:color="auto"/>
          <w:lang w:val="en-US" w:eastAsia="zh-CN"/>
        </w:rPr>
      </w:pPr>
      <w:bookmarkStart w:id="608" w:name="_Toc25439"/>
      <w:bookmarkStart w:id="609" w:name="_Toc2941"/>
      <w:bookmarkStart w:id="610" w:name="_Toc27260"/>
      <w:r>
        <w:rPr>
          <w:rFonts w:hint="eastAsia"/>
          <w:color w:val="auto"/>
          <w:u w:val="none" w:color="auto"/>
          <w:lang w:val="en-US" w:eastAsia="zh-CN"/>
        </w:rPr>
        <w:t>4.1.1项目基本情况</w:t>
      </w:r>
      <w:bookmarkEnd w:id="608"/>
      <w:bookmarkEnd w:id="609"/>
      <w:bookmarkEnd w:id="610"/>
    </w:p>
    <w:p w14:paraId="426165EB">
      <w:pPr>
        <w:pStyle w:val="20"/>
        <w:bidi w:val="0"/>
        <w:rPr>
          <w:rFonts w:hint="eastAsia" w:cs="Times New Roman"/>
          <w:color w:val="auto"/>
          <w:sz w:val="24"/>
          <w:u w:val="none" w:color="auto"/>
          <w:lang w:eastAsia="zh-CN"/>
        </w:rPr>
      </w:pPr>
      <w:r>
        <w:rPr>
          <w:rFonts w:hint="eastAsia"/>
          <w:b/>
          <w:bCs/>
          <w:color w:val="auto"/>
          <w:u w:val="none" w:color="auto"/>
          <w:lang w:val="en-US" w:eastAsia="zh-CN"/>
        </w:rPr>
        <w:t>项目名称：</w:t>
      </w:r>
      <w:r>
        <w:rPr>
          <w:rFonts w:hint="eastAsia" w:cs="Times New Roman"/>
          <w:color w:val="auto"/>
          <w:sz w:val="24"/>
          <w:u w:val="none" w:color="auto"/>
          <w:lang w:eastAsia="zh-CN"/>
        </w:rPr>
        <w:t>铭腾高分子制品年产30000吨塑料板材、5000吨装饰线条建设项目；</w:t>
      </w:r>
    </w:p>
    <w:p w14:paraId="670AE2FA">
      <w:pPr>
        <w:pStyle w:val="20"/>
        <w:bidi w:val="0"/>
        <w:rPr>
          <w:rFonts w:hint="eastAsia" w:cs="Times New Roman"/>
          <w:color w:val="auto"/>
          <w:sz w:val="24"/>
          <w:u w:val="none" w:color="auto"/>
          <w:lang w:val="en-US" w:eastAsia="zh-CN"/>
        </w:rPr>
      </w:pPr>
      <w:r>
        <w:rPr>
          <w:rFonts w:hint="eastAsia" w:cs="Times New Roman"/>
          <w:b/>
          <w:bCs/>
          <w:color w:val="auto"/>
          <w:sz w:val="24"/>
          <w:u w:val="none" w:color="auto"/>
          <w:lang w:val="en-US" w:eastAsia="zh-CN"/>
        </w:rPr>
        <w:t>建设单位：</w:t>
      </w:r>
      <w:r>
        <w:rPr>
          <w:rFonts w:hint="eastAsia" w:cs="Times New Roman"/>
          <w:color w:val="auto"/>
          <w:sz w:val="24"/>
          <w:u w:val="none" w:color="auto"/>
          <w:lang w:val="en-US" w:eastAsia="zh-CN"/>
        </w:rPr>
        <w:t>湖南铭腾新材料有限公司；</w:t>
      </w:r>
    </w:p>
    <w:p w14:paraId="043C0620">
      <w:pPr>
        <w:pStyle w:val="20"/>
        <w:bidi w:val="0"/>
        <w:rPr>
          <w:rFonts w:hint="eastAsia"/>
          <w:color w:val="auto"/>
          <w:u w:val="none" w:color="auto"/>
          <w:lang w:val="en-US" w:eastAsia="zh-CN"/>
        </w:rPr>
      </w:pPr>
      <w:r>
        <w:rPr>
          <w:rFonts w:hint="eastAsia" w:cs="Times New Roman"/>
          <w:b/>
          <w:bCs/>
          <w:color w:val="auto"/>
          <w:sz w:val="24"/>
          <w:u w:val="none" w:color="auto"/>
          <w:lang w:val="en-US" w:eastAsia="zh-CN"/>
        </w:rPr>
        <w:t>建设地点：</w:t>
      </w:r>
      <w:r>
        <w:rPr>
          <w:rFonts w:hint="eastAsia"/>
          <w:color w:val="auto"/>
          <w:u w:val="none" w:color="auto"/>
          <w:lang w:val="en-US" w:eastAsia="zh-CN"/>
        </w:rPr>
        <w:t>湖南省岳阳市汨罗市汨罗高新技术产业开发区新市片区西片区龙舟路东侧合心路北侧（</w:t>
      </w:r>
      <w:r>
        <w:rPr>
          <w:rFonts w:hAnsi="宋体"/>
          <w:color w:val="auto"/>
          <w:sz w:val="24"/>
          <w:u w:val="none" w:color="auto"/>
        </w:rPr>
        <w:t>东经</w:t>
      </w:r>
      <w:r>
        <w:rPr>
          <w:rFonts w:hint="eastAsia"/>
          <w:color w:val="auto"/>
          <w:sz w:val="24"/>
          <w:u w:val="none" w:color="auto"/>
        </w:rPr>
        <w:t>113.142796</w:t>
      </w:r>
      <w:r>
        <w:rPr>
          <w:rFonts w:hAnsi="宋体"/>
          <w:color w:val="auto"/>
          <w:sz w:val="24"/>
          <w:u w:val="none" w:color="auto"/>
        </w:rPr>
        <w:t>、北纬</w:t>
      </w:r>
      <w:r>
        <w:rPr>
          <w:rFonts w:hint="eastAsia"/>
          <w:color w:val="auto"/>
          <w:sz w:val="24"/>
          <w:u w:val="none" w:color="auto"/>
        </w:rPr>
        <w:t>28.766586</w:t>
      </w:r>
      <w:r>
        <w:rPr>
          <w:rFonts w:hint="eastAsia"/>
          <w:color w:val="auto"/>
          <w:u w:val="none" w:color="auto"/>
          <w:lang w:val="en-US" w:eastAsia="zh-CN"/>
        </w:rPr>
        <w:t>）；</w:t>
      </w:r>
    </w:p>
    <w:p w14:paraId="2EDF6F21">
      <w:pPr>
        <w:pStyle w:val="20"/>
        <w:bidi w:val="0"/>
        <w:rPr>
          <w:rFonts w:hint="eastAsia"/>
          <w:color w:val="auto"/>
          <w:u w:val="none" w:color="auto"/>
          <w:lang w:val="en-US" w:eastAsia="zh-CN"/>
        </w:rPr>
      </w:pPr>
      <w:r>
        <w:rPr>
          <w:rFonts w:hint="eastAsia"/>
          <w:b/>
          <w:bCs/>
          <w:color w:val="auto"/>
          <w:u w:val="none" w:color="auto"/>
          <w:lang w:val="en-US" w:eastAsia="zh-CN"/>
        </w:rPr>
        <w:t>建设性质：</w:t>
      </w:r>
      <w:r>
        <w:rPr>
          <w:rFonts w:hint="eastAsia"/>
          <w:b w:val="0"/>
          <w:bCs w:val="0"/>
          <w:color w:val="auto"/>
          <w:u w:val="none" w:color="auto"/>
          <w:lang w:val="en-US" w:eastAsia="zh-CN"/>
        </w:rPr>
        <w:t>搬迁、扩建</w:t>
      </w:r>
      <w:r>
        <w:rPr>
          <w:rFonts w:hint="eastAsia"/>
          <w:color w:val="auto"/>
          <w:u w:val="none" w:color="auto"/>
          <w:lang w:val="en-US" w:eastAsia="zh-CN"/>
        </w:rPr>
        <w:t>；</w:t>
      </w:r>
    </w:p>
    <w:p w14:paraId="0DA047CA">
      <w:pPr>
        <w:pStyle w:val="20"/>
        <w:bidi w:val="0"/>
        <w:rPr>
          <w:rFonts w:hint="default"/>
          <w:color w:val="auto"/>
          <w:u w:val="none" w:color="auto"/>
          <w:lang w:val="en-US" w:eastAsia="zh-CN"/>
        </w:rPr>
      </w:pPr>
      <w:r>
        <w:rPr>
          <w:rFonts w:hint="eastAsia"/>
          <w:b/>
          <w:bCs/>
          <w:color w:val="auto"/>
          <w:u w:val="none" w:color="auto"/>
          <w:lang w:val="en-US" w:eastAsia="zh-CN"/>
        </w:rPr>
        <w:t>主要建设内容及规模：</w:t>
      </w:r>
      <w:r>
        <w:rPr>
          <w:rFonts w:hint="eastAsia"/>
          <w:b w:val="0"/>
          <w:bCs w:val="0"/>
          <w:color w:val="auto"/>
          <w:u w:val="none" w:color="auto"/>
          <w:lang w:val="en-US" w:eastAsia="zh-CN"/>
        </w:rPr>
        <w:t>项目购置地块新建厂房进行生产，项目建设规划用地37749.6m</w:t>
      </w:r>
      <w:r>
        <w:rPr>
          <w:rFonts w:hint="eastAsia"/>
          <w:b w:val="0"/>
          <w:bCs w:val="0"/>
          <w:color w:val="auto"/>
          <w:u w:val="none" w:color="auto"/>
          <w:vertAlign w:val="superscript"/>
          <w:lang w:val="en-US" w:eastAsia="zh-CN"/>
        </w:rPr>
        <w:t>2</w:t>
      </w:r>
      <w:r>
        <w:rPr>
          <w:rFonts w:hint="eastAsia"/>
          <w:b w:val="0"/>
          <w:bCs w:val="0"/>
          <w:color w:val="auto"/>
          <w:u w:val="none" w:color="auto"/>
          <w:lang w:val="en-US" w:eastAsia="zh-CN"/>
        </w:rPr>
        <w:t>，建筑面积22578.96m</w:t>
      </w:r>
      <w:r>
        <w:rPr>
          <w:rFonts w:hint="eastAsia"/>
          <w:b w:val="0"/>
          <w:bCs w:val="0"/>
          <w:color w:val="auto"/>
          <w:u w:val="none" w:color="auto"/>
          <w:vertAlign w:val="superscript"/>
          <w:lang w:val="en-US" w:eastAsia="zh-CN"/>
        </w:rPr>
        <w:t>2</w:t>
      </w:r>
      <w:r>
        <w:rPr>
          <w:rFonts w:hint="eastAsia"/>
          <w:b w:val="0"/>
          <w:bCs w:val="0"/>
          <w:color w:val="auto"/>
          <w:u w:val="none" w:color="auto"/>
          <w:lang w:val="en-US" w:eastAsia="zh-CN"/>
        </w:rPr>
        <w:t>，建设20条PVC大板生产线、6条PVC大板加工线、20条PVC装饰线条加工线及相关配套环保设施，年产3万吨PVC板材、5000吨PVC装饰线条</w:t>
      </w:r>
      <w:r>
        <w:rPr>
          <w:rFonts w:hint="eastAsia"/>
          <w:color w:val="auto"/>
          <w:u w:val="none" w:color="auto"/>
          <w:lang w:val="en-US" w:eastAsia="zh-CN"/>
        </w:rPr>
        <w:t>；</w:t>
      </w:r>
    </w:p>
    <w:p w14:paraId="7CB6D604">
      <w:pPr>
        <w:pStyle w:val="20"/>
        <w:bidi w:val="0"/>
        <w:rPr>
          <w:rFonts w:hint="eastAsia"/>
          <w:color w:val="auto"/>
          <w:highlight w:val="none"/>
          <w:u w:val="none" w:color="auto"/>
          <w:lang w:val="en-US" w:eastAsia="zh-CN"/>
        </w:rPr>
      </w:pPr>
      <w:r>
        <w:rPr>
          <w:rFonts w:hint="eastAsia"/>
          <w:b/>
          <w:bCs/>
          <w:i w:val="0"/>
          <w:iCs w:val="0"/>
          <w:color w:val="auto"/>
          <w:highlight w:val="none"/>
          <w:u w:val="none" w:color="auto"/>
          <w:lang w:val="en-US" w:eastAsia="zh-CN"/>
        </w:rPr>
        <w:t>项目投资：</w:t>
      </w:r>
      <w:r>
        <w:rPr>
          <w:rFonts w:hint="eastAsia"/>
          <w:color w:val="auto"/>
          <w:highlight w:val="none"/>
          <w:u w:val="none" w:color="auto"/>
          <w:lang w:val="en-US" w:eastAsia="zh-CN"/>
        </w:rPr>
        <w:t>项目总投资3000万元，其中环保投资98万元，占项目总投资的3.27%。</w:t>
      </w:r>
    </w:p>
    <w:p w14:paraId="62A64A15">
      <w:pPr>
        <w:pStyle w:val="4"/>
        <w:bidi w:val="0"/>
        <w:rPr>
          <w:rFonts w:hint="eastAsia"/>
          <w:color w:val="auto"/>
          <w:u w:val="none" w:color="auto"/>
          <w:lang w:val="en-US" w:eastAsia="zh-CN"/>
        </w:rPr>
      </w:pPr>
      <w:bookmarkStart w:id="611" w:name="_Toc7104"/>
      <w:bookmarkStart w:id="612" w:name="_Toc5748"/>
      <w:bookmarkStart w:id="613" w:name="_Toc16471"/>
      <w:r>
        <w:rPr>
          <w:rFonts w:hint="eastAsia"/>
          <w:color w:val="auto"/>
          <w:u w:val="none" w:color="auto"/>
          <w:lang w:val="en-US" w:eastAsia="zh-CN"/>
        </w:rPr>
        <w:t>4.1.2项目组成</w:t>
      </w:r>
      <w:bookmarkEnd w:id="611"/>
      <w:bookmarkEnd w:id="612"/>
      <w:bookmarkEnd w:id="613"/>
    </w:p>
    <w:p w14:paraId="248FF461">
      <w:pPr>
        <w:pStyle w:val="20"/>
        <w:bidi w:val="0"/>
        <w:rPr>
          <w:rFonts w:hint="eastAsia"/>
          <w:color w:val="auto"/>
          <w:u w:val="none" w:color="auto"/>
          <w:lang w:val="en-US" w:eastAsia="zh-CN"/>
        </w:rPr>
      </w:pPr>
      <w:r>
        <w:rPr>
          <w:rFonts w:hint="eastAsia"/>
          <w:color w:val="auto"/>
          <w:u w:val="none" w:color="auto"/>
          <w:lang w:val="en-US" w:eastAsia="zh-CN"/>
        </w:rPr>
        <w:t>本项目为迁建工程，搬迁后购置地块新建厂房作为生产经营场所，项目主要建设三栋标准化厂房、一栋综合楼、一栋设备房、一栋门卫室，在厂房内进行功能分区，1#厂房分别布置破碎磨粉区、供料贮存区、挤出覆膜区、半成品及成品区等主体工程，2#厂房为覆膜车间，分别布置线条覆膜区、仓库、大板覆膜区等，3#厂房为预留车间，用于后续发展，并配套建设循环水池、一般固废间等公辅储运工程及环保工程。本项目工程组成见下表。</w:t>
      </w:r>
    </w:p>
    <w:p w14:paraId="796C0CCE">
      <w:pPr>
        <w:pStyle w:val="22"/>
        <w:bidi w:val="0"/>
        <w:rPr>
          <w:rFonts w:hint="default"/>
          <w:color w:val="auto"/>
          <w:u w:val="none" w:color="auto"/>
          <w:lang w:val="en-US" w:eastAsia="zh-CN"/>
        </w:rPr>
      </w:pPr>
      <w:r>
        <w:rPr>
          <w:rFonts w:hint="eastAsia"/>
          <w:color w:val="auto"/>
          <w:u w:val="none" w:color="auto"/>
          <w:lang w:val="en-US" w:eastAsia="zh-CN"/>
        </w:rPr>
        <w:t>表4.1-1  工程建设一览表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1"/>
        <w:gridCol w:w="1065"/>
        <w:gridCol w:w="1132"/>
        <w:gridCol w:w="1312"/>
        <w:gridCol w:w="270"/>
        <w:gridCol w:w="2873"/>
        <w:gridCol w:w="1071"/>
      </w:tblGrid>
      <w:tr w14:paraId="5C9E8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781" w:type="dxa"/>
            <w:noWrap w:val="0"/>
            <w:vAlign w:val="center"/>
          </w:tcPr>
          <w:p w14:paraId="0A712A7A">
            <w:pPr>
              <w:pStyle w:val="34"/>
              <w:bidi w:val="0"/>
              <w:rPr>
                <w:b/>
                <w:bCs/>
                <w:color w:val="auto"/>
                <w:u w:val="none" w:color="auto"/>
              </w:rPr>
            </w:pPr>
            <w:bookmarkStart w:id="614" w:name="_Toc27626"/>
            <w:bookmarkStart w:id="615" w:name="_Toc19502"/>
            <w:r>
              <w:rPr>
                <w:b/>
                <w:bCs/>
                <w:color w:val="auto"/>
                <w:u w:val="none" w:color="auto"/>
              </w:rPr>
              <w:t>工程类别</w:t>
            </w:r>
          </w:p>
        </w:tc>
        <w:tc>
          <w:tcPr>
            <w:tcW w:w="1065" w:type="dxa"/>
            <w:noWrap w:val="0"/>
            <w:vAlign w:val="center"/>
          </w:tcPr>
          <w:p w14:paraId="4E2C15B0">
            <w:pPr>
              <w:pStyle w:val="34"/>
              <w:bidi w:val="0"/>
              <w:rPr>
                <w:b/>
                <w:bCs/>
                <w:color w:val="auto"/>
                <w:u w:val="none" w:color="auto"/>
              </w:rPr>
            </w:pPr>
            <w:r>
              <w:rPr>
                <w:b/>
                <w:bCs/>
                <w:color w:val="auto"/>
                <w:u w:val="none" w:color="auto"/>
              </w:rPr>
              <w:t>工程名称</w:t>
            </w:r>
          </w:p>
        </w:tc>
        <w:tc>
          <w:tcPr>
            <w:tcW w:w="2714" w:type="dxa"/>
            <w:gridSpan w:val="3"/>
            <w:noWrap w:val="0"/>
            <w:vAlign w:val="center"/>
          </w:tcPr>
          <w:p w14:paraId="777B7CF9">
            <w:pPr>
              <w:pStyle w:val="34"/>
              <w:bidi w:val="0"/>
              <w:rPr>
                <w:rFonts w:hint="eastAsia"/>
                <w:b/>
                <w:bCs/>
                <w:color w:val="auto"/>
                <w:u w:val="none" w:color="auto"/>
              </w:rPr>
            </w:pPr>
            <w:r>
              <w:rPr>
                <w:b/>
                <w:bCs/>
                <w:color w:val="auto"/>
                <w:u w:val="none" w:color="auto"/>
              </w:rPr>
              <w:t>工程内容</w:t>
            </w:r>
          </w:p>
        </w:tc>
        <w:tc>
          <w:tcPr>
            <w:tcW w:w="2873" w:type="dxa"/>
            <w:noWrap w:val="0"/>
            <w:vAlign w:val="center"/>
          </w:tcPr>
          <w:p w14:paraId="16212E71">
            <w:pPr>
              <w:pStyle w:val="34"/>
              <w:bidi w:val="0"/>
              <w:rPr>
                <w:b/>
                <w:bCs/>
                <w:color w:val="auto"/>
                <w:u w:val="none" w:color="auto"/>
              </w:rPr>
            </w:pPr>
            <w:r>
              <w:rPr>
                <w:b/>
                <w:bCs/>
                <w:color w:val="auto"/>
                <w:u w:val="none" w:color="auto"/>
              </w:rPr>
              <w:t>生产功能</w:t>
            </w:r>
          </w:p>
        </w:tc>
        <w:tc>
          <w:tcPr>
            <w:tcW w:w="1071" w:type="dxa"/>
            <w:noWrap w:val="0"/>
            <w:vAlign w:val="center"/>
          </w:tcPr>
          <w:p w14:paraId="48162AF5">
            <w:pPr>
              <w:pStyle w:val="34"/>
              <w:bidi w:val="0"/>
              <w:rPr>
                <w:rFonts w:hint="eastAsia"/>
                <w:b/>
                <w:bCs/>
                <w:color w:val="auto"/>
                <w:u w:val="none" w:color="auto"/>
              </w:rPr>
            </w:pPr>
            <w:r>
              <w:rPr>
                <w:b/>
                <w:bCs/>
                <w:color w:val="auto"/>
                <w:u w:val="none" w:color="auto"/>
              </w:rPr>
              <w:t>备注</w:t>
            </w:r>
          </w:p>
        </w:tc>
      </w:tr>
      <w:tr w14:paraId="578BF1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noWrap w:val="0"/>
            <w:vAlign w:val="center"/>
          </w:tcPr>
          <w:p w14:paraId="44B60128">
            <w:pPr>
              <w:pStyle w:val="34"/>
              <w:bidi w:val="0"/>
              <w:rPr>
                <w:rFonts w:hint="eastAsia"/>
                <w:color w:val="auto"/>
                <w:u w:val="none" w:color="auto"/>
              </w:rPr>
            </w:pPr>
            <w:r>
              <w:rPr>
                <w:rFonts w:hint="eastAsia"/>
                <w:color w:val="auto"/>
                <w:u w:val="none" w:color="auto"/>
              </w:rPr>
              <w:t>主体工程</w:t>
            </w:r>
          </w:p>
        </w:tc>
        <w:tc>
          <w:tcPr>
            <w:tcW w:w="1065" w:type="dxa"/>
            <w:noWrap w:val="0"/>
            <w:vAlign w:val="center"/>
          </w:tcPr>
          <w:p w14:paraId="717FC382">
            <w:pPr>
              <w:pStyle w:val="34"/>
              <w:bidi w:val="0"/>
              <w:rPr>
                <w:rFonts w:hint="default"/>
                <w:color w:val="auto"/>
                <w:u w:val="none" w:color="auto"/>
                <w:lang w:val="en-US" w:eastAsia="zh-CN"/>
              </w:rPr>
            </w:pPr>
            <w:r>
              <w:rPr>
                <w:rFonts w:hint="eastAsia"/>
                <w:color w:val="auto"/>
                <w:u w:val="none" w:color="auto"/>
                <w:lang w:val="en-US" w:eastAsia="zh-CN"/>
              </w:rPr>
              <w:t>1#厂房</w:t>
            </w:r>
          </w:p>
        </w:tc>
        <w:tc>
          <w:tcPr>
            <w:tcW w:w="2714" w:type="dxa"/>
            <w:gridSpan w:val="3"/>
            <w:noWrap w:val="0"/>
            <w:vAlign w:val="center"/>
          </w:tcPr>
          <w:p w14:paraId="12CF3822">
            <w:pPr>
              <w:pStyle w:val="34"/>
              <w:bidi w:val="0"/>
              <w:rPr>
                <w:rFonts w:hint="eastAsia"/>
                <w:color w:val="auto"/>
                <w:u w:val="none" w:color="auto"/>
                <w:lang w:val="en-US" w:eastAsia="zh-CN"/>
              </w:rPr>
            </w:pPr>
            <w:r>
              <w:rPr>
                <w:rFonts w:hint="eastAsia"/>
                <w:color w:val="auto"/>
                <w:u w:val="none" w:color="auto"/>
                <w:lang w:val="en-US" w:eastAsia="zh-CN"/>
              </w:rPr>
              <w:t>1F、高度12.3m，单层轻钢框架结构，建筑面积9523.09m</w:t>
            </w:r>
            <w:r>
              <w:rPr>
                <w:rFonts w:hint="eastAsia"/>
                <w:color w:val="auto"/>
                <w:u w:val="none" w:color="auto"/>
                <w:vertAlign w:val="superscript"/>
                <w:lang w:val="en-US" w:eastAsia="zh-CN"/>
              </w:rPr>
              <w:t>2</w:t>
            </w:r>
          </w:p>
        </w:tc>
        <w:tc>
          <w:tcPr>
            <w:tcW w:w="2873" w:type="dxa"/>
            <w:noWrap w:val="0"/>
            <w:vAlign w:val="center"/>
          </w:tcPr>
          <w:p w14:paraId="3BBD19CB">
            <w:pPr>
              <w:pStyle w:val="34"/>
              <w:bidi w:val="0"/>
              <w:rPr>
                <w:rFonts w:hint="default"/>
                <w:color w:val="auto"/>
                <w:u w:val="none" w:color="auto"/>
                <w:lang w:val="en-US" w:eastAsia="zh-CN"/>
              </w:rPr>
            </w:pPr>
            <w:r>
              <w:rPr>
                <w:rFonts w:hint="eastAsia"/>
                <w:color w:val="auto"/>
                <w:u w:val="none" w:color="auto"/>
                <w:lang w:val="en-US" w:eastAsia="zh-CN"/>
              </w:rPr>
              <w:t>建设20条PVC大板生产线，包含破碎、磨粉、供料系统、挤出、覆膜、半成品、成品</w:t>
            </w:r>
          </w:p>
        </w:tc>
        <w:tc>
          <w:tcPr>
            <w:tcW w:w="1071" w:type="dxa"/>
            <w:noWrap w:val="0"/>
            <w:vAlign w:val="center"/>
          </w:tcPr>
          <w:p w14:paraId="2211BF2A">
            <w:pPr>
              <w:pStyle w:val="34"/>
              <w:bidi w:val="0"/>
              <w:rPr>
                <w:rFonts w:hint="default"/>
                <w:color w:val="auto"/>
                <w:u w:val="none" w:color="auto"/>
                <w:lang w:val="en-US" w:eastAsia="zh-CN"/>
              </w:rPr>
            </w:pPr>
            <w:r>
              <w:rPr>
                <w:rFonts w:hint="eastAsia"/>
                <w:color w:val="auto"/>
                <w:u w:val="none" w:color="auto"/>
                <w:lang w:val="en-US" w:eastAsia="zh-CN"/>
              </w:rPr>
              <w:t>新建</w:t>
            </w:r>
          </w:p>
        </w:tc>
      </w:tr>
      <w:tr w14:paraId="19EA51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6D655E2B">
            <w:pPr>
              <w:pStyle w:val="34"/>
              <w:bidi w:val="0"/>
              <w:rPr>
                <w:rFonts w:hint="eastAsia"/>
                <w:color w:val="auto"/>
                <w:u w:val="none" w:color="auto"/>
              </w:rPr>
            </w:pPr>
          </w:p>
        </w:tc>
        <w:tc>
          <w:tcPr>
            <w:tcW w:w="1065" w:type="dxa"/>
            <w:noWrap w:val="0"/>
            <w:vAlign w:val="center"/>
          </w:tcPr>
          <w:p w14:paraId="185F070B">
            <w:pPr>
              <w:pStyle w:val="34"/>
              <w:bidi w:val="0"/>
              <w:rPr>
                <w:rFonts w:hint="default"/>
                <w:color w:val="auto"/>
                <w:u w:val="none" w:color="auto"/>
                <w:lang w:val="en-US" w:eastAsia="zh-CN"/>
              </w:rPr>
            </w:pPr>
            <w:r>
              <w:rPr>
                <w:rFonts w:hint="eastAsia"/>
                <w:color w:val="auto"/>
                <w:u w:val="none" w:color="auto"/>
                <w:lang w:val="en-US" w:eastAsia="zh-CN"/>
              </w:rPr>
              <w:t>2#厂房</w:t>
            </w:r>
          </w:p>
        </w:tc>
        <w:tc>
          <w:tcPr>
            <w:tcW w:w="2714" w:type="dxa"/>
            <w:gridSpan w:val="3"/>
            <w:noWrap w:val="0"/>
            <w:vAlign w:val="center"/>
          </w:tcPr>
          <w:p w14:paraId="645CF667">
            <w:pPr>
              <w:pStyle w:val="34"/>
              <w:bidi w:val="0"/>
              <w:rPr>
                <w:rFonts w:hint="eastAsia"/>
                <w:color w:val="auto"/>
                <w:u w:val="none" w:color="auto"/>
                <w:lang w:val="en-US" w:eastAsia="zh-CN"/>
              </w:rPr>
            </w:pPr>
            <w:r>
              <w:rPr>
                <w:rFonts w:hint="eastAsia"/>
                <w:color w:val="auto"/>
                <w:u w:val="none" w:color="auto"/>
                <w:lang w:val="en-US" w:eastAsia="zh-CN"/>
              </w:rPr>
              <w:t>1F、高度13.3m，单层轻钢框架结构，建筑面积6800m</w:t>
            </w:r>
            <w:r>
              <w:rPr>
                <w:rFonts w:hint="eastAsia"/>
                <w:color w:val="auto"/>
                <w:u w:val="none" w:color="auto"/>
                <w:vertAlign w:val="superscript"/>
                <w:lang w:val="en-US" w:eastAsia="zh-CN"/>
              </w:rPr>
              <w:t>2</w:t>
            </w:r>
          </w:p>
        </w:tc>
        <w:tc>
          <w:tcPr>
            <w:tcW w:w="2873" w:type="dxa"/>
            <w:noWrap w:val="0"/>
            <w:vAlign w:val="center"/>
          </w:tcPr>
          <w:p w14:paraId="44868FA5">
            <w:pPr>
              <w:pStyle w:val="34"/>
              <w:bidi w:val="0"/>
              <w:rPr>
                <w:rFonts w:hint="default"/>
                <w:color w:val="auto"/>
                <w:u w:val="none" w:color="auto"/>
                <w:lang w:val="en-US" w:eastAsia="zh-CN"/>
              </w:rPr>
            </w:pPr>
            <w:r>
              <w:rPr>
                <w:rFonts w:hint="eastAsia"/>
                <w:color w:val="auto"/>
                <w:u w:val="none" w:color="auto"/>
                <w:lang w:val="en-US" w:eastAsia="zh-CN"/>
              </w:rPr>
              <w:t>建设6条PVC大板加工线、20条PVC装饰线条加工线，包含线条覆膜、大板覆膜、仓库</w:t>
            </w:r>
          </w:p>
        </w:tc>
        <w:tc>
          <w:tcPr>
            <w:tcW w:w="1071" w:type="dxa"/>
            <w:noWrap w:val="0"/>
            <w:vAlign w:val="center"/>
          </w:tcPr>
          <w:p w14:paraId="36A5AE84">
            <w:pPr>
              <w:pStyle w:val="34"/>
              <w:bidi w:val="0"/>
              <w:rPr>
                <w:rFonts w:hint="default"/>
                <w:color w:val="auto"/>
                <w:u w:val="none" w:color="auto"/>
                <w:lang w:val="en-US" w:eastAsia="zh-CN"/>
              </w:rPr>
            </w:pPr>
            <w:r>
              <w:rPr>
                <w:rFonts w:hint="eastAsia"/>
                <w:color w:val="auto"/>
                <w:u w:val="none" w:color="auto"/>
                <w:lang w:val="en-US" w:eastAsia="zh-CN"/>
              </w:rPr>
              <w:t>新建</w:t>
            </w:r>
          </w:p>
        </w:tc>
      </w:tr>
      <w:tr w14:paraId="323B4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5CF521A4">
            <w:pPr>
              <w:pStyle w:val="34"/>
              <w:bidi w:val="0"/>
              <w:rPr>
                <w:rFonts w:hint="eastAsia"/>
                <w:color w:val="auto"/>
                <w:u w:val="none" w:color="auto"/>
              </w:rPr>
            </w:pPr>
          </w:p>
        </w:tc>
        <w:tc>
          <w:tcPr>
            <w:tcW w:w="1065" w:type="dxa"/>
            <w:noWrap w:val="0"/>
            <w:vAlign w:val="center"/>
          </w:tcPr>
          <w:p w14:paraId="7B172097">
            <w:pPr>
              <w:pStyle w:val="34"/>
              <w:bidi w:val="0"/>
              <w:rPr>
                <w:rFonts w:hint="default"/>
                <w:color w:val="auto"/>
                <w:u w:val="none" w:color="auto"/>
                <w:lang w:val="en-US"/>
              </w:rPr>
            </w:pPr>
            <w:r>
              <w:rPr>
                <w:rFonts w:hint="eastAsia"/>
                <w:color w:val="auto"/>
                <w:u w:val="none" w:color="auto"/>
                <w:lang w:val="en-US" w:eastAsia="zh-CN"/>
              </w:rPr>
              <w:t>3#厂房</w:t>
            </w:r>
          </w:p>
        </w:tc>
        <w:tc>
          <w:tcPr>
            <w:tcW w:w="2714" w:type="dxa"/>
            <w:gridSpan w:val="3"/>
            <w:noWrap w:val="0"/>
            <w:vAlign w:val="center"/>
          </w:tcPr>
          <w:p w14:paraId="7F73209F">
            <w:pPr>
              <w:pStyle w:val="34"/>
              <w:bidi w:val="0"/>
              <w:rPr>
                <w:rFonts w:hint="default"/>
                <w:color w:val="auto"/>
                <w:u w:val="none" w:color="auto"/>
                <w:lang w:val="en-US" w:eastAsia="zh-CN"/>
              </w:rPr>
            </w:pPr>
            <w:r>
              <w:rPr>
                <w:rFonts w:hint="eastAsia"/>
                <w:color w:val="auto"/>
                <w:u w:val="none" w:color="auto"/>
                <w:lang w:val="en-US" w:eastAsia="zh-CN"/>
              </w:rPr>
              <w:t>1F、高度13.3m，单层轻钢框架结构，建筑面积3041.99m</w:t>
            </w:r>
            <w:r>
              <w:rPr>
                <w:rFonts w:hint="eastAsia"/>
                <w:color w:val="auto"/>
                <w:u w:val="none" w:color="auto"/>
                <w:vertAlign w:val="superscript"/>
                <w:lang w:val="en-US" w:eastAsia="zh-CN"/>
              </w:rPr>
              <w:t>2</w:t>
            </w:r>
          </w:p>
        </w:tc>
        <w:tc>
          <w:tcPr>
            <w:tcW w:w="2873" w:type="dxa"/>
            <w:noWrap w:val="0"/>
            <w:vAlign w:val="center"/>
          </w:tcPr>
          <w:p w14:paraId="57BB6576">
            <w:pPr>
              <w:pStyle w:val="34"/>
              <w:bidi w:val="0"/>
              <w:rPr>
                <w:rFonts w:hint="default" w:eastAsia="宋体"/>
                <w:color w:val="auto"/>
                <w:u w:val="none" w:color="auto"/>
                <w:lang w:val="en-US" w:eastAsia="zh-CN"/>
              </w:rPr>
            </w:pPr>
            <w:r>
              <w:rPr>
                <w:rFonts w:hint="eastAsia"/>
                <w:color w:val="auto"/>
                <w:u w:val="none" w:color="auto"/>
                <w:lang w:val="en-US" w:eastAsia="zh-CN"/>
              </w:rPr>
              <w:t>预留车间</w:t>
            </w:r>
          </w:p>
        </w:tc>
        <w:tc>
          <w:tcPr>
            <w:tcW w:w="1071" w:type="dxa"/>
            <w:noWrap w:val="0"/>
            <w:vAlign w:val="center"/>
          </w:tcPr>
          <w:p w14:paraId="682CCAAB">
            <w:pPr>
              <w:pStyle w:val="34"/>
              <w:bidi w:val="0"/>
              <w:rPr>
                <w:rFonts w:hint="default"/>
                <w:color w:val="auto"/>
                <w:u w:val="none" w:color="auto"/>
                <w:lang w:val="en-US" w:eastAsia="zh-CN"/>
              </w:rPr>
            </w:pPr>
            <w:r>
              <w:rPr>
                <w:rFonts w:hint="eastAsia"/>
                <w:color w:val="auto"/>
                <w:u w:val="none" w:color="auto"/>
                <w:lang w:val="en-US" w:eastAsia="zh-CN"/>
              </w:rPr>
              <w:t>新建</w:t>
            </w:r>
          </w:p>
        </w:tc>
      </w:tr>
      <w:tr w14:paraId="0CFB03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noWrap w:val="0"/>
            <w:vAlign w:val="center"/>
          </w:tcPr>
          <w:p w14:paraId="47B037CE">
            <w:pPr>
              <w:pStyle w:val="34"/>
              <w:bidi w:val="0"/>
              <w:rPr>
                <w:color w:val="auto"/>
                <w:u w:val="none" w:color="auto"/>
              </w:rPr>
            </w:pPr>
            <w:r>
              <w:rPr>
                <w:rFonts w:hint="eastAsia"/>
                <w:color w:val="auto"/>
                <w:u w:val="none" w:color="auto"/>
                <w:lang w:val="en-US" w:eastAsia="zh-CN"/>
              </w:rPr>
              <w:t>储运</w:t>
            </w:r>
            <w:r>
              <w:rPr>
                <w:color w:val="auto"/>
                <w:u w:val="none" w:color="auto"/>
              </w:rPr>
              <w:t>工程</w:t>
            </w:r>
          </w:p>
        </w:tc>
        <w:tc>
          <w:tcPr>
            <w:tcW w:w="1065" w:type="dxa"/>
            <w:noWrap w:val="0"/>
            <w:vAlign w:val="center"/>
          </w:tcPr>
          <w:p w14:paraId="2891E4A3">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半成品及成品区</w:t>
            </w:r>
          </w:p>
        </w:tc>
        <w:tc>
          <w:tcPr>
            <w:tcW w:w="2714" w:type="dxa"/>
            <w:gridSpan w:val="3"/>
            <w:noWrap w:val="0"/>
            <w:vAlign w:val="center"/>
          </w:tcPr>
          <w:p w14:paraId="44A9F8D9">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位于1#厂房南侧，占地面积2400m</w:t>
            </w:r>
            <w:r>
              <w:rPr>
                <w:rFonts w:hint="eastAsia"/>
                <w:color w:val="auto"/>
                <w:u w:val="none" w:color="auto"/>
                <w:vertAlign w:val="superscript"/>
                <w:lang w:val="en-US" w:eastAsia="zh-CN"/>
              </w:rPr>
              <w:t>2</w:t>
            </w:r>
          </w:p>
        </w:tc>
        <w:tc>
          <w:tcPr>
            <w:tcW w:w="2873" w:type="dxa"/>
            <w:noWrap w:val="0"/>
            <w:vAlign w:val="center"/>
          </w:tcPr>
          <w:p w14:paraId="6087296F">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用于半成品、成品的堆放</w:t>
            </w:r>
          </w:p>
        </w:tc>
        <w:tc>
          <w:tcPr>
            <w:tcW w:w="1071" w:type="dxa"/>
            <w:noWrap w:val="0"/>
            <w:vAlign w:val="center"/>
          </w:tcPr>
          <w:p w14:paraId="4F54CEFE">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新建</w:t>
            </w:r>
          </w:p>
        </w:tc>
      </w:tr>
      <w:tr w14:paraId="335C8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672E152E">
            <w:pPr>
              <w:pStyle w:val="34"/>
              <w:bidi w:val="0"/>
              <w:rPr>
                <w:rFonts w:hint="eastAsia"/>
                <w:color w:val="auto"/>
                <w:u w:val="none" w:color="auto"/>
                <w:lang w:val="en-US" w:eastAsia="zh-CN"/>
              </w:rPr>
            </w:pPr>
          </w:p>
        </w:tc>
        <w:tc>
          <w:tcPr>
            <w:tcW w:w="1065" w:type="dxa"/>
            <w:noWrap w:val="0"/>
            <w:vAlign w:val="center"/>
          </w:tcPr>
          <w:p w14:paraId="7D13345C">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仓库</w:t>
            </w:r>
          </w:p>
        </w:tc>
        <w:tc>
          <w:tcPr>
            <w:tcW w:w="2714" w:type="dxa"/>
            <w:gridSpan w:val="3"/>
            <w:noWrap w:val="0"/>
            <w:vAlign w:val="center"/>
          </w:tcPr>
          <w:p w14:paraId="6DC5E1C0">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位于2#厂房中部，占地面积1500m</w:t>
            </w:r>
            <w:r>
              <w:rPr>
                <w:rFonts w:hint="eastAsia"/>
                <w:color w:val="auto"/>
                <w:u w:val="none" w:color="auto"/>
                <w:vertAlign w:val="superscript"/>
                <w:lang w:val="en-US" w:eastAsia="zh-CN"/>
              </w:rPr>
              <w:t>2</w:t>
            </w:r>
          </w:p>
        </w:tc>
        <w:tc>
          <w:tcPr>
            <w:tcW w:w="2873" w:type="dxa"/>
            <w:noWrap w:val="0"/>
            <w:vAlign w:val="center"/>
          </w:tcPr>
          <w:p w14:paraId="12C177DC">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用于原辅材料的堆放</w:t>
            </w:r>
          </w:p>
        </w:tc>
        <w:tc>
          <w:tcPr>
            <w:tcW w:w="1071" w:type="dxa"/>
            <w:noWrap w:val="0"/>
            <w:vAlign w:val="center"/>
          </w:tcPr>
          <w:p w14:paraId="7B33F1CA">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新建</w:t>
            </w:r>
          </w:p>
        </w:tc>
      </w:tr>
      <w:tr w14:paraId="041CE6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70E621C0">
            <w:pPr>
              <w:pStyle w:val="34"/>
              <w:bidi w:val="0"/>
              <w:rPr>
                <w:rFonts w:hint="eastAsia"/>
                <w:color w:val="auto"/>
                <w:u w:val="none" w:color="auto"/>
                <w:lang w:val="en-US" w:eastAsia="zh-CN"/>
              </w:rPr>
            </w:pPr>
          </w:p>
        </w:tc>
        <w:tc>
          <w:tcPr>
            <w:tcW w:w="1065" w:type="dxa"/>
            <w:noWrap w:val="0"/>
            <w:vAlign w:val="center"/>
          </w:tcPr>
          <w:p w14:paraId="196CC501">
            <w:pPr>
              <w:pStyle w:val="34"/>
              <w:bidi w:val="0"/>
              <w:rPr>
                <w:rFonts w:hint="default"/>
                <w:color w:val="auto"/>
                <w:u w:val="none" w:color="auto"/>
                <w:lang w:val="en-US" w:eastAsia="zh-CN"/>
              </w:rPr>
            </w:pPr>
            <w:r>
              <w:rPr>
                <w:rFonts w:hint="eastAsia"/>
                <w:color w:val="auto"/>
                <w:u w:val="none" w:color="auto"/>
                <w:lang w:val="en-US" w:eastAsia="zh-CN"/>
              </w:rPr>
              <w:t>运输</w:t>
            </w:r>
          </w:p>
        </w:tc>
        <w:tc>
          <w:tcPr>
            <w:tcW w:w="5587" w:type="dxa"/>
            <w:gridSpan w:val="4"/>
            <w:noWrap w:val="0"/>
            <w:vAlign w:val="center"/>
          </w:tcPr>
          <w:p w14:paraId="3A7E55C6">
            <w:pPr>
              <w:pStyle w:val="34"/>
              <w:bidi w:val="0"/>
              <w:rPr>
                <w:rFonts w:hint="default"/>
                <w:color w:val="auto"/>
                <w:u w:val="none" w:color="auto"/>
                <w:lang w:val="en-US" w:eastAsia="zh-CN"/>
              </w:rPr>
            </w:pPr>
            <w:r>
              <w:rPr>
                <w:rFonts w:hint="eastAsia"/>
                <w:color w:val="auto"/>
                <w:u w:val="none" w:color="auto"/>
                <w:lang w:val="en-US" w:eastAsia="zh-CN"/>
              </w:rPr>
              <w:t>物料厂内运输主要采用叉车，厂外运输采用汽车</w:t>
            </w:r>
          </w:p>
        </w:tc>
        <w:tc>
          <w:tcPr>
            <w:tcW w:w="1071" w:type="dxa"/>
            <w:noWrap w:val="0"/>
            <w:vAlign w:val="center"/>
          </w:tcPr>
          <w:p w14:paraId="0AAAB95A">
            <w:pPr>
              <w:pStyle w:val="34"/>
              <w:bidi w:val="0"/>
              <w:rPr>
                <w:rFonts w:hint="default"/>
                <w:color w:val="auto"/>
                <w:u w:val="none" w:color="auto"/>
                <w:lang w:val="en-US" w:eastAsia="zh-CN"/>
              </w:rPr>
            </w:pPr>
            <w:r>
              <w:rPr>
                <w:rFonts w:hint="eastAsia"/>
                <w:color w:val="auto"/>
                <w:u w:val="none" w:color="auto"/>
                <w:lang w:val="en-US" w:eastAsia="zh-CN"/>
              </w:rPr>
              <w:t>新建</w:t>
            </w:r>
          </w:p>
        </w:tc>
      </w:tr>
      <w:tr w14:paraId="748BD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noWrap w:val="0"/>
            <w:vAlign w:val="center"/>
          </w:tcPr>
          <w:p w14:paraId="0B7D8B71">
            <w:pPr>
              <w:pStyle w:val="34"/>
              <w:bidi w:val="0"/>
              <w:rPr>
                <w:color w:val="auto"/>
                <w:u w:val="none" w:color="auto"/>
              </w:rPr>
            </w:pPr>
            <w:r>
              <w:rPr>
                <w:color w:val="auto"/>
                <w:u w:val="none" w:color="auto"/>
              </w:rPr>
              <w:t>辅助工程</w:t>
            </w:r>
          </w:p>
        </w:tc>
        <w:tc>
          <w:tcPr>
            <w:tcW w:w="1065" w:type="dxa"/>
            <w:noWrap w:val="0"/>
            <w:vAlign w:val="center"/>
          </w:tcPr>
          <w:p w14:paraId="027A0654">
            <w:pPr>
              <w:pStyle w:val="34"/>
              <w:bidi w:val="0"/>
              <w:rPr>
                <w:rFonts w:hint="eastAsia" w:eastAsia="宋体"/>
                <w:color w:val="auto"/>
                <w:u w:val="none" w:color="auto"/>
                <w:lang w:eastAsia="zh-CN"/>
              </w:rPr>
            </w:pPr>
            <w:r>
              <w:rPr>
                <w:rFonts w:hint="eastAsia"/>
                <w:color w:val="auto"/>
                <w:u w:val="none" w:color="auto"/>
                <w:lang w:val="en-US" w:eastAsia="zh-CN"/>
              </w:rPr>
              <w:t>综合楼</w:t>
            </w:r>
          </w:p>
        </w:tc>
        <w:tc>
          <w:tcPr>
            <w:tcW w:w="2714" w:type="dxa"/>
            <w:gridSpan w:val="3"/>
            <w:noWrap w:val="0"/>
            <w:vAlign w:val="center"/>
          </w:tcPr>
          <w:p w14:paraId="528B0A4A">
            <w:pPr>
              <w:pStyle w:val="34"/>
              <w:bidi w:val="0"/>
              <w:rPr>
                <w:rFonts w:hint="default"/>
                <w:color w:val="auto"/>
                <w:u w:val="none" w:color="auto"/>
                <w:vertAlign w:val="baseline"/>
                <w:lang w:val="en-US"/>
              </w:rPr>
            </w:pPr>
            <w:r>
              <w:rPr>
                <w:rFonts w:hint="eastAsia"/>
                <w:color w:val="auto"/>
                <w:u w:val="none" w:color="auto"/>
                <w:lang w:val="en-US" w:eastAsia="zh-CN"/>
              </w:rPr>
              <w:t>4F，位于厂区东南侧，占地面积794.64m</w:t>
            </w:r>
            <w:r>
              <w:rPr>
                <w:rFonts w:hint="eastAsia"/>
                <w:color w:val="auto"/>
                <w:u w:val="none" w:color="auto"/>
                <w:vertAlign w:val="superscript"/>
                <w:lang w:val="en-US" w:eastAsia="zh-CN"/>
              </w:rPr>
              <w:t>2</w:t>
            </w:r>
            <w:r>
              <w:rPr>
                <w:rFonts w:hint="eastAsia"/>
                <w:color w:val="auto"/>
                <w:u w:val="none" w:color="auto"/>
                <w:lang w:val="en-US" w:eastAsia="zh-CN"/>
              </w:rPr>
              <w:t>，建筑面积3132.88m</w:t>
            </w:r>
            <w:r>
              <w:rPr>
                <w:rFonts w:hint="eastAsia"/>
                <w:color w:val="auto"/>
                <w:u w:val="none" w:color="auto"/>
                <w:vertAlign w:val="superscript"/>
                <w:lang w:val="en-US" w:eastAsia="zh-CN"/>
              </w:rPr>
              <w:t>2</w:t>
            </w:r>
          </w:p>
        </w:tc>
        <w:tc>
          <w:tcPr>
            <w:tcW w:w="2873" w:type="dxa"/>
            <w:noWrap w:val="0"/>
            <w:vAlign w:val="center"/>
          </w:tcPr>
          <w:p w14:paraId="3A71044C">
            <w:pPr>
              <w:pStyle w:val="34"/>
              <w:bidi w:val="0"/>
              <w:rPr>
                <w:rFonts w:hint="default" w:eastAsia="宋体"/>
                <w:color w:val="auto"/>
                <w:u w:val="none" w:color="auto"/>
                <w:lang w:val="en-US" w:eastAsia="zh-CN"/>
              </w:rPr>
            </w:pPr>
            <w:r>
              <w:rPr>
                <w:rFonts w:hint="eastAsia"/>
                <w:color w:val="auto"/>
                <w:u w:val="none" w:color="auto"/>
                <w:lang w:val="en-US" w:eastAsia="zh-CN"/>
              </w:rPr>
              <w:t>员工办公生活</w:t>
            </w:r>
          </w:p>
        </w:tc>
        <w:tc>
          <w:tcPr>
            <w:tcW w:w="1071" w:type="dxa"/>
            <w:noWrap w:val="0"/>
            <w:vAlign w:val="center"/>
          </w:tcPr>
          <w:p w14:paraId="59364C97">
            <w:pPr>
              <w:pStyle w:val="34"/>
              <w:bidi w:val="0"/>
              <w:rPr>
                <w:color w:val="auto"/>
                <w:u w:val="none" w:color="auto"/>
              </w:rPr>
            </w:pPr>
            <w:r>
              <w:rPr>
                <w:rFonts w:hint="eastAsia"/>
                <w:color w:val="auto"/>
                <w:u w:val="none" w:color="auto"/>
                <w:lang w:val="en-US" w:eastAsia="zh-CN"/>
              </w:rPr>
              <w:t>新建</w:t>
            </w:r>
          </w:p>
        </w:tc>
      </w:tr>
      <w:tr w14:paraId="26724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08DB8E57">
            <w:pPr>
              <w:pStyle w:val="34"/>
              <w:bidi w:val="0"/>
              <w:rPr>
                <w:color w:val="auto"/>
                <w:u w:val="none" w:color="auto"/>
              </w:rPr>
            </w:pPr>
          </w:p>
        </w:tc>
        <w:tc>
          <w:tcPr>
            <w:tcW w:w="1065" w:type="dxa"/>
            <w:noWrap w:val="0"/>
            <w:vAlign w:val="center"/>
          </w:tcPr>
          <w:p w14:paraId="7DFA6BD0">
            <w:pPr>
              <w:pStyle w:val="34"/>
              <w:bidi w:val="0"/>
              <w:rPr>
                <w:rFonts w:hint="default" w:eastAsia="宋体"/>
                <w:color w:val="auto"/>
                <w:u w:val="none" w:color="auto"/>
                <w:lang w:val="en-US" w:eastAsia="zh-CN"/>
              </w:rPr>
            </w:pPr>
            <w:r>
              <w:rPr>
                <w:rFonts w:hint="eastAsia"/>
                <w:color w:val="auto"/>
                <w:u w:val="none" w:color="auto"/>
                <w:lang w:val="en-US" w:eastAsia="zh-CN"/>
              </w:rPr>
              <w:t>设备房</w:t>
            </w:r>
          </w:p>
        </w:tc>
        <w:tc>
          <w:tcPr>
            <w:tcW w:w="2714" w:type="dxa"/>
            <w:gridSpan w:val="3"/>
            <w:noWrap w:val="0"/>
            <w:vAlign w:val="center"/>
          </w:tcPr>
          <w:p w14:paraId="12590408">
            <w:pPr>
              <w:pStyle w:val="34"/>
              <w:bidi w:val="0"/>
              <w:rPr>
                <w:rFonts w:hint="default" w:eastAsia="宋体"/>
                <w:color w:val="auto"/>
                <w:u w:val="none" w:color="auto"/>
                <w:lang w:val="en-US" w:eastAsia="zh-CN"/>
              </w:rPr>
            </w:pPr>
            <w:r>
              <w:rPr>
                <w:rFonts w:hint="eastAsia"/>
                <w:color w:val="auto"/>
                <w:u w:val="none" w:color="auto"/>
                <w:lang w:val="en-US" w:eastAsia="zh-CN"/>
              </w:rPr>
              <w:t>位于厂区北侧，占地面积54m</w:t>
            </w:r>
            <w:r>
              <w:rPr>
                <w:rFonts w:hint="eastAsia"/>
                <w:color w:val="auto"/>
                <w:u w:val="none" w:color="auto"/>
                <w:vertAlign w:val="superscript"/>
                <w:lang w:val="en-US" w:eastAsia="zh-CN"/>
              </w:rPr>
              <w:t>2</w:t>
            </w:r>
          </w:p>
        </w:tc>
        <w:tc>
          <w:tcPr>
            <w:tcW w:w="2873" w:type="dxa"/>
            <w:noWrap w:val="0"/>
            <w:vAlign w:val="center"/>
          </w:tcPr>
          <w:p w14:paraId="2DD1492E">
            <w:pPr>
              <w:pStyle w:val="34"/>
              <w:bidi w:val="0"/>
              <w:rPr>
                <w:rFonts w:hint="default" w:eastAsia="宋体"/>
                <w:color w:val="auto"/>
                <w:u w:val="none" w:color="auto"/>
                <w:lang w:val="en-US" w:eastAsia="zh-CN"/>
              </w:rPr>
            </w:pPr>
            <w:r>
              <w:rPr>
                <w:rFonts w:hint="eastAsia"/>
                <w:color w:val="auto"/>
                <w:u w:val="none" w:color="auto"/>
                <w:lang w:val="en-US" w:eastAsia="zh-CN"/>
              </w:rPr>
              <w:t>设备维修</w:t>
            </w:r>
          </w:p>
        </w:tc>
        <w:tc>
          <w:tcPr>
            <w:tcW w:w="1071" w:type="dxa"/>
            <w:noWrap w:val="0"/>
            <w:vAlign w:val="center"/>
          </w:tcPr>
          <w:p w14:paraId="42BFCE11">
            <w:pPr>
              <w:pStyle w:val="34"/>
              <w:bidi w:val="0"/>
              <w:rPr>
                <w:color w:val="auto"/>
                <w:u w:val="none" w:color="auto"/>
              </w:rPr>
            </w:pPr>
            <w:r>
              <w:rPr>
                <w:rFonts w:hint="eastAsia"/>
                <w:color w:val="auto"/>
                <w:u w:val="none" w:color="auto"/>
                <w:lang w:val="en-US" w:eastAsia="zh-CN"/>
              </w:rPr>
              <w:t>新建</w:t>
            </w:r>
          </w:p>
        </w:tc>
      </w:tr>
      <w:tr w14:paraId="7BAD29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6BCC4F85">
            <w:pPr>
              <w:pStyle w:val="34"/>
              <w:bidi w:val="0"/>
              <w:rPr>
                <w:color w:val="auto"/>
                <w:u w:val="none" w:color="auto"/>
              </w:rPr>
            </w:pPr>
          </w:p>
        </w:tc>
        <w:tc>
          <w:tcPr>
            <w:tcW w:w="1065" w:type="dxa"/>
            <w:noWrap w:val="0"/>
            <w:vAlign w:val="center"/>
          </w:tcPr>
          <w:p w14:paraId="434EFB98">
            <w:pPr>
              <w:pStyle w:val="34"/>
              <w:bidi w:val="0"/>
              <w:rPr>
                <w:rFonts w:hint="default"/>
                <w:color w:val="auto"/>
                <w:u w:val="none" w:color="auto"/>
                <w:lang w:val="en-US" w:eastAsia="zh-CN"/>
              </w:rPr>
            </w:pPr>
            <w:r>
              <w:rPr>
                <w:rFonts w:hint="eastAsia"/>
                <w:color w:val="auto"/>
                <w:u w:val="none" w:color="auto"/>
                <w:lang w:val="en-US" w:eastAsia="zh-CN"/>
              </w:rPr>
              <w:t>门卫室</w:t>
            </w:r>
          </w:p>
        </w:tc>
        <w:tc>
          <w:tcPr>
            <w:tcW w:w="2714" w:type="dxa"/>
            <w:gridSpan w:val="3"/>
            <w:noWrap w:val="0"/>
            <w:vAlign w:val="center"/>
          </w:tcPr>
          <w:p w14:paraId="4ACB22B2">
            <w:pPr>
              <w:pStyle w:val="34"/>
              <w:bidi w:val="0"/>
              <w:rPr>
                <w:rFonts w:hint="default"/>
                <w:color w:val="auto"/>
                <w:u w:val="none" w:color="auto"/>
                <w:lang w:val="en-US" w:eastAsia="zh-CN"/>
              </w:rPr>
            </w:pPr>
            <w:r>
              <w:rPr>
                <w:rFonts w:hint="eastAsia"/>
                <w:color w:val="auto"/>
                <w:u w:val="none" w:color="auto"/>
                <w:lang w:val="en-US" w:eastAsia="zh-CN"/>
              </w:rPr>
              <w:t>位于厂区东侧，占地面积27m</w:t>
            </w:r>
            <w:r>
              <w:rPr>
                <w:rFonts w:hint="eastAsia"/>
                <w:color w:val="auto"/>
                <w:u w:val="none" w:color="auto"/>
                <w:vertAlign w:val="superscript"/>
                <w:lang w:val="en-US" w:eastAsia="zh-CN"/>
              </w:rPr>
              <w:t>2</w:t>
            </w:r>
          </w:p>
        </w:tc>
        <w:tc>
          <w:tcPr>
            <w:tcW w:w="2873" w:type="dxa"/>
            <w:noWrap w:val="0"/>
            <w:vAlign w:val="center"/>
          </w:tcPr>
          <w:p w14:paraId="6F09E778">
            <w:pPr>
              <w:pStyle w:val="34"/>
              <w:bidi w:val="0"/>
              <w:rPr>
                <w:rFonts w:hint="default"/>
                <w:color w:val="auto"/>
                <w:u w:val="none" w:color="auto"/>
                <w:lang w:val="en-US" w:eastAsia="zh-CN"/>
              </w:rPr>
            </w:pPr>
            <w:r>
              <w:rPr>
                <w:rFonts w:hint="eastAsia"/>
                <w:color w:val="auto"/>
                <w:u w:val="none" w:color="auto"/>
                <w:lang w:val="en-US" w:eastAsia="zh-CN"/>
              </w:rPr>
              <w:t>车辆人员进出管理</w:t>
            </w:r>
          </w:p>
        </w:tc>
        <w:tc>
          <w:tcPr>
            <w:tcW w:w="1071" w:type="dxa"/>
            <w:noWrap w:val="0"/>
            <w:vAlign w:val="center"/>
          </w:tcPr>
          <w:p w14:paraId="4E22C01C">
            <w:pPr>
              <w:pStyle w:val="34"/>
              <w:bidi w:val="0"/>
              <w:rPr>
                <w:rFonts w:hint="default"/>
                <w:color w:val="auto"/>
                <w:u w:val="none" w:color="auto"/>
                <w:lang w:val="en-US" w:eastAsia="zh-CN"/>
              </w:rPr>
            </w:pPr>
            <w:r>
              <w:rPr>
                <w:rFonts w:hint="eastAsia"/>
                <w:color w:val="auto"/>
                <w:u w:val="none" w:color="auto"/>
                <w:lang w:val="en-US" w:eastAsia="zh-CN"/>
              </w:rPr>
              <w:t>新建</w:t>
            </w:r>
          </w:p>
        </w:tc>
      </w:tr>
      <w:tr w14:paraId="6158D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noWrap w:val="0"/>
            <w:vAlign w:val="center"/>
          </w:tcPr>
          <w:p w14:paraId="1D2B6646">
            <w:pPr>
              <w:pStyle w:val="34"/>
              <w:bidi w:val="0"/>
              <w:rPr>
                <w:color w:val="auto"/>
                <w:u w:val="none" w:color="auto"/>
              </w:rPr>
            </w:pPr>
            <w:r>
              <w:rPr>
                <w:color w:val="auto"/>
                <w:u w:val="none" w:color="auto"/>
              </w:rPr>
              <w:t>公用工程</w:t>
            </w:r>
          </w:p>
        </w:tc>
        <w:tc>
          <w:tcPr>
            <w:tcW w:w="1065" w:type="dxa"/>
            <w:noWrap w:val="0"/>
            <w:vAlign w:val="center"/>
          </w:tcPr>
          <w:p w14:paraId="0FB47DB3">
            <w:pPr>
              <w:pStyle w:val="34"/>
              <w:bidi w:val="0"/>
              <w:rPr>
                <w:color w:val="auto"/>
                <w:u w:val="none" w:color="auto"/>
              </w:rPr>
            </w:pPr>
            <w:r>
              <w:rPr>
                <w:color w:val="auto"/>
                <w:u w:val="none" w:color="auto"/>
              </w:rPr>
              <w:t>供电</w:t>
            </w:r>
          </w:p>
        </w:tc>
        <w:tc>
          <w:tcPr>
            <w:tcW w:w="5587" w:type="dxa"/>
            <w:gridSpan w:val="4"/>
            <w:noWrap w:val="0"/>
            <w:vAlign w:val="center"/>
          </w:tcPr>
          <w:p w14:paraId="7D29584C">
            <w:pPr>
              <w:pStyle w:val="34"/>
              <w:bidi w:val="0"/>
              <w:rPr>
                <w:rFonts w:hint="eastAsia"/>
                <w:color w:val="auto"/>
                <w:u w:val="none" w:color="auto"/>
              </w:rPr>
            </w:pPr>
            <w:r>
              <w:rPr>
                <w:rFonts w:hint="eastAsia"/>
                <w:color w:val="auto"/>
                <w:u w:val="none" w:color="auto"/>
              </w:rPr>
              <w:t>工业园电网供给</w:t>
            </w:r>
          </w:p>
        </w:tc>
        <w:tc>
          <w:tcPr>
            <w:tcW w:w="1071" w:type="dxa"/>
            <w:vMerge w:val="restart"/>
            <w:noWrap w:val="0"/>
            <w:vAlign w:val="center"/>
          </w:tcPr>
          <w:p w14:paraId="589EA708">
            <w:pPr>
              <w:pStyle w:val="34"/>
              <w:bidi w:val="0"/>
              <w:rPr>
                <w:rFonts w:hint="eastAsia"/>
                <w:color w:val="auto"/>
                <w:u w:val="none" w:color="auto"/>
              </w:rPr>
            </w:pPr>
            <w:r>
              <w:rPr>
                <w:rFonts w:hint="eastAsia"/>
                <w:color w:val="auto"/>
                <w:u w:val="none" w:color="auto"/>
              </w:rPr>
              <w:t>依托</w:t>
            </w:r>
          </w:p>
        </w:tc>
      </w:tr>
      <w:tr w14:paraId="27915D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3456CD6A">
            <w:pPr>
              <w:pStyle w:val="34"/>
              <w:bidi w:val="0"/>
              <w:rPr>
                <w:color w:val="auto"/>
                <w:u w:val="none" w:color="auto"/>
              </w:rPr>
            </w:pPr>
          </w:p>
        </w:tc>
        <w:tc>
          <w:tcPr>
            <w:tcW w:w="1065" w:type="dxa"/>
            <w:noWrap w:val="0"/>
            <w:vAlign w:val="center"/>
          </w:tcPr>
          <w:p w14:paraId="7D318344">
            <w:pPr>
              <w:pStyle w:val="34"/>
              <w:bidi w:val="0"/>
              <w:rPr>
                <w:color w:val="auto"/>
                <w:u w:val="none" w:color="auto"/>
              </w:rPr>
            </w:pPr>
            <w:r>
              <w:rPr>
                <w:color w:val="auto"/>
                <w:u w:val="none" w:color="auto"/>
              </w:rPr>
              <w:t>给水</w:t>
            </w:r>
          </w:p>
        </w:tc>
        <w:tc>
          <w:tcPr>
            <w:tcW w:w="5587" w:type="dxa"/>
            <w:gridSpan w:val="4"/>
            <w:noWrap w:val="0"/>
            <w:vAlign w:val="center"/>
          </w:tcPr>
          <w:p w14:paraId="35B54CC3">
            <w:pPr>
              <w:pStyle w:val="34"/>
              <w:bidi w:val="0"/>
              <w:rPr>
                <w:rFonts w:hint="default" w:eastAsia="宋体"/>
                <w:color w:val="auto"/>
                <w:u w:val="none" w:color="auto"/>
                <w:lang w:val="en-US" w:eastAsia="zh-CN"/>
              </w:rPr>
            </w:pPr>
            <w:r>
              <w:rPr>
                <w:rFonts w:hint="eastAsia"/>
                <w:color w:val="auto"/>
                <w:u w:val="none" w:color="auto"/>
              </w:rPr>
              <w:t>由园区自来水管网供应</w:t>
            </w:r>
          </w:p>
        </w:tc>
        <w:tc>
          <w:tcPr>
            <w:tcW w:w="1071" w:type="dxa"/>
            <w:vMerge w:val="continue"/>
            <w:noWrap w:val="0"/>
            <w:vAlign w:val="center"/>
          </w:tcPr>
          <w:p w14:paraId="4109864D">
            <w:pPr>
              <w:pStyle w:val="34"/>
              <w:bidi w:val="0"/>
              <w:rPr>
                <w:color w:val="auto"/>
                <w:u w:val="none" w:color="auto"/>
              </w:rPr>
            </w:pPr>
          </w:p>
        </w:tc>
      </w:tr>
      <w:tr w14:paraId="7B66A8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6CD1FF57">
            <w:pPr>
              <w:pStyle w:val="34"/>
              <w:bidi w:val="0"/>
              <w:rPr>
                <w:color w:val="auto"/>
                <w:u w:val="none" w:color="auto"/>
              </w:rPr>
            </w:pPr>
          </w:p>
        </w:tc>
        <w:tc>
          <w:tcPr>
            <w:tcW w:w="1065" w:type="dxa"/>
            <w:noWrap w:val="0"/>
            <w:vAlign w:val="center"/>
          </w:tcPr>
          <w:p w14:paraId="065D0232">
            <w:pPr>
              <w:pStyle w:val="34"/>
              <w:bidi w:val="0"/>
              <w:rPr>
                <w:rFonts w:hint="eastAsia" w:eastAsia="宋体"/>
                <w:color w:val="auto"/>
                <w:u w:val="none" w:color="auto"/>
                <w:lang w:val="en-US" w:eastAsia="zh-CN"/>
              </w:rPr>
            </w:pPr>
            <w:r>
              <w:rPr>
                <w:rFonts w:hint="eastAsia"/>
                <w:color w:val="auto"/>
                <w:u w:val="none" w:color="auto"/>
                <w:lang w:val="en-US" w:eastAsia="zh-CN"/>
              </w:rPr>
              <w:t>供热</w:t>
            </w:r>
          </w:p>
        </w:tc>
        <w:tc>
          <w:tcPr>
            <w:tcW w:w="5587" w:type="dxa"/>
            <w:gridSpan w:val="4"/>
            <w:noWrap w:val="0"/>
            <w:vAlign w:val="center"/>
          </w:tcPr>
          <w:p w14:paraId="5EAC5702">
            <w:pPr>
              <w:pStyle w:val="34"/>
              <w:bidi w:val="0"/>
              <w:rPr>
                <w:rFonts w:hint="default" w:eastAsia="宋体"/>
                <w:color w:val="auto"/>
                <w:u w:val="none" w:color="auto"/>
                <w:lang w:val="en-US" w:eastAsia="zh-CN"/>
              </w:rPr>
            </w:pPr>
            <w:r>
              <w:rPr>
                <w:rFonts w:hint="eastAsia"/>
                <w:color w:val="auto"/>
                <w:u w:val="none" w:color="auto"/>
                <w:lang w:val="en-US" w:eastAsia="zh-CN"/>
              </w:rPr>
              <w:t>设备采用电加热</w:t>
            </w:r>
          </w:p>
        </w:tc>
        <w:tc>
          <w:tcPr>
            <w:tcW w:w="1071" w:type="dxa"/>
            <w:noWrap w:val="0"/>
            <w:vAlign w:val="center"/>
          </w:tcPr>
          <w:p w14:paraId="3D029079">
            <w:pPr>
              <w:pStyle w:val="34"/>
              <w:bidi w:val="0"/>
              <w:rPr>
                <w:rFonts w:hint="eastAsia" w:eastAsia="宋体"/>
                <w:color w:val="auto"/>
                <w:u w:val="none" w:color="auto"/>
                <w:lang w:val="en-US" w:eastAsia="zh-CN"/>
              </w:rPr>
            </w:pPr>
            <w:r>
              <w:rPr>
                <w:rFonts w:hint="eastAsia"/>
                <w:color w:val="auto"/>
                <w:u w:val="none" w:color="auto"/>
                <w:lang w:val="en-US" w:eastAsia="zh-CN"/>
              </w:rPr>
              <w:t>新建</w:t>
            </w:r>
          </w:p>
        </w:tc>
      </w:tr>
      <w:tr w14:paraId="3C98C5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restart"/>
            <w:noWrap w:val="0"/>
            <w:vAlign w:val="center"/>
          </w:tcPr>
          <w:p w14:paraId="764B123A">
            <w:pPr>
              <w:pStyle w:val="34"/>
              <w:bidi w:val="0"/>
              <w:rPr>
                <w:color w:val="auto"/>
                <w:u w:val="none" w:color="auto"/>
              </w:rPr>
            </w:pPr>
            <w:r>
              <w:rPr>
                <w:color w:val="auto"/>
                <w:u w:val="none" w:color="auto"/>
              </w:rPr>
              <w:t>环保工程</w:t>
            </w:r>
          </w:p>
        </w:tc>
        <w:tc>
          <w:tcPr>
            <w:tcW w:w="1065" w:type="dxa"/>
            <w:vMerge w:val="restart"/>
            <w:noWrap w:val="0"/>
            <w:vAlign w:val="center"/>
          </w:tcPr>
          <w:p w14:paraId="6073B83A">
            <w:pPr>
              <w:pStyle w:val="34"/>
              <w:bidi w:val="0"/>
              <w:rPr>
                <w:color w:val="auto"/>
                <w:u w:val="none" w:color="auto"/>
              </w:rPr>
            </w:pPr>
            <w:r>
              <w:rPr>
                <w:color w:val="auto"/>
                <w:u w:val="none" w:color="auto"/>
              </w:rPr>
              <w:t>废气治理设施</w:t>
            </w:r>
          </w:p>
        </w:tc>
        <w:tc>
          <w:tcPr>
            <w:tcW w:w="1132" w:type="dxa"/>
            <w:noWrap w:val="0"/>
            <w:vAlign w:val="center"/>
          </w:tcPr>
          <w:p w14:paraId="1475F6F1">
            <w:pPr>
              <w:pStyle w:val="34"/>
              <w:bidi w:val="0"/>
              <w:rPr>
                <w:rFonts w:hint="default"/>
                <w:color w:val="auto"/>
                <w:u w:val="none" w:color="auto"/>
                <w:lang w:val="en-US" w:eastAsia="zh-CN"/>
              </w:rPr>
            </w:pPr>
            <w:r>
              <w:rPr>
                <w:rFonts w:hint="eastAsia"/>
                <w:color w:val="auto"/>
                <w:u w:val="none" w:color="auto"/>
                <w:lang w:val="en-US" w:eastAsia="zh-CN"/>
              </w:rPr>
              <w:t>主要原料投料粉尘</w:t>
            </w:r>
          </w:p>
        </w:tc>
        <w:tc>
          <w:tcPr>
            <w:tcW w:w="4455" w:type="dxa"/>
            <w:gridSpan w:val="3"/>
            <w:noWrap w:val="0"/>
            <w:vAlign w:val="center"/>
          </w:tcPr>
          <w:p w14:paraId="131A0F21">
            <w:pPr>
              <w:pStyle w:val="34"/>
              <w:bidi w:val="0"/>
              <w:rPr>
                <w:rFonts w:hint="default"/>
                <w:color w:val="auto"/>
                <w:u w:val="none" w:color="auto"/>
                <w:lang w:val="en-US" w:eastAsia="zh-CN"/>
              </w:rPr>
            </w:pPr>
            <w:r>
              <w:rPr>
                <w:rFonts w:hint="eastAsia"/>
                <w:color w:val="auto"/>
                <w:u w:val="none" w:color="auto"/>
                <w:lang w:val="en-US" w:eastAsia="zh-CN"/>
              </w:rPr>
              <w:t>设备自带布袋除尘器、车间沉降</w:t>
            </w:r>
          </w:p>
        </w:tc>
        <w:tc>
          <w:tcPr>
            <w:tcW w:w="1071" w:type="dxa"/>
            <w:noWrap w:val="0"/>
            <w:vAlign w:val="center"/>
          </w:tcPr>
          <w:p w14:paraId="1E5425CF">
            <w:pPr>
              <w:pStyle w:val="34"/>
              <w:bidi w:val="0"/>
              <w:rPr>
                <w:rFonts w:hint="default"/>
                <w:color w:val="auto"/>
                <w:u w:val="none" w:color="auto"/>
                <w:lang w:val="en-US" w:eastAsia="zh-CN"/>
              </w:rPr>
            </w:pPr>
            <w:r>
              <w:rPr>
                <w:rFonts w:hint="eastAsia"/>
                <w:color w:val="auto"/>
                <w:u w:val="none" w:color="auto"/>
                <w:lang w:val="en-US" w:eastAsia="zh-CN"/>
              </w:rPr>
              <w:t>新建</w:t>
            </w:r>
          </w:p>
        </w:tc>
      </w:tr>
      <w:tr w14:paraId="40D40C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2DED9564">
            <w:pPr>
              <w:pStyle w:val="34"/>
              <w:bidi w:val="0"/>
              <w:rPr>
                <w:color w:val="auto"/>
                <w:u w:val="none" w:color="auto"/>
              </w:rPr>
            </w:pPr>
          </w:p>
        </w:tc>
        <w:tc>
          <w:tcPr>
            <w:tcW w:w="1065" w:type="dxa"/>
            <w:vMerge w:val="continue"/>
            <w:noWrap w:val="0"/>
            <w:vAlign w:val="center"/>
          </w:tcPr>
          <w:p w14:paraId="6FC5CBB1">
            <w:pPr>
              <w:pStyle w:val="34"/>
              <w:bidi w:val="0"/>
              <w:rPr>
                <w:color w:val="auto"/>
                <w:u w:val="none" w:color="auto"/>
              </w:rPr>
            </w:pPr>
          </w:p>
        </w:tc>
        <w:tc>
          <w:tcPr>
            <w:tcW w:w="1132" w:type="dxa"/>
            <w:noWrap w:val="0"/>
            <w:vAlign w:val="center"/>
          </w:tcPr>
          <w:p w14:paraId="3E6C5FDE">
            <w:pPr>
              <w:pStyle w:val="34"/>
              <w:bidi w:val="0"/>
              <w:rPr>
                <w:rFonts w:hint="default"/>
                <w:color w:val="auto"/>
                <w:u w:val="none" w:color="auto"/>
                <w:lang w:val="en-US" w:eastAsia="zh-CN"/>
              </w:rPr>
            </w:pPr>
            <w:r>
              <w:rPr>
                <w:rFonts w:hint="eastAsia"/>
                <w:color w:val="auto"/>
                <w:u w:val="none" w:color="auto"/>
                <w:lang w:val="en-US" w:eastAsia="zh-CN"/>
              </w:rPr>
              <w:t>破碎、磨粉、其他辅料投料、混料废气</w:t>
            </w:r>
          </w:p>
        </w:tc>
        <w:tc>
          <w:tcPr>
            <w:tcW w:w="4455" w:type="dxa"/>
            <w:gridSpan w:val="3"/>
            <w:noWrap w:val="0"/>
            <w:vAlign w:val="center"/>
          </w:tcPr>
          <w:p w14:paraId="5BCB8CE2">
            <w:pPr>
              <w:pStyle w:val="34"/>
              <w:bidi w:val="0"/>
              <w:rPr>
                <w:rFonts w:hint="default"/>
                <w:color w:val="auto"/>
                <w:u w:val="none" w:color="auto"/>
                <w:lang w:val="en-US"/>
              </w:rPr>
            </w:pPr>
            <w:r>
              <w:rPr>
                <w:rFonts w:hint="eastAsia"/>
                <w:color w:val="auto"/>
                <w:u w:val="none" w:color="auto"/>
                <w:lang w:val="en-US" w:eastAsia="zh-CN"/>
              </w:rPr>
              <w:t>集气罩+垂帘+脉冲布袋除尘器+15m高排气筒（DA001）</w:t>
            </w:r>
          </w:p>
        </w:tc>
        <w:tc>
          <w:tcPr>
            <w:tcW w:w="1071" w:type="dxa"/>
            <w:noWrap w:val="0"/>
            <w:vAlign w:val="center"/>
          </w:tcPr>
          <w:p w14:paraId="64BD634E">
            <w:pPr>
              <w:pStyle w:val="34"/>
              <w:bidi w:val="0"/>
              <w:rPr>
                <w:rFonts w:hint="default"/>
                <w:color w:val="auto"/>
                <w:u w:val="none" w:color="auto"/>
                <w:lang w:val="en-US" w:eastAsia="zh-CN"/>
              </w:rPr>
            </w:pPr>
            <w:r>
              <w:rPr>
                <w:rFonts w:hint="eastAsia"/>
                <w:color w:val="auto"/>
                <w:u w:val="none" w:color="auto"/>
                <w:lang w:val="en-US" w:eastAsia="zh-CN"/>
              </w:rPr>
              <w:t>新建</w:t>
            </w:r>
          </w:p>
        </w:tc>
      </w:tr>
      <w:tr w14:paraId="2138BF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600144EF">
            <w:pPr>
              <w:pStyle w:val="34"/>
              <w:bidi w:val="0"/>
              <w:rPr>
                <w:color w:val="auto"/>
                <w:u w:val="none" w:color="auto"/>
              </w:rPr>
            </w:pPr>
          </w:p>
        </w:tc>
        <w:tc>
          <w:tcPr>
            <w:tcW w:w="1065" w:type="dxa"/>
            <w:vMerge w:val="continue"/>
            <w:noWrap w:val="0"/>
            <w:vAlign w:val="center"/>
          </w:tcPr>
          <w:p w14:paraId="3DDB1428">
            <w:pPr>
              <w:pStyle w:val="34"/>
              <w:bidi w:val="0"/>
              <w:rPr>
                <w:color w:val="auto"/>
                <w:u w:val="none" w:color="auto"/>
              </w:rPr>
            </w:pPr>
          </w:p>
        </w:tc>
        <w:tc>
          <w:tcPr>
            <w:tcW w:w="1132" w:type="dxa"/>
            <w:noWrap w:val="0"/>
            <w:vAlign w:val="center"/>
          </w:tcPr>
          <w:p w14:paraId="4EE7E3F7">
            <w:pPr>
              <w:pStyle w:val="34"/>
              <w:bidi w:val="0"/>
              <w:ind w:firstLine="0" w:firstLineChars="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1#厂房挤出、覆膜</w:t>
            </w:r>
            <w:r>
              <w:rPr>
                <w:rFonts w:hint="eastAsia"/>
                <w:color w:val="auto"/>
                <w:u w:val="none" w:color="auto"/>
              </w:rPr>
              <w:t>废气</w:t>
            </w:r>
          </w:p>
        </w:tc>
        <w:tc>
          <w:tcPr>
            <w:tcW w:w="4455" w:type="dxa"/>
            <w:gridSpan w:val="3"/>
            <w:noWrap w:val="0"/>
            <w:vAlign w:val="center"/>
          </w:tcPr>
          <w:p w14:paraId="4F88F438">
            <w:pPr>
              <w:pStyle w:val="34"/>
              <w:bidi w:val="0"/>
              <w:ind w:firstLine="0" w:firstLineChars="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集气罩+垂帘+两级活性炭吸附+15m高排气筒（DA002）</w:t>
            </w:r>
          </w:p>
        </w:tc>
        <w:tc>
          <w:tcPr>
            <w:tcW w:w="1071" w:type="dxa"/>
            <w:noWrap w:val="0"/>
            <w:vAlign w:val="center"/>
          </w:tcPr>
          <w:p w14:paraId="2A7843E5">
            <w:pPr>
              <w:pStyle w:val="34"/>
              <w:bidi w:val="0"/>
              <w:ind w:firstLine="0" w:firstLineChars="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新建</w:t>
            </w:r>
          </w:p>
        </w:tc>
      </w:tr>
      <w:tr w14:paraId="55B47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19CF65FE">
            <w:pPr>
              <w:pStyle w:val="34"/>
              <w:bidi w:val="0"/>
              <w:rPr>
                <w:color w:val="auto"/>
                <w:u w:val="none" w:color="auto"/>
              </w:rPr>
            </w:pPr>
          </w:p>
        </w:tc>
        <w:tc>
          <w:tcPr>
            <w:tcW w:w="1065" w:type="dxa"/>
            <w:vMerge w:val="continue"/>
            <w:noWrap w:val="0"/>
            <w:vAlign w:val="center"/>
          </w:tcPr>
          <w:p w14:paraId="563EBF60">
            <w:pPr>
              <w:pStyle w:val="34"/>
              <w:bidi w:val="0"/>
              <w:rPr>
                <w:color w:val="auto"/>
                <w:u w:val="none" w:color="auto"/>
              </w:rPr>
            </w:pPr>
          </w:p>
        </w:tc>
        <w:tc>
          <w:tcPr>
            <w:tcW w:w="1132" w:type="dxa"/>
            <w:noWrap w:val="0"/>
            <w:vAlign w:val="center"/>
          </w:tcPr>
          <w:p w14:paraId="44E600AD">
            <w:pPr>
              <w:pStyle w:val="34"/>
              <w:bidi w:val="0"/>
              <w:rPr>
                <w:rFonts w:hint="default"/>
                <w:color w:val="auto"/>
                <w:u w:val="none" w:color="auto"/>
                <w:lang w:val="en-US" w:eastAsia="zh-CN"/>
              </w:rPr>
            </w:pPr>
            <w:r>
              <w:rPr>
                <w:rFonts w:hint="eastAsia"/>
                <w:color w:val="auto"/>
                <w:u w:val="none" w:color="auto"/>
                <w:lang w:val="en-US" w:eastAsia="zh-CN"/>
              </w:rPr>
              <w:t>2#厂房覆膜废气</w:t>
            </w:r>
          </w:p>
        </w:tc>
        <w:tc>
          <w:tcPr>
            <w:tcW w:w="4455" w:type="dxa"/>
            <w:gridSpan w:val="3"/>
            <w:noWrap w:val="0"/>
            <w:vAlign w:val="center"/>
          </w:tcPr>
          <w:p w14:paraId="36EBB0B0">
            <w:pPr>
              <w:pStyle w:val="34"/>
              <w:bidi w:val="0"/>
              <w:rPr>
                <w:rFonts w:hint="eastAsia"/>
                <w:color w:val="auto"/>
                <w:u w:val="none" w:color="auto"/>
                <w:lang w:val="en-US" w:eastAsia="zh-CN"/>
              </w:rPr>
            </w:pPr>
            <w:r>
              <w:rPr>
                <w:rFonts w:hint="eastAsia"/>
                <w:color w:val="auto"/>
                <w:u w:val="none" w:color="auto"/>
                <w:lang w:val="en-US" w:eastAsia="zh-CN"/>
              </w:rPr>
              <w:t>集气罩+垂帘（溶剂型胶粘剂覆膜机加装设置为区域半封闭）+两级活性炭吸附+15m高排气筒（DA003）</w:t>
            </w:r>
          </w:p>
        </w:tc>
        <w:tc>
          <w:tcPr>
            <w:tcW w:w="1071" w:type="dxa"/>
            <w:noWrap w:val="0"/>
            <w:vAlign w:val="center"/>
          </w:tcPr>
          <w:p w14:paraId="662F5CBF">
            <w:pPr>
              <w:pStyle w:val="34"/>
              <w:bidi w:val="0"/>
              <w:rPr>
                <w:rFonts w:hint="default"/>
                <w:color w:val="auto"/>
                <w:u w:val="none" w:color="auto"/>
                <w:lang w:val="en-US" w:eastAsia="zh-CN"/>
              </w:rPr>
            </w:pPr>
            <w:r>
              <w:rPr>
                <w:rFonts w:hint="eastAsia"/>
                <w:color w:val="auto"/>
                <w:u w:val="none" w:color="auto"/>
                <w:lang w:val="en-US" w:eastAsia="zh-CN"/>
              </w:rPr>
              <w:t>新建</w:t>
            </w:r>
          </w:p>
        </w:tc>
      </w:tr>
      <w:tr w14:paraId="3C0C7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7DB17480">
            <w:pPr>
              <w:pStyle w:val="34"/>
              <w:bidi w:val="0"/>
              <w:rPr>
                <w:color w:val="auto"/>
                <w:u w:val="none" w:color="auto"/>
              </w:rPr>
            </w:pPr>
          </w:p>
        </w:tc>
        <w:tc>
          <w:tcPr>
            <w:tcW w:w="1065" w:type="dxa"/>
            <w:noWrap w:val="0"/>
            <w:vAlign w:val="center"/>
          </w:tcPr>
          <w:p w14:paraId="4E72A651">
            <w:pPr>
              <w:pStyle w:val="34"/>
              <w:bidi w:val="0"/>
              <w:rPr>
                <w:color w:val="auto"/>
                <w:u w:val="none" w:color="auto"/>
              </w:rPr>
            </w:pPr>
            <w:r>
              <w:rPr>
                <w:color w:val="auto"/>
                <w:u w:val="none" w:color="auto"/>
              </w:rPr>
              <w:t>噪声治理设施</w:t>
            </w:r>
          </w:p>
        </w:tc>
        <w:tc>
          <w:tcPr>
            <w:tcW w:w="1132" w:type="dxa"/>
            <w:noWrap w:val="0"/>
            <w:vAlign w:val="center"/>
          </w:tcPr>
          <w:p w14:paraId="78D6E9C6">
            <w:pPr>
              <w:pStyle w:val="34"/>
              <w:bidi w:val="0"/>
              <w:rPr>
                <w:rFonts w:hint="default" w:eastAsia="宋体"/>
                <w:color w:val="auto"/>
                <w:u w:val="none" w:color="auto"/>
                <w:lang w:val="en-US" w:eastAsia="zh-CN"/>
              </w:rPr>
            </w:pPr>
            <w:r>
              <w:rPr>
                <w:rFonts w:hint="eastAsia"/>
                <w:color w:val="auto"/>
                <w:u w:val="none" w:color="auto"/>
                <w:lang w:val="en-US" w:eastAsia="zh-CN"/>
              </w:rPr>
              <w:t>噪声治理</w:t>
            </w:r>
          </w:p>
        </w:tc>
        <w:tc>
          <w:tcPr>
            <w:tcW w:w="4455" w:type="dxa"/>
            <w:gridSpan w:val="3"/>
            <w:noWrap w:val="0"/>
            <w:vAlign w:val="center"/>
          </w:tcPr>
          <w:p w14:paraId="640AA3BD">
            <w:pPr>
              <w:pStyle w:val="34"/>
              <w:bidi w:val="0"/>
              <w:rPr>
                <w:color w:val="auto"/>
                <w:u w:val="none" w:color="auto"/>
              </w:rPr>
            </w:pPr>
            <w:r>
              <w:rPr>
                <w:rFonts w:hint="default" w:ascii="Times New Roman" w:hAnsi="Times New Roman" w:eastAsia="宋体" w:cs="Times New Roman"/>
                <w:color w:val="auto"/>
                <w:sz w:val="21"/>
                <w:szCs w:val="21"/>
                <w:u w:val="none" w:color="auto"/>
                <w:lang w:eastAsia="zh-CN"/>
              </w:rPr>
              <w:t>选择低噪声设备，合理布设各类高噪声设备，并采取隔声、减震措施</w:t>
            </w:r>
          </w:p>
        </w:tc>
        <w:tc>
          <w:tcPr>
            <w:tcW w:w="1071" w:type="dxa"/>
            <w:noWrap w:val="0"/>
            <w:vAlign w:val="center"/>
          </w:tcPr>
          <w:p w14:paraId="5B2712D3">
            <w:pPr>
              <w:pStyle w:val="34"/>
              <w:bidi w:val="0"/>
              <w:rPr>
                <w:rFonts w:hint="eastAsia"/>
                <w:color w:val="auto"/>
                <w:u w:val="none" w:color="auto"/>
                <w:lang w:eastAsia="zh-CN"/>
              </w:rPr>
            </w:pPr>
            <w:r>
              <w:rPr>
                <w:rFonts w:hint="eastAsia"/>
                <w:color w:val="auto"/>
                <w:u w:val="none" w:color="auto"/>
                <w:lang w:val="en-US" w:eastAsia="zh-CN"/>
              </w:rPr>
              <w:t>/</w:t>
            </w:r>
          </w:p>
        </w:tc>
      </w:tr>
      <w:tr w14:paraId="5E8A9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70CEEA5E">
            <w:pPr>
              <w:pStyle w:val="34"/>
              <w:bidi w:val="0"/>
              <w:rPr>
                <w:color w:val="auto"/>
                <w:u w:val="none" w:color="auto"/>
              </w:rPr>
            </w:pPr>
          </w:p>
        </w:tc>
        <w:tc>
          <w:tcPr>
            <w:tcW w:w="1065" w:type="dxa"/>
            <w:vMerge w:val="restart"/>
            <w:noWrap w:val="0"/>
            <w:vAlign w:val="center"/>
          </w:tcPr>
          <w:p w14:paraId="36E44DC0">
            <w:pPr>
              <w:pStyle w:val="34"/>
              <w:bidi w:val="0"/>
              <w:rPr>
                <w:color w:val="auto"/>
                <w:u w:val="none" w:color="auto"/>
              </w:rPr>
            </w:pPr>
            <w:r>
              <w:rPr>
                <w:color w:val="auto"/>
                <w:u w:val="none" w:color="auto"/>
              </w:rPr>
              <w:t>废水治理设施</w:t>
            </w:r>
          </w:p>
        </w:tc>
        <w:tc>
          <w:tcPr>
            <w:tcW w:w="1132" w:type="dxa"/>
            <w:noWrap w:val="0"/>
            <w:vAlign w:val="center"/>
          </w:tcPr>
          <w:p w14:paraId="7B842253">
            <w:pPr>
              <w:pStyle w:val="34"/>
              <w:bidi w:val="0"/>
              <w:rPr>
                <w:rFonts w:hint="default"/>
                <w:color w:val="auto"/>
                <w:u w:val="none" w:color="auto"/>
                <w:lang w:val="en-US" w:eastAsia="zh-CN"/>
              </w:rPr>
            </w:pPr>
            <w:r>
              <w:rPr>
                <w:rFonts w:hint="eastAsia"/>
                <w:color w:val="auto"/>
                <w:u w:val="none" w:color="auto"/>
                <w:lang w:val="en-US" w:eastAsia="zh-CN"/>
              </w:rPr>
              <w:t>生活污水</w:t>
            </w:r>
          </w:p>
        </w:tc>
        <w:tc>
          <w:tcPr>
            <w:tcW w:w="4455" w:type="dxa"/>
            <w:gridSpan w:val="3"/>
            <w:noWrap w:val="0"/>
            <w:vAlign w:val="center"/>
          </w:tcPr>
          <w:p w14:paraId="5AC93C10">
            <w:pPr>
              <w:pStyle w:val="34"/>
              <w:bidi w:val="0"/>
              <w:rPr>
                <w:rFonts w:hint="default"/>
                <w:color w:val="auto"/>
                <w:u w:val="none" w:color="auto"/>
                <w:lang w:val="en-US" w:eastAsia="zh-CN"/>
              </w:rPr>
            </w:pPr>
            <w:r>
              <w:rPr>
                <w:rFonts w:hint="default" w:ascii="Times New Roman" w:hAnsi="Times New Roman" w:eastAsia="宋体" w:cs="Times New Roman"/>
                <w:color w:val="auto"/>
                <w:sz w:val="21"/>
                <w:szCs w:val="21"/>
                <w:u w:val="none" w:color="auto"/>
                <w:lang w:eastAsia="zh-CN"/>
              </w:rPr>
              <w:t>经</w:t>
            </w:r>
            <w:r>
              <w:rPr>
                <w:rFonts w:hint="default" w:ascii="Times New Roman" w:hAnsi="Times New Roman" w:eastAsia="宋体" w:cs="Times New Roman"/>
                <w:color w:val="auto"/>
                <w:sz w:val="21"/>
                <w:szCs w:val="21"/>
                <w:u w:val="none" w:color="auto"/>
              </w:rPr>
              <w:t>化粪池处理</w:t>
            </w:r>
            <w:r>
              <w:rPr>
                <w:rFonts w:hint="eastAsia"/>
                <w:color w:val="auto"/>
                <w:u w:val="none" w:color="auto"/>
                <w:lang w:val="en-US" w:eastAsia="zh-CN"/>
              </w:rPr>
              <w:t>后排入湖南汨罗高新技术产业开发区（循环园区）污水处理厂</w:t>
            </w:r>
          </w:p>
        </w:tc>
        <w:tc>
          <w:tcPr>
            <w:tcW w:w="1071" w:type="dxa"/>
            <w:noWrap w:val="0"/>
            <w:vAlign w:val="center"/>
          </w:tcPr>
          <w:p w14:paraId="08050F2D">
            <w:pPr>
              <w:pStyle w:val="34"/>
              <w:bidi w:val="0"/>
              <w:rPr>
                <w:rFonts w:hint="eastAsia" w:eastAsia="宋体"/>
                <w:color w:val="auto"/>
                <w:u w:val="none" w:color="auto"/>
                <w:lang w:val="en-US" w:eastAsia="zh-CN"/>
              </w:rPr>
            </w:pPr>
            <w:r>
              <w:rPr>
                <w:rFonts w:hint="eastAsia"/>
                <w:color w:val="auto"/>
                <w:u w:val="none" w:color="auto"/>
                <w:lang w:val="en-US" w:eastAsia="zh-CN"/>
              </w:rPr>
              <w:t>新建</w:t>
            </w:r>
          </w:p>
        </w:tc>
      </w:tr>
      <w:tr w14:paraId="54109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3299C47C">
            <w:pPr>
              <w:pStyle w:val="34"/>
              <w:bidi w:val="0"/>
              <w:rPr>
                <w:color w:val="auto"/>
                <w:u w:val="none" w:color="auto"/>
              </w:rPr>
            </w:pPr>
          </w:p>
        </w:tc>
        <w:tc>
          <w:tcPr>
            <w:tcW w:w="1065" w:type="dxa"/>
            <w:vMerge w:val="continue"/>
            <w:noWrap w:val="0"/>
            <w:vAlign w:val="center"/>
          </w:tcPr>
          <w:p w14:paraId="40248B70">
            <w:pPr>
              <w:pStyle w:val="34"/>
              <w:bidi w:val="0"/>
              <w:rPr>
                <w:color w:val="auto"/>
                <w:u w:val="none" w:color="auto"/>
              </w:rPr>
            </w:pPr>
          </w:p>
        </w:tc>
        <w:tc>
          <w:tcPr>
            <w:tcW w:w="1132" w:type="dxa"/>
            <w:noWrap w:val="0"/>
            <w:vAlign w:val="center"/>
          </w:tcPr>
          <w:p w14:paraId="14DD51EA">
            <w:pPr>
              <w:pStyle w:val="34"/>
              <w:bidi w:val="0"/>
              <w:rPr>
                <w:rFonts w:hint="default"/>
                <w:color w:val="auto"/>
                <w:u w:val="none" w:color="auto"/>
                <w:lang w:val="en-US" w:eastAsia="zh-CN"/>
              </w:rPr>
            </w:pPr>
            <w:r>
              <w:rPr>
                <w:rFonts w:hint="eastAsia"/>
                <w:color w:val="auto"/>
                <w:u w:val="none" w:color="auto"/>
                <w:lang w:val="en-US" w:eastAsia="zh-CN"/>
              </w:rPr>
              <w:t>设备冷却水</w:t>
            </w:r>
          </w:p>
        </w:tc>
        <w:tc>
          <w:tcPr>
            <w:tcW w:w="4455" w:type="dxa"/>
            <w:gridSpan w:val="3"/>
            <w:vMerge w:val="restart"/>
            <w:noWrap w:val="0"/>
            <w:vAlign w:val="center"/>
          </w:tcPr>
          <w:p w14:paraId="3AD66AD3">
            <w:pPr>
              <w:pStyle w:val="34"/>
              <w:bidi w:val="0"/>
              <w:rPr>
                <w:rFonts w:hint="default"/>
                <w:color w:val="auto"/>
                <w:u w:val="none" w:color="auto"/>
                <w:lang w:val="en-US" w:eastAsia="zh-CN"/>
              </w:rPr>
            </w:pPr>
            <w:r>
              <w:rPr>
                <w:color w:val="auto"/>
                <w:u w:val="none" w:color="auto"/>
              </w:rPr>
              <w:t>冷却水在循环冷却池冷却后循环使用，定期补充损耗</w:t>
            </w:r>
            <w:r>
              <w:rPr>
                <w:rFonts w:hint="eastAsia"/>
                <w:color w:val="auto"/>
                <w:u w:val="none" w:color="auto"/>
                <w:lang w:eastAsia="zh-CN"/>
              </w:rPr>
              <w:t>，</w:t>
            </w:r>
            <w:r>
              <w:rPr>
                <w:rFonts w:hint="eastAsia"/>
                <w:color w:val="auto"/>
                <w:u w:val="none" w:color="auto"/>
                <w:lang w:val="en-US" w:eastAsia="zh-CN"/>
              </w:rPr>
              <w:t>定期捞渣，不外排</w:t>
            </w:r>
          </w:p>
        </w:tc>
        <w:tc>
          <w:tcPr>
            <w:tcW w:w="1071" w:type="dxa"/>
            <w:vMerge w:val="restart"/>
            <w:noWrap w:val="0"/>
            <w:vAlign w:val="center"/>
          </w:tcPr>
          <w:p w14:paraId="3D9FE2A3">
            <w:pPr>
              <w:pStyle w:val="34"/>
              <w:bidi w:val="0"/>
              <w:rPr>
                <w:rFonts w:hint="default"/>
                <w:color w:val="auto"/>
                <w:u w:val="none" w:color="auto"/>
                <w:lang w:val="en-US" w:eastAsia="zh-CN"/>
              </w:rPr>
            </w:pPr>
            <w:r>
              <w:rPr>
                <w:rFonts w:hint="eastAsia"/>
                <w:color w:val="auto"/>
                <w:u w:val="none" w:color="auto"/>
                <w:lang w:val="en-US" w:eastAsia="zh-CN"/>
              </w:rPr>
              <w:t>新建</w:t>
            </w:r>
          </w:p>
        </w:tc>
      </w:tr>
      <w:tr w14:paraId="0DD07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73CA928F">
            <w:pPr>
              <w:pStyle w:val="34"/>
              <w:bidi w:val="0"/>
              <w:rPr>
                <w:color w:val="auto"/>
                <w:u w:val="none" w:color="auto"/>
              </w:rPr>
            </w:pPr>
          </w:p>
        </w:tc>
        <w:tc>
          <w:tcPr>
            <w:tcW w:w="1065" w:type="dxa"/>
            <w:vMerge w:val="continue"/>
            <w:noWrap w:val="0"/>
            <w:vAlign w:val="center"/>
          </w:tcPr>
          <w:p w14:paraId="40BB369A">
            <w:pPr>
              <w:pStyle w:val="34"/>
              <w:bidi w:val="0"/>
              <w:rPr>
                <w:color w:val="auto"/>
                <w:u w:val="none" w:color="auto"/>
              </w:rPr>
            </w:pPr>
          </w:p>
        </w:tc>
        <w:tc>
          <w:tcPr>
            <w:tcW w:w="1132" w:type="dxa"/>
            <w:noWrap w:val="0"/>
            <w:vAlign w:val="center"/>
          </w:tcPr>
          <w:p w14:paraId="0C98EE62">
            <w:pPr>
              <w:pStyle w:val="34"/>
              <w:bidi w:val="0"/>
              <w:rPr>
                <w:rFonts w:hint="default"/>
                <w:color w:val="auto"/>
                <w:u w:val="none" w:color="auto"/>
                <w:lang w:val="en-US" w:eastAsia="zh-CN"/>
              </w:rPr>
            </w:pPr>
            <w:r>
              <w:rPr>
                <w:rFonts w:hint="eastAsia"/>
                <w:color w:val="auto"/>
                <w:u w:val="none" w:color="auto"/>
                <w:lang w:val="en-US" w:eastAsia="zh-CN"/>
              </w:rPr>
              <w:t>产品冷却水</w:t>
            </w:r>
          </w:p>
        </w:tc>
        <w:tc>
          <w:tcPr>
            <w:tcW w:w="4455" w:type="dxa"/>
            <w:gridSpan w:val="3"/>
            <w:vMerge w:val="continue"/>
            <w:noWrap w:val="0"/>
            <w:vAlign w:val="center"/>
          </w:tcPr>
          <w:p w14:paraId="25BCA9A9">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p>
        </w:tc>
        <w:tc>
          <w:tcPr>
            <w:tcW w:w="1071" w:type="dxa"/>
            <w:vMerge w:val="continue"/>
            <w:noWrap w:val="0"/>
            <w:vAlign w:val="center"/>
          </w:tcPr>
          <w:p w14:paraId="53D181C1">
            <w:pPr>
              <w:pStyle w:val="34"/>
              <w:bidi w:val="0"/>
              <w:ind w:firstLine="0" w:firstLineChars="0"/>
              <w:rPr>
                <w:rFonts w:hint="default" w:ascii="Times New Roman" w:hAnsi="Times New Roman" w:eastAsia="宋体" w:cs="Times New Roman"/>
                <w:color w:val="auto"/>
                <w:kern w:val="2"/>
                <w:sz w:val="21"/>
                <w:szCs w:val="21"/>
                <w:u w:val="none" w:color="auto"/>
                <w:lang w:val="en-US" w:eastAsia="zh-CN" w:bidi="ar-SA"/>
              </w:rPr>
            </w:pPr>
          </w:p>
        </w:tc>
      </w:tr>
      <w:tr w14:paraId="75CB01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5D23572D">
            <w:pPr>
              <w:pStyle w:val="34"/>
              <w:bidi w:val="0"/>
              <w:rPr>
                <w:color w:val="auto"/>
                <w:u w:val="none" w:color="auto"/>
              </w:rPr>
            </w:pPr>
          </w:p>
        </w:tc>
        <w:tc>
          <w:tcPr>
            <w:tcW w:w="1065" w:type="dxa"/>
            <w:vMerge w:val="restart"/>
            <w:noWrap w:val="0"/>
            <w:vAlign w:val="center"/>
          </w:tcPr>
          <w:p w14:paraId="64AE93A4">
            <w:pPr>
              <w:pStyle w:val="34"/>
              <w:bidi w:val="0"/>
              <w:rPr>
                <w:color w:val="auto"/>
                <w:u w:val="none" w:color="auto"/>
              </w:rPr>
            </w:pPr>
            <w:r>
              <w:rPr>
                <w:color w:val="auto"/>
                <w:u w:val="none" w:color="auto"/>
              </w:rPr>
              <w:t>固废治理设施</w:t>
            </w:r>
          </w:p>
        </w:tc>
        <w:tc>
          <w:tcPr>
            <w:tcW w:w="2444" w:type="dxa"/>
            <w:gridSpan w:val="2"/>
            <w:noWrap w:val="0"/>
            <w:vAlign w:val="center"/>
          </w:tcPr>
          <w:p w14:paraId="1D4DCA69">
            <w:pPr>
              <w:pStyle w:val="34"/>
              <w:bidi w:val="0"/>
              <w:rPr>
                <w:rFonts w:hint="eastAsia"/>
                <w:color w:val="auto"/>
                <w:u w:val="none" w:color="auto"/>
              </w:rPr>
            </w:pPr>
            <w:r>
              <w:rPr>
                <w:color w:val="auto"/>
                <w:u w:val="none" w:color="auto"/>
              </w:rPr>
              <w:t>垃圾池</w:t>
            </w:r>
          </w:p>
        </w:tc>
        <w:tc>
          <w:tcPr>
            <w:tcW w:w="3143" w:type="dxa"/>
            <w:gridSpan w:val="2"/>
            <w:noWrap w:val="0"/>
            <w:vAlign w:val="center"/>
          </w:tcPr>
          <w:p w14:paraId="15B5B293">
            <w:pPr>
              <w:pStyle w:val="34"/>
              <w:bidi w:val="0"/>
              <w:rPr>
                <w:rFonts w:hint="eastAsia"/>
                <w:color w:val="auto"/>
                <w:u w:val="none" w:color="auto"/>
              </w:rPr>
            </w:pPr>
            <w:r>
              <w:rPr>
                <w:color w:val="auto"/>
                <w:u w:val="none" w:color="auto"/>
              </w:rPr>
              <w:t>交由环卫部门定期清运</w:t>
            </w:r>
          </w:p>
        </w:tc>
        <w:tc>
          <w:tcPr>
            <w:tcW w:w="1071" w:type="dxa"/>
            <w:noWrap w:val="0"/>
            <w:vAlign w:val="center"/>
          </w:tcPr>
          <w:p w14:paraId="2E13B8FD">
            <w:pPr>
              <w:pStyle w:val="34"/>
              <w:bidi w:val="0"/>
              <w:rPr>
                <w:color w:val="auto"/>
                <w:u w:val="none" w:color="auto"/>
              </w:rPr>
            </w:pPr>
            <w:r>
              <w:rPr>
                <w:rFonts w:hint="eastAsia"/>
                <w:color w:val="auto"/>
                <w:u w:val="none" w:color="auto"/>
              </w:rPr>
              <w:t>依托</w:t>
            </w:r>
          </w:p>
        </w:tc>
      </w:tr>
      <w:tr w14:paraId="58A0D7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3EB6FD86">
            <w:pPr>
              <w:pStyle w:val="34"/>
              <w:bidi w:val="0"/>
              <w:rPr>
                <w:color w:val="auto"/>
                <w:u w:val="none" w:color="auto"/>
              </w:rPr>
            </w:pPr>
          </w:p>
        </w:tc>
        <w:tc>
          <w:tcPr>
            <w:tcW w:w="1065" w:type="dxa"/>
            <w:vMerge w:val="continue"/>
            <w:noWrap w:val="0"/>
            <w:vAlign w:val="center"/>
          </w:tcPr>
          <w:p w14:paraId="2EE181F6">
            <w:pPr>
              <w:pStyle w:val="34"/>
              <w:bidi w:val="0"/>
              <w:rPr>
                <w:color w:val="auto"/>
                <w:u w:val="none" w:color="auto"/>
              </w:rPr>
            </w:pPr>
          </w:p>
        </w:tc>
        <w:tc>
          <w:tcPr>
            <w:tcW w:w="2444" w:type="dxa"/>
            <w:gridSpan w:val="2"/>
            <w:noWrap w:val="0"/>
            <w:vAlign w:val="center"/>
          </w:tcPr>
          <w:p w14:paraId="773B7660">
            <w:pPr>
              <w:pStyle w:val="34"/>
              <w:bidi w:val="0"/>
              <w:rPr>
                <w:rFonts w:hint="eastAsia"/>
                <w:color w:val="auto"/>
                <w:u w:val="none" w:color="auto"/>
                <w:lang w:eastAsia="zh-CN"/>
              </w:rPr>
            </w:pPr>
            <w:r>
              <w:rPr>
                <w:color w:val="auto"/>
                <w:u w:val="none" w:color="auto"/>
              </w:rPr>
              <w:t>危废暂存间</w:t>
            </w:r>
            <w:r>
              <w:rPr>
                <w:rFonts w:hint="eastAsia"/>
                <w:color w:val="auto"/>
                <w:u w:val="none" w:color="auto"/>
                <w:lang w:eastAsia="zh-CN"/>
              </w:rPr>
              <w:t>（</w:t>
            </w:r>
            <w:r>
              <w:rPr>
                <w:rFonts w:hint="eastAsia"/>
                <w:color w:val="auto"/>
                <w:u w:val="none" w:color="auto"/>
                <w:lang w:val="en-US" w:eastAsia="zh-CN"/>
              </w:rPr>
              <w:t>10m</w:t>
            </w:r>
            <w:r>
              <w:rPr>
                <w:rFonts w:hint="eastAsia"/>
                <w:color w:val="auto"/>
                <w:u w:val="none" w:color="auto"/>
                <w:vertAlign w:val="superscript"/>
                <w:lang w:val="en-US" w:eastAsia="zh-CN"/>
              </w:rPr>
              <w:t>2</w:t>
            </w:r>
            <w:r>
              <w:rPr>
                <w:rFonts w:hint="eastAsia"/>
                <w:color w:val="auto"/>
                <w:u w:val="none" w:color="auto"/>
                <w:lang w:eastAsia="zh-CN"/>
              </w:rPr>
              <w:t>）</w:t>
            </w:r>
          </w:p>
        </w:tc>
        <w:tc>
          <w:tcPr>
            <w:tcW w:w="3143" w:type="dxa"/>
            <w:gridSpan w:val="2"/>
            <w:noWrap w:val="0"/>
            <w:vAlign w:val="center"/>
          </w:tcPr>
          <w:p w14:paraId="45BC1456">
            <w:pPr>
              <w:pStyle w:val="34"/>
              <w:bidi w:val="0"/>
              <w:rPr>
                <w:color w:val="auto"/>
                <w:u w:val="none" w:color="auto"/>
              </w:rPr>
            </w:pPr>
            <w:r>
              <w:rPr>
                <w:color w:val="auto"/>
                <w:u w:val="none" w:color="auto"/>
              </w:rPr>
              <w:t>经暂存后交由资质单位处理</w:t>
            </w:r>
          </w:p>
        </w:tc>
        <w:tc>
          <w:tcPr>
            <w:tcW w:w="1071" w:type="dxa"/>
            <w:noWrap w:val="0"/>
            <w:vAlign w:val="center"/>
          </w:tcPr>
          <w:p w14:paraId="24EE3766">
            <w:pPr>
              <w:pStyle w:val="34"/>
              <w:bidi w:val="0"/>
              <w:rPr>
                <w:rFonts w:hint="eastAsia"/>
                <w:color w:val="auto"/>
                <w:u w:val="none" w:color="auto"/>
                <w:lang w:eastAsia="zh-CN"/>
              </w:rPr>
            </w:pPr>
            <w:r>
              <w:rPr>
                <w:rFonts w:hint="eastAsia"/>
                <w:color w:val="auto"/>
                <w:u w:val="none" w:color="auto"/>
                <w:lang w:val="en-US" w:eastAsia="zh-CN"/>
              </w:rPr>
              <w:t>依托</w:t>
            </w:r>
          </w:p>
        </w:tc>
      </w:tr>
      <w:tr w14:paraId="6AC790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1" w:type="dxa"/>
            <w:vMerge w:val="continue"/>
            <w:noWrap w:val="0"/>
            <w:vAlign w:val="center"/>
          </w:tcPr>
          <w:p w14:paraId="0A97212C">
            <w:pPr>
              <w:pStyle w:val="34"/>
              <w:bidi w:val="0"/>
              <w:rPr>
                <w:color w:val="auto"/>
                <w:u w:val="none" w:color="auto"/>
              </w:rPr>
            </w:pPr>
          </w:p>
        </w:tc>
        <w:tc>
          <w:tcPr>
            <w:tcW w:w="1065" w:type="dxa"/>
            <w:vMerge w:val="continue"/>
            <w:noWrap w:val="0"/>
            <w:vAlign w:val="center"/>
          </w:tcPr>
          <w:p w14:paraId="77E1FB0B">
            <w:pPr>
              <w:pStyle w:val="34"/>
              <w:bidi w:val="0"/>
              <w:rPr>
                <w:color w:val="auto"/>
                <w:u w:val="none" w:color="auto"/>
              </w:rPr>
            </w:pPr>
          </w:p>
        </w:tc>
        <w:tc>
          <w:tcPr>
            <w:tcW w:w="2444" w:type="dxa"/>
            <w:gridSpan w:val="2"/>
            <w:noWrap w:val="0"/>
            <w:vAlign w:val="center"/>
          </w:tcPr>
          <w:p w14:paraId="56DE8B92">
            <w:pPr>
              <w:pStyle w:val="34"/>
              <w:bidi w:val="0"/>
              <w:rPr>
                <w:rFonts w:hint="default"/>
                <w:color w:val="auto"/>
                <w:u w:val="none" w:color="auto"/>
                <w:lang w:val="en-US" w:eastAsia="zh-CN"/>
              </w:rPr>
            </w:pPr>
            <w:r>
              <w:rPr>
                <w:rFonts w:hint="eastAsia"/>
                <w:color w:val="auto"/>
                <w:u w:val="none" w:color="auto"/>
                <w:lang w:val="en-US" w:eastAsia="zh-CN"/>
              </w:rPr>
              <w:t>一般固废暂存区（50m</w:t>
            </w:r>
            <w:r>
              <w:rPr>
                <w:rFonts w:hint="eastAsia"/>
                <w:color w:val="auto"/>
                <w:u w:val="none" w:color="auto"/>
                <w:vertAlign w:val="superscript"/>
                <w:lang w:val="en-US" w:eastAsia="zh-CN"/>
              </w:rPr>
              <w:t>2</w:t>
            </w:r>
            <w:r>
              <w:rPr>
                <w:rFonts w:hint="eastAsia"/>
                <w:color w:val="auto"/>
                <w:u w:val="none" w:color="auto"/>
                <w:lang w:val="en-US" w:eastAsia="zh-CN"/>
              </w:rPr>
              <w:t>）</w:t>
            </w:r>
          </w:p>
        </w:tc>
        <w:tc>
          <w:tcPr>
            <w:tcW w:w="3143" w:type="dxa"/>
            <w:gridSpan w:val="2"/>
            <w:noWrap w:val="0"/>
            <w:vAlign w:val="center"/>
          </w:tcPr>
          <w:p w14:paraId="7473C530">
            <w:pPr>
              <w:pStyle w:val="34"/>
              <w:bidi w:val="0"/>
              <w:rPr>
                <w:rFonts w:hint="default"/>
                <w:color w:val="auto"/>
                <w:u w:val="none" w:color="auto"/>
                <w:lang w:val="en-US" w:eastAsia="zh-CN"/>
              </w:rPr>
            </w:pPr>
            <w:r>
              <w:rPr>
                <w:rFonts w:hint="eastAsia"/>
                <w:color w:val="auto"/>
                <w:u w:val="none" w:color="auto"/>
                <w:lang w:val="en-US" w:eastAsia="zh-CN"/>
              </w:rPr>
              <w:t>综合利用，合理处置</w:t>
            </w:r>
          </w:p>
        </w:tc>
        <w:tc>
          <w:tcPr>
            <w:tcW w:w="1071" w:type="dxa"/>
            <w:noWrap w:val="0"/>
            <w:vAlign w:val="center"/>
          </w:tcPr>
          <w:p w14:paraId="6DC041E5">
            <w:pPr>
              <w:pStyle w:val="34"/>
              <w:bidi w:val="0"/>
              <w:rPr>
                <w:rFonts w:hint="eastAsia"/>
                <w:color w:val="auto"/>
                <w:u w:val="none" w:color="auto"/>
                <w:lang w:val="en-US" w:eastAsia="zh-CN"/>
              </w:rPr>
            </w:pPr>
            <w:r>
              <w:rPr>
                <w:rFonts w:hint="eastAsia"/>
                <w:color w:val="auto"/>
                <w:u w:val="none" w:color="auto"/>
                <w:lang w:val="en-US" w:eastAsia="zh-CN"/>
              </w:rPr>
              <w:t>依托</w:t>
            </w:r>
          </w:p>
        </w:tc>
      </w:tr>
    </w:tbl>
    <w:p w14:paraId="6FD2851D">
      <w:pPr>
        <w:pStyle w:val="4"/>
        <w:bidi w:val="0"/>
        <w:rPr>
          <w:rFonts w:hint="eastAsia"/>
          <w:color w:val="auto"/>
          <w:u w:val="none" w:color="auto"/>
          <w:lang w:val="en-US" w:eastAsia="zh-CN"/>
        </w:rPr>
      </w:pPr>
      <w:bookmarkStart w:id="616" w:name="_Toc18325"/>
      <w:r>
        <w:rPr>
          <w:rFonts w:hint="eastAsia"/>
          <w:color w:val="auto"/>
          <w:u w:val="none" w:color="auto"/>
          <w:lang w:val="en-US" w:eastAsia="zh-CN"/>
        </w:rPr>
        <w:t>4.1.3项目产品方案</w:t>
      </w:r>
      <w:bookmarkEnd w:id="614"/>
      <w:bookmarkEnd w:id="615"/>
      <w:bookmarkEnd w:id="616"/>
    </w:p>
    <w:p w14:paraId="54ACDF1F">
      <w:pPr>
        <w:pStyle w:val="20"/>
        <w:bidi w:val="0"/>
        <w:rPr>
          <w:rFonts w:hint="eastAsia"/>
          <w:color w:val="auto"/>
          <w:u w:val="none" w:color="auto"/>
          <w:lang w:val="en-US" w:eastAsia="zh-CN"/>
        </w:rPr>
      </w:pPr>
      <w:r>
        <w:rPr>
          <w:rFonts w:hint="eastAsia"/>
          <w:color w:val="auto"/>
          <w:u w:val="none" w:color="auto"/>
          <w:lang w:val="en-US" w:eastAsia="zh-CN"/>
        </w:rPr>
        <w:t>项目产品方案见下表。</w:t>
      </w:r>
    </w:p>
    <w:p w14:paraId="1D309EBE">
      <w:pPr>
        <w:tabs>
          <w:tab w:val="left" w:pos="1021"/>
        </w:tabs>
        <w:snapToGrid w:val="0"/>
        <w:spacing w:line="240" w:lineRule="auto"/>
        <w:jc w:val="center"/>
        <w:rPr>
          <w:b/>
          <w:color w:val="auto"/>
          <w:sz w:val="21"/>
          <w:szCs w:val="21"/>
          <w:u w:val="none" w:color="auto"/>
        </w:rPr>
      </w:pPr>
      <w:bookmarkStart w:id="617" w:name="_Ref429647018"/>
      <w:bookmarkStart w:id="618" w:name="_Ref429646934"/>
      <w:r>
        <w:rPr>
          <w:b/>
          <w:color w:val="auto"/>
          <w:sz w:val="21"/>
          <w:szCs w:val="21"/>
          <w:u w:val="none" w:color="auto"/>
        </w:rPr>
        <w:t>表4.1-</w:t>
      </w:r>
      <w:r>
        <w:rPr>
          <w:rFonts w:hint="eastAsia"/>
          <w:b/>
          <w:color w:val="auto"/>
          <w:sz w:val="21"/>
          <w:szCs w:val="21"/>
          <w:u w:val="none" w:color="auto"/>
          <w:lang w:val="en-US" w:eastAsia="zh-CN"/>
        </w:rPr>
        <w:t>2</w:t>
      </w:r>
      <w:r>
        <w:rPr>
          <w:b/>
          <w:color w:val="auto"/>
          <w:sz w:val="21"/>
          <w:szCs w:val="21"/>
          <w:u w:val="none" w:color="auto"/>
        </w:rPr>
        <w:t xml:space="preserve">  </w:t>
      </w:r>
      <w:r>
        <w:rPr>
          <w:rFonts w:hint="eastAsia"/>
          <w:b/>
          <w:color w:val="auto"/>
          <w:sz w:val="21"/>
          <w:szCs w:val="21"/>
          <w:u w:val="none" w:color="auto"/>
          <w:lang w:val="en-US" w:eastAsia="zh-CN"/>
        </w:rPr>
        <w:t>项目</w:t>
      </w:r>
      <w:r>
        <w:rPr>
          <w:b/>
          <w:color w:val="auto"/>
          <w:sz w:val="21"/>
          <w:szCs w:val="21"/>
          <w:u w:val="none" w:color="auto"/>
        </w:rPr>
        <w:t>产品方案一览表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6"/>
        <w:gridCol w:w="1601"/>
        <w:gridCol w:w="870"/>
        <w:gridCol w:w="1023"/>
        <w:gridCol w:w="4314"/>
      </w:tblGrid>
      <w:tr w14:paraId="7A7F2C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6" w:type="dxa"/>
            <w:noWrap w:val="0"/>
            <w:vAlign w:val="center"/>
          </w:tcPr>
          <w:p w14:paraId="418E6CC2">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序号</w:t>
            </w:r>
          </w:p>
        </w:tc>
        <w:tc>
          <w:tcPr>
            <w:tcW w:w="1601" w:type="dxa"/>
            <w:noWrap w:val="0"/>
            <w:vAlign w:val="center"/>
          </w:tcPr>
          <w:p w14:paraId="4FE388A3">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产品</w:t>
            </w:r>
          </w:p>
        </w:tc>
        <w:tc>
          <w:tcPr>
            <w:tcW w:w="870" w:type="dxa"/>
            <w:noWrap w:val="0"/>
            <w:vAlign w:val="center"/>
          </w:tcPr>
          <w:p w14:paraId="59C2F25C">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单位</w:t>
            </w:r>
          </w:p>
        </w:tc>
        <w:tc>
          <w:tcPr>
            <w:tcW w:w="1023" w:type="dxa"/>
            <w:noWrap w:val="0"/>
            <w:vAlign w:val="center"/>
          </w:tcPr>
          <w:p w14:paraId="348AE660">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产量</w:t>
            </w:r>
          </w:p>
        </w:tc>
        <w:tc>
          <w:tcPr>
            <w:tcW w:w="4314" w:type="dxa"/>
            <w:noWrap w:val="0"/>
            <w:vAlign w:val="center"/>
          </w:tcPr>
          <w:p w14:paraId="76A4CE34">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规格</w:t>
            </w:r>
          </w:p>
        </w:tc>
      </w:tr>
      <w:tr w14:paraId="73C56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6" w:type="dxa"/>
            <w:noWrap w:val="0"/>
            <w:vAlign w:val="center"/>
          </w:tcPr>
          <w:p w14:paraId="33B1EEBD">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1601" w:type="dxa"/>
            <w:noWrap w:val="0"/>
            <w:vAlign w:val="center"/>
          </w:tcPr>
          <w:p w14:paraId="5641B72B">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PVC</w:t>
            </w:r>
            <w:r>
              <w:rPr>
                <w:rFonts w:hint="eastAsia" w:ascii="Times New Roman" w:hAnsi="Times New Roman" w:cs="Times New Roman"/>
                <w:color w:val="auto"/>
                <w:u w:val="none"/>
                <w:lang w:val="en-US" w:eastAsia="zh-CN"/>
              </w:rPr>
              <w:t>大板</w:t>
            </w:r>
          </w:p>
        </w:tc>
        <w:tc>
          <w:tcPr>
            <w:tcW w:w="870" w:type="dxa"/>
            <w:noWrap w:val="0"/>
            <w:vAlign w:val="center"/>
          </w:tcPr>
          <w:p w14:paraId="03F5CAAD">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t/a</w:t>
            </w:r>
          </w:p>
        </w:tc>
        <w:tc>
          <w:tcPr>
            <w:tcW w:w="1023" w:type="dxa"/>
            <w:noWrap w:val="0"/>
            <w:vAlign w:val="center"/>
          </w:tcPr>
          <w:p w14:paraId="652C4A75">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300</w:t>
            </w:r>
            <w:r>
              <w:rPr>
                <w:rFonts w:hint="default" w:ascii="Times New Roman" w:hAnsi="Times New Roman" w:cs="Times New Roman"/>
                <w:color w:val="auto"/>
                <w:u w:val="none"/>
                <w:lang w:val="en-US" w:eastAsia="zh-CN"/>
              </w:rPr>
              <w:t>00</w:t>
            </w:r>
          </w:p>
        </w:tc>
        <w:tc>
          <w:tcPr>
            <w:tcW w:w="4314" w:type="dxa"/>
            <w:noWrap w:val="0"/>
            <w:vAlign w:val="center"/>
          </w:tcPr>
          <w:p w14:paraId="22BD351E">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本项目产品因订单需要制作，规格大小会根据订单要求改变</w:t>
            </w:r>
            <w:r>
              <w:rPr>
                <w:rFonts w:hint="eastAsia" w:ascii="Times New Roman" w:hAnsi="Times New Roman" w:cs="Times New Roman"/>
                <w:color w:val="auto"/>
                <w:u w:val="none"/>
                <w:lang w:val="en-US" w:eastAsia="zh-CN"/>
              </w:rPr>
              <w:t>，最大规格为长4.5m、宽1.2m、厚0.9cm；使用胶粘剂类型根据客户需求，因经济效益，一般情况下使用非溶剂型胶粘剂，本评价按溶剂型胶粘剂使用量最大产能计算</w:t>
            </w:r>
          </w:p>
        </w:tc>
      </w:tr>
      <w:tr w14:paraId="4A912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6" w:type="dxa"/>
            <w:noWrap w:val="0"/>
            <w:vAlign w:val="center"/>
          </w:tcPr>
          <w:p w14:paraId="7502C3C4">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w:t>
            </w:r>
          </w:p>
        </w:tc>
        <w:tc>
          <w:tcPr>
            <w:tcW w:w="1601" w:type="dxa"/>
            <w:noWrap w:val="0"/>
            <w:vAlign w:val="center"/>
          </w:tcPr>
          <w:p w14:paraId="16FE18BC">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PVC装饰线条</w:t>
            </w:r>
          </w:p>
        </w:tc>
        <w:tc>
          <w:tcPr>
            <w:tcW w:w="870" w:type="dxa"/>
            <w:noWrap w:val="0"/>
            <w:vAlign w:val="center"/>
          </w:tcPr>
          <w:p w14:paraId="55EAB4ED">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t/a</w:t>
            </w:r>
          </w:p>
        </w:tc>
        <w:tc>
          <w:tcPr>
            <w:tcW w:w="1023" w:type="dxa"/>
            <w:noWrap w:val="0"/>
            <w:vAlign w:val="center"/>
          </w:tcPr>
          <w:p w14:paraId="3FE39500">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50</w:t>
            </w:r>
            <w:r>
              <w:rPr>
                <w:rFonts w:hint="default" w:ascii="Times New Roman" w:hAnsi="Times New Roman" w:cs="Times New Roman"/>
                <w:color w:val="auto"/>
                <w:u w:val="none"/>
                <w:lang w:val="en-US" w:eastAsia="zh-CN"/>
              </w:rPr>
              <w:t>00</w:t>
            </w:r>
          </w:p>
        </w:tc>
        <w:tc>
          <w:tcPr>
            <w:tcW w:w="4314" w:type="dxa"/>
            <w:noWrap w:val="0"/>
            <w:vAlign w:val="center"/>
          </w:tcPr>
          <w:p w14:paraId="62402565">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本项目产品因订单需要制作，规格大小会根据订单要求改变，最大规格为长3m、宽0.14m、厚</w:t>
            </w:r>
            <w:r>
              <w:rPr>
                <w:rFonts w:hint="eastAsia" w:ascii="Times New Roman" w:hAnsi="Times New Roman" w:cs="Times New Roman"/>
                <w:color w:val="auto"/>
                <w:u w:val="none"/>
                <w:lang w:val="en-US" w:eastAsia="zh-CN"/>
              </w:rPr>
              <w:t>2</w:t>
            </w:r>
            <w:r>
              <w:rPr>
                <w:rFonts w:hint="default" w:ascii="Times New Roman" w:hAnsi="Times New Roman" w:cs="Times New Roman"/>
                <w:color w:val="auto"/>
                <w:u w:val="none"/>
                <w:lang w:val="en-US" w:eastAsia="zh-CN"/>
              </w:rPr>
              <w:t>cm</w:t>
            </w:r>
            <w:r>
              <w:rPr>
                <w:rFonts w:hint="eastAsia" w:ascii="Times New Roman" w:hAnsi="Times New Roman" w:cs="Times New Roman"/>
                <w:color w:val="auto"/>
                <w:u w:val="none"/>
                <w:lang w:val="en-US" w:eastAsia="zh-CN"/>
              </w:rPr>
              <w:t>；装饰线条仅覆膜加工</w:t>
            </w:r>
          </w:p>
        </w:tc>
      </w:tr>
      <w:bookmarkEnd w:id="617"/>
      <w:bookmarkEnd w:id="618"/>
    </w:tbl>
    <w:p w14:paraId="3EFE8923">
      <w:pPr>
        <w:pStyle w:val="4"/>
        <w:bidi w:val="0"/>
        <w:rPr>
          <w:rFonts w:hint="eastAsia"/>
          <w:color w:val="auto"/>
          <w:u w:val="none" w:color="auto"/>
          <w:lang w:val="en-US" w:eastAsia="zh-CN"/>
        </w:rPr>
      </w:pPr>
      <w:bookmarkStart w:id="619" w:name="_Toc7645"/>
      <w:bookmarkStart w:id="620" w:name="_Toc469"/>
      <w:bookmarkStart w:id="621" w:name="_Toc21809"/>
      <w:r>
        <w:rPr>
          <w:rFonts w:hint="eastAsia"/>
          <w:color w:val="auto"/>
          <w:u w:val="none" w:color="auto"/>
          <w:lang w:val="en-US" w:eastAsia="zh-CN"/>
        </w:rPr>
        <w:t>4.1.4项目主要原辅材料及能源消耗</w:t>
      </w:r>
      <w:bookmarkEnd w:id="619"/>
      <w:bookmarkEnd w:id="620"/>
      <w:bookmarkEnd w:id="621"/>
    </w:p>
    <w:p w14:paraId="20DBCEAF">
      <w:pPr>
        <w:pStyle w:val="20"/>
        <w:bidi w:val="0"/>
        <w:rPr>
          <w:rFonts w:hint="eastAsia"/>
          <w:color w:val="auto"/>
          <w:u w:val="none" w:color="auto"/>
          <w:lang w:val="en-US" w:eastAsia="zh-CN"/>
        </w:rPr>
      </w:pPr>
      <w:r>
        <w:rPr>
          <w:rFonts w:hint="eastAsia"/>
          <w:color w:val="auto"/>
          <w:u w:val="none" w:color="auto"/>
          <w:lang w:val="en-US" w:eastAsia="zh-CN"/>
        </w:rPr>
        <w:t>项目主要原材料消耗及资源能源消耗情况见下表。</w:t>
      </w:r>
    </w:p>
    <w:p w14:paraId="3247DCE6">
      <w:pPr>
        <w:pStyle w:val="22"/>
        <w:bidi w:val="0"/>
        <w:rPr>
          <w:rFonts w:hint="eastAsia"/>
          <w:color w:val="auto"/>
          <w:u w:val="none" w:color="auto"/>
          <w:lang w:val="en-US" w:eastAsia="zh-CN"/>
        </w:rPr>
      </w:pPr>
      <w:r>
        <w:rPr>
          <w:rFonts w:hint="eastAsia"/>
          <w:color w:val="auto"/>
          <w:u w:val="none" w:color="auto"/>
          <w:lang w:val="en-US" w:eastAsia="zh-CN"/>
        </w:rPr>
        <w:t>表4.1-3 项目主要原辅材料及资源能源消耗情况表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2"/>
        <w:gridCol w:w="505"/>
        <w:gridCol w:w="1452"/>
        <w:gridCol w:w="1059"/>
        <w:gridCol w:w="1046"/>
        <w:gridCol w:w="689"/>
        <w:gridCol w:w="915"/>
        <w:gridCol w:w="1409"/>
        <w:gridCol w:w="977"/>
      </w:tblGrid>
      <w:tr w14:paraId="20D311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2A52B9D8">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序号</w:t>
            </w:r>
          </w:p>
        </w:tc>
        <w:tc>
          <w:tcPr>
            <w:tcW w:w="1957" w:type="dxa"/>
            <w:gridSpan w:val="2"/>
            <w:noWrap w:val="0"/>
            <w:vAlign w:val="center"/>
          </w:tcPr>
          <w:p w14:paraId="675BEF33">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名称</w:t>
            </w:r>
          </w:p>
        </w:tc>
        <w:tc>
          <w:tcPr>
            <w:tcW w:w="1059" w:type="dxa"/>
            <w:noWrap w:val="0"/>
            <w:vAlign w:val="center"/>
          </w:tcPr>
          <w:p w14:paraId="3CFDA5E5">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年耗量（t）</w:t>
            </w:r>
          </w:p>
        </w:tc>
        <w:tc>
          <w:tcPr>
            <w:tcW w:w="1046" w:type="dxa"/>
            <w:noWrap w:val="0"/>
            <w:vAlign w:val="center"/>
          </w:tcPr>
          <w:p w14:paraId="7D149381">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最大存放量（t）</w:t>
            </w:r>
          </w:p>
        </w:tc>
        <w:tc>
          <w:tcPr>
            <w:tcW w:w="689" w:type="dxa"/>
            <w:noWrap w:val="0"/>
            <w:vAlign w:val="center"/>
          </w:tcPr>
          <w:p w14:paraId="792220EE">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来源</w:t>
            </w:r>
          </w:p>
        </w:tc>
        <w:tc>
          <w:tcPr>
            <w:tcW w:w="915" w:type="dxa"/>
            <w:noWrap w:val="0"/>
            <w:vAlign w:val="center"/>
          </w:tcPr>
          <w:p w14:paraId="3F2D5B91">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形态</w:t>
            </w:r>
          </w:p>
        </w:tc>
        <w:tc>
          <w:tcPr>
            <w:tcW w:w="1409" w:type="dxa"/>
            <w:noWrap w:val="0"/>
            <w:vAlign w:val="center"/>
          </w:tcPr>
          <w:p w14:paraId="3F5DCA91">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包装方式</w:t>
            </w:r>
          </w:p>
        </w:tc>
        <w:tc>
          <w:tcPr>
            <w:tcW w:w="977" w:type="dxa"/>
            <w:noWrap w:val="0"/>
            <w:vAlign w:val="center"/>
          </w:tcPr>
          <w:p w14:paraId="133CC51D">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储存位置</w:t>
            </w:r>
          </w:p>
        </w:tc>
      </w:tr>
      <w:tr w14:paraId="250F3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9"/>
            <w:noWrap w:val="0"/>
            <w:vAlign w:val="center"/>
          </w:tcPr>
          <w:p w14:paraId="77A204C9">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PVC大板生产线</w:t>
            </w:r>
          </w:p>
        </w:tc>
      </w:tr>
      <w:tr w14:paraId="36771E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06654033">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1</w:t>
            </w:r>
          </w:p>
        </w:tc>
        <w:tc>
          <w:tcPr>
            <w:tcW w:w="505" w:type="dxa"/>
            <w:vMerge w:val="restart"/>
            <w:noWrap w:val="0"/>
            <w:vAlign w:val="center"/>
          </w:tcPr>
          <w:p w14:paraId="3567A794">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主料</w:t>
            </w:r>
          </w:p>
        </w:tc>
        <w:tc>
          <w:tcPr>
            <w:tcW w:w="1452" w:type="dxa"/>
            <w:noWrap w:val="0"/>
            <w:vAlign w:val="center"/>
          </w:tcPr>
          <w:p w14:paraId="0EFEB7D2">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PVC再生塑料</w:t>
            </w:r>
          </w:p>
        </w:tc>
        <w:tc>
          <w:tcPr>
            <w:tcW w:w="1059" w:type="dxa"/>
            <w:noWrap w:val="0"/>
            <w:vAlign w:val="center"/>
          </w:tcPr>
          <w:p w14:paraId="4AB98DF5">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10000</w:t>
            </w:r>
          </w:p>
        </w:tc>
        <w:tc>
          <w:tcPr>
            <w:tcW w:w="1046" w:type="dxa"/>
            <w:noWrap w:val="0"/>
            <w:vAlign w:val="center"/>
          </w:tcPr>
          <w:p w14:paraId="7251D170">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1000</w:t>
            </w:r>
          </w:p>
        </w:tc>
        <w:tc>
          <w:tcPr>
            <w:tcW w:w="689" w:type="dxa"/>
            <w:noWrap w:val="0"/>
            <w:vAlign w:val="center"/>
          </w:tcPr>
          <w:p w14:paraId="166DBD4B">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4E849935">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粒状、片状</w:t>
            </w:r>
          </w:p>
        </w:tc>
        <w:tc>
          <w:tcPr>
            <w:tcW w:w="1409" w:type="dxa"/>
            <w:noWrap w:val="0"/>
            <w:vAlign w:val="center"/>
          </w:tcPr>
          <w:p w14:paraId="744636CA">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吨包</w:t>
            </w:r>
          </w:p>
        </w:tc>
        <w:tc>
          <w:tcPr>
            <w:tcW w:w="977" w:type="dxa"/>
            <w:noWrap w:val="0"/>
            <w:vAlign w:val="center"/>
          </w:tcPr>
          <w:p w14:paraId="5CBEA7FD">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破碎磨粉区</w:t>
            </w:r>
          </w:p>
        </w:tc>
      </w:tr>
      <w:tr w14:paraId="61DF1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44D6EEA8">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w:t>
            </w:r>
          </w:p>
        </w:tc>
        <w:tc>
          <w:tcPr>
            <w:tcW w:w="505" w:type="dxa"/>
            <w:vMerge w:val="continue"/>
            <w:noWrap w:val="0"/>
            <w:vAlign w:val="center"/>
          </w:tcPr>
          <w:p w14:paraId="64D24C3D">
            <w:pPr>
              <w:pStyle w:val="24"/>
              <w:bidi w:val="0"/>
              <w:rPr>
                <w:rFonts w:hint="default" w:ascii="Times New Roman" w:hAnsi="Times New Roman" w:cs="Times New Roman"/>
                <w:color w:val="auto"/>
                <w:u w:val="none"/>
                <w:lang w:val="en-US" w:eastAsia="zh-CN"/>
              </w:rPr>
            </w:pPr>
          </w:p>
        </w:tc>
        <w:tc>
          <w:tcPr>
            <w:tcW w:w="1452" w:type="dxa"/>
            <w:noWrap w:val="0"/>
            <w:vAlign w:val="center"/>
          </w:tcPr>
          <w:p w14:paraId="31A6C210">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PVC树脂粉</w:t>
            </w:r>
          </w:p>
        </w:tc>
        <w:tc>
          <w:tcPr>
            <w:tcW w:w="1059" w:type="dxa"/>
            <w:noWrap w:val="0"/>
            <w:vAlign w:val="center"/>
          </w:tcPr>
          <w:p w14:paraId="7AC4D006">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1350</w:t>
            </w:r>
          </w:p>
        </w:tc>
        <w:tc>
          <w:tcPr>
            <w:tcW w:w="1046" w:type="dxa"/>
            <w:noWrap w:val="0"/>
            <w:vAlign w:val="center"/>
          </w:tcPr>
          <w:p w14:paraId="5F3F2A90">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100</w:t>
            </w:r>
          </w:p>
        </w:tc>
        <w:tc>
          <w:tcPr>
            <w:tcW w:w="689" w:type="dxa"/>
            <w:noWrap w:val="0"/>
            <w:vAlign w:val="center"/>
          </w:tcPr>
          <w:p w14:paraId="604EFCB8">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0B262346">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粉状</w:t>
            </w:r>
          </w:p>
        </w:tc>
        <w:tc>
          <w:tcPr>
            <w:tcW w:w="1409" w:type="dxa"/>
            <w:noWrap w:val="0"/>
            <w:vAlign w:val="center"/>
          </w:tcPr>
          <w:p w14:paraId="6F95B9C4">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吨包</w:t>
            </w:r>
          </w:p>
        </w:tc>
        <w:tc>
          <w:tcPr>
            <w:tcW w:w="977" w:type="dxa"/>
            <w:vMerge w:val="restart"/>
            <w:noWrap w:val="0"/>
            <w:vAlign w:val="center"/>
          </w:tcPr>
          <w:p w14:paraId="3F16C004">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供料贮存区</w:t>
            </w:r>
          </w:p>
        </w:tc>
      </w:tr>
      <w:tr w14:paraId="1E4E4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4128AAAB">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505" w:type="dxa"/>
            <w:vMerge w:val="continue"/>
            <w:noWrap w:val="0"/>
            <w:vAlign w:val="center"/>
          </w:tcPr>
          <w:p w14:paraId="1697C58C">
            <w:pPr>
              <w:pStyle w:val="24"/>
              <w:bidi w:val="0"/>
              <w:rPr>
                <w:rFonts w:hint="default" w:ascii="Times New Roman" w:hAnsi="Times New Roman" w:cs="Times New Roman"/>
                <w:color w:val="auto"/>
                <w:u w:val="none"/>
                <w:lang w:val="en-US" w:eastAsia="zh-CN"/>
              </w:rPr>
            </w:pPr>
          </w:p>
        </w:tc>
        <w:tc>
          <w:tcPr>
            <w:tcW w:w="1452" w:type="dxa"/>
            <w:noWrap w:val="0"/>
            <w:vAlign w:val="center"/>
          </w:tcPr>
          <w:p w14:paraId="0A2E968E">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轻质碳酸钙</w:t>
            </w:r>
          </w:p>
        </w:tc>
        <w:tc>
          <w:tcPr>
            <w:tcW w:w="1059" w:type="dxa"/>
            <w:noWrap w:val="0"/>
            <w:vAlign w:val="center"/>
          </w:tcPr>
          <w:p w14:paraId="3312E903">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15000</w:t>
            </w:r>
          </w:p>
        </w:tc>
        <w:tc>
          <w:tcPr>
            <w:tcW w:w="1046" w:type="dxa"/>
            <w:noWrap w:val="0"/>
            <w:vAlign w:val="center"/>
          </w:tcPr>
          <w:p w14:paraId="52F1AEC2">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1500</w:t>
            </w:r>
          </w:p>
        </w:tc>
        <w:tc>
          <w:tcPr>
            <w:tcW w:w="689" w:type="dxa"/>
            <w:noWrap w:val="0"/>
            <w:vAlign w:val="center"/>
          </w:tcPr>
          <w:p w14:paraId="4571BEDA">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2DB985C3">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粉状</w:t>
            </w:r>
          </w:p>
        </w:tc>
        <w:tc>
          <w:tcPr>
            <w:tcW w:w="1409" w:type="dxa"/>
            <w:noWrap w:val="0"/>
            <w:vAlign w:val="center"/>
          </w:tcPr>
          <w:p w14:paraId="1800E2E2">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吨包</w:t>
            </w:r>
          </w:p>
        </w:tc>
        <w:tc>
          <w:tcPr>
            <w:tcW w:w="977" w:type="dxa"/>
            <w:vMerge w:val="continue"/>
            <w:noWrap w:val="0"/>
            <w:vAlign w:val="center"/>
          </w:tcPr>
          <w:p w14:paraId="5606810D">
            <w:pPr>
              <w:pStyle w:val="24"/>
              <w:bidi w:val="0"/>
              <w:rPr>
                <w:rFonts w:hint="default" w:ascii="Times New Roman" w:hAnsi="Times New Roman" w:cs="Times New Roman"/>
                <w:color w:val="auto"/>
                <w:u w:val="none"/>
                <w:lang w:val="en-US" w:eastAsia="zh-CN"/>
              </w:rPr>
            </w:pPr>
          </w:p>
        </w:tc>
      </w:tr>
      <w:tr w14:paraId="5FF64A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4A0F52B1">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3</w:t>
            </w:r>
          </w:p>
        </w:tc>
        <w:tc>
          <w:tcPr>
            <w:tcW w:w="505" w:type="dxa"/>
            <w:vMerge w:val="restart"/>
            <w:noWrap w:val="0"/>
            <w:vAlign w:val="center"/>
          </w:tcPr>
          <w:p w14:paraId="699F7520">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辅料</w:t>
            </w:r>
          </w:p>
        </w:tc>
        <w:tc>
          <w:tcPr>
            <w:tcW w:w="1452" w:type="dxa"/>
            <w:noWrap w:val="0"/>
            <w:vAlign w:val="center"/>
          </w:tcPr>
          <w:p w14:paraId="0781CF87">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CPE塑料增强剂</w:t>
            </w:r>
          </w:p>
        </w:tc>
        <w:tc>
          <w:tcPr>
            <w:tcW w:w="1059" w:type="dxa"/>
            <w:noWrap w:val="0"/>
            <w:vAlign w:val="center"/>
          </w:tcPr>
          <w:p w14:paraId="74CFC493">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300</w:t>
            </w:r>
          </w:p>
        </w:tc>
        <w:tc>
          <w:tcPr>
            <w:tcW w:w="1046" w:type="dxa"/>
            <w:noWrap w:val="0"/>
            <w:vAlign w:val="center"/>
          </w:tcPr>
          <w:p w14:paraId="4535A0B8">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30</w:t>
            </w:r>
          </w:p>
        </w:tc>
        <w:tc>
          <w:tcPr>
            <w:tcW w:w="689" w:type="dxa"/>
            <w:noWrap w:val="0"/>
            <w:vAlign w:val="center"/>
          </w:tcPr>
          <w:p w14:paraId="62AA3B27">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3157110B">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粉状</w:t>
            </w:r>
          </w:p>
        </w:tc>
        <w:tc>
          <w:tcPr>
            <w:tcW w:w="1409" w:type="dxa"/>
            <w:noWrap w:val="0"/>
            <w:vAlign w:val="center"/>
          </w:tcPr>
          <w:p w14:paraId="072D0A85">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袋装、2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lang w:val="en-US" w:eastAsia="zh-CN"/>
              </w:rPr>
              <w:t>kg</w:t>
            </w:r>
          </w:p>
        </w:tc>
        <w:tc>
          <w:tcPr>
            <w:tcW w:w="977" w:type="dxa"/>
            <w:vMerge w:val="continue"/>
            <w:noWrap w:val="0"/>
            <w:vAlign w:val="center"/>
          </w:tcPr>
          <w:p w14:paraId="7C0E6BD5">
            <w:pPr>
              <w:pStyle w:val="24"/>
              <w:bidi w:val="0"/>
              <w:rPr>
                <w:rFonts w:hint="default" w:ascii="Times New Roman" w:hAnsi="Times New Roman" w:cs="Times New Roman"/>
                <w:color w:val="auto"/>
                <w:u w:val="none"/>
                <w:lang w:val="en-US" w:eastAsia="zh-CN"/>
              </w:rPr>
            </w:pPr>
          </w:p>
        </w:tc>
      </w:tr>
      <w:tr w14:paraId="6F23D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72666128">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4</w:t>
            </w:r>
          </w:p>
        </w:tc>
        <w:tc>
          <w:tcPr>
            <w:tcW w:w="505" w:type="dxa"/>
            <w:vMerge w:val="continue"/>
            <w:noWrap w:val="0"/>
            <w:vAlign w:val="center"/>
          </w:tcPr>
          <w:p w14:paraId="7435D747">
            <w:pPr>
              <w:pStyle w:val="24"/>
              <w:bidi w:val="0"/>
              <w:rPr>
                <w:rFonts w:hint="default" w:ascii="Times New Roman" w:hAnsi="Times New Roman" w:cs="Times New Roman"/>
                <w:color w:val="auto"/>
                <w:u w:val="none"/>
                <w:lang w:val="en-US" w:eastAsia="zh-CN"/>
              </w:rPr>
            </w:pPr>
          </w:p>
        </w:tc>
        <w:tc>
          <w:tcPr>
            <w:tcW w:w="1452" w:type="dxa"/>
            <w:noWrap w:val="0"/>
            <w:vAlign w:val="center"/>
          </w:tcPr>
          <w:p w14:paraId="3148FC93">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硬脂酸</w:t>
            </w:r>
          </w:p>
        </w:tc>
        <w:tc>
          <w:tcPr>
            <w:tcW w:w="1059" w:type="dxa"/>
            <w:noWrap w:val="0"/>
            <w:vAlign w:val="center"/>
          </w:tcPr>
          <w:p w14:paraId="2183AB4F">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1140</w:t>
            </w:r>
          </w:p>
        </w:tc>
        <w:tc>
          <w:tcPr>
            <w:tcW w:w="1046" w:type="dxa"/>
            <w:noWrap w:val="0"/>
            <w:vAlign w:val="center"/>
          </w:tcPr>
          <w:p w14:paraId="252475DF">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100</w:t>
            </w:r>
          </w:p>
        </w:tc>
        <w:tc>
          <w:tcPr>
            <w:tcW w:w="689" w:type="dxa"/>
            <w:noWrap w:val="0"/>
            <w:vAlign w:val="center"/>
          </w:tcPr>
          <w:p w14:paraId="30BDE4DC">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6EF77844">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粉状</w:t>
            </w:r>
          </w:p>
        </w:tc>
        <w:tc>
          <w:tcPr>
            <w:tcW w:w="1409" w:type="dxa"/>
            <w:noWrap w:val="0"/>
            <w:vAlign w:val="center"/>
          </w:tcPr>
          <w:p w14:paraId="76485E62">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袋装、2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lang w:val="en-US" w:eastAsia="zh-CN"/>
              </w:rPr>
              <w:t>kg</w:t>
            </w:r>
          </w:p>
        </w:tc>
        <w:tc>
          <w:tcPr>
            <w:tcW w:w="977" w:type="dxa"/>
            <w:vMerge w:val="continue"/>
            <w:noWrap w:val="0"/>
            <w:vAlign w:val="center"/>
          </w:tcPr>
          <w:p w14:paraId="45015C41">
            <w:pPr>
              <w:pStyle w:val="24"/>
              <w:bidi w:val="0"/>
              <w:rPr>
                <w:rFonts w:hint="default" w:ascii="Times New Roman" w:hAnsi="Times New Roman" w:cs="Times New Roman"/>
                <w:color w:val="auto"/>
                <w:u w:val="none"/>
                <w:lang w:val="en-US" w:eastAsia="zh-CN"/>
              </w:rPr>
            </w:pPr>
          </w:p>
        </w:tc>
      </w:tr>
      <w:tr w14:paraId="14CA2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17875AF4">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5</w:t>
            </w:r>
          </w:p>
        </w:tc>
        <w:tc>
          <w:tcPr>
            <w:tcW w:w="505" w:type="dxa"/>
            <w:vMerge w:val="continue"/>
            <w:noWrap w:val="0"/>
            <w:vAlign w:val="center"/>
          </w:tcPr>
          <w:p w14:paraId="5C499799">
            <w:pPr>
              <w:pStyle w:val="24"/>
              <w:bidi w:val="0"/>
              <w:rPr>
                <w:rFonts w:hint="default" w:ascii="Times New Roman" w:hAnsi="Times New Roman" w:cs="Times New Roman"/>
                <w:color w:val="auto"/>
                <w:u w:val="none"/>
                <w:lang w:val="en-US" w:eastAsia="zh-CN"/>
              </w:rPr>
            </w:pPr>
          </w:p>
        </w:tc>
        <w:tc>
          <w:tcPr>
            <w:tcW w:w="1452" w:type="dxa"/>
            <w:noWrap w:val="0"/>
            <w:vAlign w:val="center"/>
          </w:tcPr>
          <w:p w14:paraId="160B4FE1">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发泡剂</w:t>
            </w:r>
          </w:p>
        </w:tc>
        <w:tc>
          <w:tcPr>
            <w:tcW w:w="1059" w:type="dxa"/>
            <w:noWrap w:val="0"/>
            <w:vAlign w:val="center"/>
          </w:tcPr>
          <w:p w14:paraId="58DEAA0C">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300</w:t>
            </w:r>
          </w:p>
        </w:tc>
        <w:tc>
          <w:tcPr>
            <w:tcW w:w="1046" w:type="dxa"/>
            <w:noWrap w:val="0"/>
            <w:vAlign w:val="center"/>
          </w:tcPr>
          <w:p w14:paraId="2DC73369">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30</w:t>
            </w:r>
          </w:p>
        </w:tc>
        <w:tc>
          <w:tcPr>
            <w:tcW w:w="689" w:type="dxa"/>
            <w:noWrap w:val="0"/>
            <w:vAlign w:val="center"/>
          </w:tcPr>
          <w:p w14:paraId="7403EED0">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18D2F053">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粉状</w:t>
            </w:r>
          </w:p>
        </w:tc>
        <w:tc>
          <w:tcPr>
            <w:tcW w:w="1409" w:type="dxa"/>
            <w:noWrap w:val="0"/>
            <w:vAlign w:val="center"/>
          </w:tcPr>
          <w:p w14:paraId="709AE46B">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袋装、2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lang w:val="en-US" w:eastAsia="zh-CN"/>
              </w:rPr>
              <w:t>kg</w:t>
            </w:r>
          </w:p>
        </w:tc>
        <w:tc>
          <w:tcPr>
            <w:tcW w:w="977" w:type="dxa"/>
            <w:vMerge w:val="continue"/>
            <w:noWrap w:val="0"/>
            <w:vAlign w:val="center"/>
          </w:tcPr>
          <w:p w14:paraId="5E111953">
            <w:pPr>
              <w:pStyle w:val="24"/>
              <w:bidi w:val="0"/>
              <w:rPr>
                <w:rFonts w:hint="default" w:ascii="Times New Roman" w:hAnsi="Times New Roman" w:cs="Times New Roman"/>
                <w:color w:val="auto"/>
                <w:u w:val="none"/>
                <w:lang w:val="en-US" w:eastAsia="zh-CN"/>
              </w:rPr>
            </w:pPr>
          </w:p>
        </w:tc>
      </w:tr>
      <w:tr w14:paraId="21EE43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663B5C6E">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6</w:t>
            </w:r>
          </w:p>
        </w:tc>
        <w:tc>
          <w:tcPr>
            <w:tcW w:w="505" w:type="dxa"/>
            <w:vMerge w:val="continue"/>
            <w:noWrap w:val="0"/>
            <w:vAlign w:val="center"/>
          </w:tcPr>
          <w:p w14:paraId="712DBAD2">
            <w:pPr>
              <w:pStyle w:val="24"/>
              <w:bidi w:val="0"/>
              <w:rPr>
                <w:rFonts w:hint="default" w:ascii="Times New Roman" w:hAnsi="Times New Roman" w:cs="Times New Roman"/>
                <w:color w:val="auto"/>
                <w:u w:val="none"/>
                <w:lang w:val="en-US" w:eastAsia="zh-CN"/>
              </w:rPr>
            </w:pPr>
          </w:p>
        </w:tc>
        <w:tc>
          <w:tcPr>
            <w:tcW w:w="1452" w:type="dxa"/>
            <w:noWrap w:val="0"/>
            <w:vAlign w:val="center"/>
          </w:tcPr>
          <w:p w14:paraId="2463402C">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复合稳定剂</w:t>
            </w:r>
          </w:p>
        </w:tc>
        <w:tc>
          <w:tcPr>
            <w:tcW w:w="1059" w:type="dxa"/>
            <w:noWrap w:val="0"/>
            <w:vAlign w:val="center"/>
          </w:tcPr>
          <w:p w14:paraId="162EC96C">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1200</w:t>
            </w:r>
          </w:p>
        </w:tc>
        <w:tc>
          <w:tcPr>
            <w:tcW w:w="1046" w:type="dxa"/>
            <w:noWrap w:val="0"/>
            <w:vAlign w:val="center"/>
          </w:tcPr>
          <w:p w14:paraId="2F2181BB">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120</w:t>
            </w:r>
          </w:p>
        </w:tc>
        <w:tc>
          <w:tcPr>
            <w:tcW w:w="689" w:type="dxa"/>
            <w:noWrap w:val="0"/>
            <w:vAlign w:val="center"/>
          </w:tcPr>
          <w:p w14:paraId="4B0EC118">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69264B51">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粉状</w:t>
            </w:r>
          </w:p>
        </w:tc>
        <w:tc>
          <w:tcPr>
            <w:tcW w:w="1409" w:type="dxa"/>
            <w:noWrap w:val="0"/>
            <w:vAlign w:val="center"/>
          </w:tcPr>
          <w:p w14:paraId="7A36DDB0">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袋装、2</w:t>
            </w:r>
            <w:r>
              <w:rPr>
                <w:rFonts w:hint="eastAsia" w:ascii="Times New Roman" w:hAnsi="Times New Roman" w:cs="Times New Roman"/>
                <w:color w:val="auto"/>
                <w:u w:val="none"/>
                <w:lang w:val="en-US" w:eastAsia="zh-CN"/>
              </w:rPr>
              <w:t>5</w:t>
            </w:r>
            <w:r>
              <w:rPr>
                <w:rFonts w:hint="default" w:ascii="Times New Roman" w:hAnsi="Times New Roman" w:cs="Times New Roman"/>
                <w:color w:val="auto"/>
                <w:u w:val="none"/>
                <w:lang w:val="en-US" w:eastAsia="zh-CN"/>
              </w:rPr>
              <w:t>kg</w:t>
            </w:r>
          </w:p>
        </w:tc>
        <w:tc>
          <w:tcPr>
            <w:tcW w:w="977" w:type="dxa"/>
            <w:vMerge w:val="continue"/>
            <w:noWrap w:val="0"/>
            <w:vAlign w:val="center"/>
          </w:tcPr>
          <w:p w14:paraId="63D1990C">
            <w:pPr>
              <w:pStyle w:val="24"/>
              <w:bidi w:val="0"/>
              <w:rPr>
                <w:rFonts w:hint="default" w:ascii="Times New Roman" w:hAnsi="Times New Roman" w:cs="Times New Roman"/>
                <w:color w:val="auto"/>
                <w:u w:val="none"/>
                <w:lang w:val="en-US" w:eastAsia="zh-CN"/>
              </w:rPr>
            </w:pPr>
          </w:p>
        </w:tc>
      </w:tr>
      <w:tr w14:paraId="514FE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7ECBF5BC">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7</w:t>
            </w:r>
          </w:p>
        </w:tc>
        <w:tc>
          <w:tcPr>
            <w:tcW w:w="505" w:type="dxa"/>
            <w:vMerge w:val="continue"/>
            <w:noWrap w:val="0"/>
            <w:vAlign w:val="center"/>
          </w:tcPr>
          <w:p w14:paraId="4942138B">
            <w:pPr>
              <w:pStyle w:val="24"/>
              <w:bidi w:val="0"/>
              <w:rPr>
                <w:rFonts w:hint="default" w:ascii="Times New Roman" w:hAnsi="Times New Roman" w:cs="Times New Roman"/>
                <w:color w:val="auto"/>
                <w:u w:val="none"/>
                <w:lang w:val="en-US" w:eastAsia="zh-CN"/>
              </w:rPr>
            </w:pPr>
          </w:p>
        </w:tc>
        <w:tc>
          <w:tcPr>
            <w:tcW w:w="1452" w:type="dxa"/>
            <w:noWrap w:val="0"/>
            <w:vAlign w:val="center"/>
          </w:tcPr>
          <w:p w14:paraId="5CEDB52D">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色母</w:t>
            </w:r>
          </w:p>
        </w:tc>
        <w:tc>
          <w:tcPr>
            <w:tcW w:w="1059" w:type="dxa"/>
            <w:noWrap w:val="0"/>
            <w:vAlign w:val="center"/>
          </w:tcPr>
          <w:p w14:paraId="270E7BA0">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42.773</w:t>
            </w:r>
          </w:p>
        </w:tc>
        <w:tc>
          <w:tcPr>
            <w:tcW w:w="1046" w:type="dxa"/>
            <w:noWrap w:val="0"/>
            <w:vAlign w:val="center"/>
          </w:tcPr>
          <w:p w14:paraId="2049937D">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5</w:t>
            </w:r>
          </w:p>
        </w:tc>
        <w:tc>
          <w:tcPr>
            <w:tcW w:w="689" w:type="dxa"/>
            <w:noWrap w:val="0"/>
            <w:vAlign w:val="center"/>
          </w:tcPr>
          <w:p w14:paraId="43603B3A">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0083F6DF">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粉状</w:t>
            </w:r>
          </w:p>
        </w:tc>
        <w:tc>
          <w:tcPr>
            <w:tcW w:w="1409" w:type="dxa"/>
            <w:noWrap w:val="0"/>
            <w:vAlign w:val="center"/>
          </w:tcPr>
          <w:p w14:paraId="104E5D9A">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袋装</w:t>
            </w:r>
          </w:p>
        </w:tc>
        <w:tc>
          <w:tcPr>
            <w:tcW w:w="977" w:type="dxa"/>
            <w:vMerge w:val="continue"/>
            <w:noWrap w:val="0"/>
            <w:vAlign w:val="center"/>
          </w:tcPr>
          <w:p w14:paraId="17AB5788">
            <w:pPr>
              <w:pStyle w:val="24"/>
              <w:bidi w:val="0"/>
              <w:rPr>
                <w:rFonts w:hint="default" w:ascii="Times New Roman" w:hAnsi="Times New Roman" w:cs="Times New Roman"/>
                <w:color w:val="auto"/>
                <w:u w:val="none"/>
                <w:lang w:val="en-US" w:eastAsia="zh-CN"/>
              </w:rPr>
            </w:pPr>
          </w:p>
        </w:tc>
      </w:tr>
      <w:tr w14:paraId="1BCC9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33905C30">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8</w:t>
            </w:r>
          </w:p>
        </w:tc>
        <w:tc>
          <w:tcPr>
            <w:tcW w:w="505" w:type="dxa"/>
            <w:vMerge w:val="continue"/>
            <w:noWrap w:val="0"/>
            <w:vAlign w:val="center"/>
          </w:tcPr>
          <w:p w14:paraId="1F302D51">
            <w:pPr>
              <w:pStyle w:val="24"/>
              <w:bidi w:val="0"/>
              <w:rPr>
                <w:rFonts w:hint="default" w:ascii="Times New Roman" w:hAnsi="Times New Roman" w:cs="Times New Roman"/>
                <w:color w:val="auto"/>
                <w:u w:val="none"/>
                <w:lang w:val="en-US" w:eastAsia="zh-CN"/>
              </w:rPr>
            </w:pPr>
          </w:p>
        </w:tc>
        <w:tc>
          <w:tcPr>
            <w:tcW w:w="1452" w:type="dxa"/>
            <w:noWrap w:val="0"/>
            <w:vAlign w:val="center"/>
          </w:tcPr>
          <w:p w14:paraId="2A5A1ECC">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PVC膜</w:t>
            </w:r>
          </w:p>
        </w:tc>
        <w:tc>
          <w:tcPr>
            <w:tcW w:w="1059" w:type="dxa"/>
            <w:noWrap w:val="0"/>
            <w:vAlign w:val="center"/>
          </w:tcPr>
          <w:p w14:paraId="5C51E276">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550</w:t>
            </w:r>
          </w:p>
        </w:tc>
        <w:tc>
          <w:tcPr>
            <w:tcW w:w="1046" w:type="dxa"/>
            <w:noWrap w:val="0"/>
            <w:vAlign w:val="center"/>
          </w:tcPr>
          <w:p w14:paraId="322FEE7D">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50</w:t>
            </w:r>
          </w:p>
        </w:tc>
        <w:tc>
          <w:tcPr>
            <w:tcW w:w="689" w:type="dxa"/>
            <w:noWrap w:val="0"/>
            <w:vAlign w:val="center"/>
          </w:tcPr>
          <w:p w14:paraId="0A0455BD">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329504D9">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固体</w:t>
            </w:r>
          </w:p>
        </w:tc>
        <w:tc>
          <w:tcPr>
            <w:tcW w:w="1409" w:type="dxa"/>
            <w:noWrap w:val="0"/>
            <w:vAlign w:val="center"/>
          </w:tcPr>
          <w:p w14:paraId="1DD3008B">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捆装</w:t>
            </w:r>
          </w:p>
        </w:tc>
        <w:tc>
          <w:tcPr>
            <w:tcW w:w="977" w:type="dxa"/>
            <w:vMerge w:val="restart"/>
            <w:noWrap w:val="0"/>
            <w:vAlign w:val="center"/>
          </w:tcPr>
          <w:p w14:paraId="4D41208F">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仓库</w:t>
            </w:r>
          </w:p>
        </w:tc>
      </w:tr>
      <w:tr w14:paraId="080E8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46C07072">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9</w:t>
            </w:r>
          </w:p>
        </w:tc>
        <w:tc>
          <w:tcPr>
            <w:tcW w:w="505" w:type="dxa"/>
            <w:vMerge w:val="continue"/>
            <w:noWrap w:val="0"/>
            <w:vAlign w:val="center"/>
          </w:tcPr>
          <w:p w14:paraId="55AFC0BA">
            <w:pPr>
              <w:pStyle w:val="24"/>
              <w:bidi w:val="0"/>
              <w:rPr>
                <w:rFonts w:hint="default" w:ascii="Times New Roman" w:hAnsi="Times New Roman" w:cs="Times New Roman"/>
                <w:color w:val="auto"/>
                <w:u w:val="none"/>
                <w:lang w:val="en-US" w:eastAsia="zh-CN"/>
              </w:rPr>
            </w:pPr>
          </w:p>
        </w:tc>
        <w:tc>
          <w:tcPr>
            <w:tcW w:w="1452" w:type="dxa"/>
            <w:noWrap w:val="0"/>
            <w:vAlign w:val="center"/>
          </w:tcPr>
          <w:p w14:paraId="1A84059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溶剂型聚氨酯包覆胶</w:t>
            </w:r>
          </w:p>
        </w:tc>
        <w:tc>
          <w:tcPr>
            <w:tcW w:w="1059" w:type="dxa"/>
            <w:noWrap w:val="0"/>
            <w:vAlign w:val="center"/>
          </w:tcPr>
          <w:p w14:paraId="0AC2F69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6.06</w:t>
            </w:r>
          </w:p>
        </w:tc>
        <w:tc>
          <w:tcPr>
            <w:tcW w:w="1046" w:type="dxa"/>
            <w:noWrap w:val="0"/>
            <w:vAlign w:val="center"/>
          </w:tcPr>
          <w:p w14:paraId="1B001CA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w:t>
            </w:r>
          </w:p>
        </w:tc>
        <w:tc>
          <w:tcPr>
            <w:tcW w:w="689" w:type="dxa"/>
            <w:noWrap w:val="0"/>
            <w:vAlign w:val="center"/>
          </w:tcPr>
          <w:p w14:paraId="69E4AF1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外购</w:t>
            </w:r>
          </w:p>
        </w:tc>
        <w:tc>
          <w:tcPr>
            <w:tcW w:w="915" w:type="dxa"/>
            <w:noWrap w:val="0"/>
            <w:vAlign w:val="center"/>
          </w:tcPr>
          <w:p w14:paraId="7FFEA02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液体</w:t>
            </w:r>
          </w:p>
        </w:tc>
        <w:tc>
          <w:tcPr>
            <w:tcW w:w="1409" w:type="dxa"/>
            <w:noWrap w:val="0"/>
            <w:vAlign w:val="center"/>
          </w:tcPr>
          <w:p w14:paraId="781750D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桶装</w:t>
            </w:r>
          </w:p>
        </w:tc>
        <w:tc>
          <w:tcPr>
            <w:tcW w:w="977" w:type="dxa"/>
            <w:vMerge w:val="continue"/>
            <w:noWrap w:val="0"/>
            <w:vAlign w:val="center"/>
          </w:tcPr>
          <w:p w14:paraId="64BAEADA">
            <w:pPr>
              <w:pStyle w:val="24"/>
              <w:bidi w:val="0"/>
              <w:rPr>
                <w:rFonts w:hint="default" w:ascii="Times New Roman" w:hAnsi="Times New Roman" w:cs="Times New Roman"/>
                <w:color w:val="auto"/>
                <w:u w:val="none"/>
                <w:lang w:val="en-US" w:eastAsia="zh-CN"/>
              </w:rPr>
            </w:pPr>
          </w:p>
        </w:tc>
      </w:tr>
      <w:tr w14:paraId="4388D8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7B400753">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w:t>
            </w:r>
          </w:p>
        </w:tc>
        <w:tc>
          <w:tcPr>
            <w:tcW w:w="505" w:type="dxa"/>
            <w:vMerge w:val="continue"/>
            <w:noWrap w:val="0"/>
            <w:vAlign w:val="center"/>
          </w:tcPr>
          <w:p w14:paraId="5FE66C2E">
            <w:pPr>
              <w:pStyle w:val="24"/>
              <w:bidi w:val="0"/>
              <w:rPr>
                <w:rFonts w:hint="default" w:ascii="Times New Roman" w:hAnsi="Times New Roman" w:cs="Times New Roman"/>
                <w:color w:val="auto"/>
                <w:u w:val="none"/>
                <w:lang w:val="en-US" w:eastAsia="zh-CN"/>
              </w:rPr>
            </w:pPr>
          </w:p>
        </w:tc>
        <w:tc>
          <w:tcPr>
            <w:tcW w:w="1452" w:type="dxa"/>
            <w:noWrap w:val="0"/>
            <w:vAlign w:val="center"/>
          </w:tcPr>
          <w:p w14:paraId="191E2F0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水性聚氨酯热熔胶</w:t>
            </w:r>
          </w:p>
        </w:tc>
        <w:tc>
          <w:tcPr>
            <w:tcW w:w="1059" w:type="dxa"/>
            <w:noWrap w:val="0"/>
            <w:vAlign w:val="center"/>
          </w:tcPr>
          <w:p w14:paraId="022859F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66.06</w:t>
            </w:r>
          </w:p>
        </w:tc>
        <w:tc>
          <w:tcPr>
            <w:tcW w:w="1046" w:type="dxa"/>
            <w:noWrap w:val="0"/>
            <w:vAlign w:val="center"/>
          </w:tcPr>
          <w:p w14:paraId="3AF9892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w:t>
            </w:r>
          </w:p>
        </w:tc>
        <w:tc>
          <w:tcPr>
            <w:tcW w:w="689" w:type="dxa"/>
            <w:noWrap w:val="0"/>
            <w:vAlign w:val="center"/>
          </w:tcPr>
          <w:p w14:paraId="4F8E69E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外购</w:t>
            </w:r>
          </w:p>
        </w:tc>
        <w:tc>
          <w:tcPr>
            <w:tcW w:w="915" w:type="dxa"/>
            <w:noWrap w:val="0"/>
            <w:vAlign w:val="center"/>
          </w:tcPr>
          <w:p w14:paraId="53BF18A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固</w:t>
            </w:r>
            <w:r>
              <w:rPr>
                <w:rFonts w:hint="default" w:ascii="Times New Roman" w:hAnsi="Times New Roman" w:cs="Times New Roman"/>
                <w:color w:val="auto"/>
                <w:u w:val="none" w:color="auto"/>
                <w:lang w:val="en-US" w:eastAsia="zh-CN"/>
              </w:rPr>
              <w:t>体</w:t>
            </w:r>
          </w:p>
        </w:tc>
        <w:tc>
          <w:tcPr>
            <w:tcW w:w="1409" w:type="dxa"/>
            <w:noWrap w:val="0"/>
            <w:vAlign w:val="center"/>
          </w:tcPr>
          <w:p w14:paraId="7BE4D34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桶装</w:t>
            </w:r>
          </w:p>
        </w:tc>
        <w:tc>
          <w:tcPr>
            <w:tcW w:w="977" w:type="dxa"/>
            <w:vMerge w:val="continue"/>
            <w:noWrap w:val="0"/>
            <w:vAlign w:val="center"/>
          </w:tcPr>
          <w:p w14:paraId="53E77676">
            <w:pPr>
              <w:pStyle w:val="24"/>
              <w:bidi w:val="0"/>
              <w:rPr>
                <w:rFonts w:hint="default" w:ascii="Times New Roman" w:hAnsi="Times New Roman" w:cs="Times New Roman"/>
                <w:color w:val="auto"/>
                <w:u w:val="none"/>
                <w:lang w:val="en-US" w:eastAsia="zh-CN"/>
              </w:rPr>
            </w:pPr>
          </w:p>
        </w:tc>
      </w:tr>
      <w:tr w14:paraId="5409EC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9"/>
            <w:noWrap w:val="0"/>
            <w:vAlign w:val="center"/>
          </w:tcPr>
          <w:p w14:paraId="25006188">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PVC装饰线条加工线</w:t>
            </w:r>
          </w:p>
        </w:tc>
      </w:tr>
      <w:tr w14:paraId="37F7C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3AC03577">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11</w:t>
            </w:r>
          </w:p>
        </w:tc>
        <w:tc>
          <w:tcPr>
            <w:tcW w:w="505" w:type="dxa"/>
            <w:noWrap w:val="0"/>
            <w:vAlign w:val="center"/>
          </w:tcPr>
          <w:p w14:paraId="5669571E">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主料</w:t>
            </w:r>
          </w:p>
        </w:tc>
        <w:tc>
          <w:tcPr>
            <w:tcW w:w="1452" w:type="dxa"/>
            <w:noWrap w:val="0"/>
            <w:vAlign w:val="center"/>
          </w:tcPr>
          <w:p w14:paraId="1317910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PVC装饰线条半成品</w:t>
            </w:r>
          </w:p>
        </w:tc>
        <w:tc>
          <w:tcPr>
            <w:tcW w:w="1059" w:type="dxa"/>
            <w:noWrap w:val="0"/>
            <w:vAlign w:val="center"/>
          </w:tcPr>
          <w:p w14:paraId="031850E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4930</w:t>
            </w:r>
          </w:p>
        </w:tc>
        <w:tc>
          <w:tcPr>
            <w:tcW w:w="1046" w:type="dxa"/>
            <w:noWrap w:val="0"/>
            <w:vAlign w:val="center"/>
          </w:tcPr>
          <w:p w14:paraId="290CE907">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500</w:t>
            </w:r>
          </w:p>
        </w:tc>
        <w:tc>
          <w:tcPr>
            <w:tcW w:w="689" w:type="dxa"/>
            <w:noWrap w:val="0"/>
            <w:vAlign w:val="center"/>
          </w:tcPr>
          <w:p w14:paraId="5EE55073">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外购</w:t>
            </w:r>
          </w:p>
        </w:tc>
        <w:tc>
          <w:tcPr>
            <w:tcW w:w="915" w:type="dxa"/>
            <w:noWrap w:val="0"/>
            <w:vAlign w:val="center"/>
          </w:tcPr>
          <w:p w14:paraId="0458B3C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线条</w:t>
            </w:r>
          </w:p>
        </w:tc>
        <w:tc>
          <w:tcPr>
            <w:tcW w:w="1409" w:type="dxa"/>
            <w:noWrap w:val="0"/>
            <w:vAlign w:val="center"/>
          </w:tcPr>
          <w:p w14:paraId="0E5C338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w:t>
            </w:r>
          </w:p>
        </w:tc>
        <w:tc>
          <w:tcPr>
            <w:tcW w:w="977" w:type="dxa"/>
            <w:vMerge w:val="restart"/>
            <w:noWrap w:val="0"/>
            <w:vAlign w:val="center"/>
          </w:tcPr>
          <w:p w14:paraId="22FC731D">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仓库</w:t>
            </w:r>
          </w:p>
        </w:tc>
      </w:tr>
      <w:tr w14:paraId="6C686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49E74322">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12</w:t>
            </w:r>
          </w:p>
        </w:tc>
        <w:tc>
          <w:tcPr>
            <w:tcW w:w="505" w:type="dxa"/>
            <w:vMerge w:val="restart"/>
            <w:noWrap w:val="0"/>
            <w:vAlign w:val="center"/>
          </w:tcPr>
          <w:p w14:paraId="3D12A8A6">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辅料</w:t>
            </w:r>
          </w:p>
        </w:tc>
        <w:tc>
          <w:tcPr>
            <w:tcW w:w="1452" w:type="dxa"/>
            <w:noWrap w:val="0"/>
            <w:vAlign w:val="center"/>
          </w:tcPr>
          <w:p w14:paraId="4CB4B6D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PVC膜</w:t>
            </w:r>
          </w:p>
        </w:tc>
        <w:tc>
          <w:tcPr>
            <w:tcW w:w="1059" w:type="dxa"/>
            <w:noWrap w:val="0"/>
            <w:vAlign w:val="center"/>
          </w:tcPr>
          <w:p w14:paraId="2698D3A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104.742</w:t>
            </w:r>
          </w:p>
        </w:tc>
        <w:tc>
          <w:tcPr>
            <w:tcW w:w="1046" w:type="dxa"/>
            <w:noWrap w:val="0"/>
            <w:vAlign w:val="center"/>
          </w:tcPr>
          <w:p w14:paraId="2F0CA81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w:t>
            </w:r>
          </w:p>
        </w:tc>
        <w:tc>
          <w:tcPr>
            <w:tcW w:w="689" w:type="dxa"/>
            <w:noWrap w:val="0"/>
            <w:vAlign w:val="center"/>
          </w:tcPr>
          <w:p w14:paraId="14761B1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外购</w:t>
            </w:r>
          </w:p>
        </w:tc>
        <w:tc>
          <w:tcPr>
            <w:tcW w:w="915" w:type="dxa"/>
            <w:noWrap w:val="0"/>
            <w:vAlign w:val="center"/>
          </w:tcPr>
          <w:p w14:paraId="726A3EEF">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固体</w:t>
            </w:r>
          </w:p>
        </w:tc>
        <w:tc>
          <w:tcPr>
            <w:tcW w:w="1409" w:type="dxa"/>
            <w:noWrap w:val="0"/>
            <w:vAlign w:val="center"/>
          </w:tcPr>
          <w:p w14:paraId="72D93CE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捆装</w:t>
            </w:r>
          </w:p>
        </w:tc>
        <w:tc>
          <w:tcPr>
            <w:tcW w:w="977" w:type="dxa"/>
            <w:vMerge w:val="continue"/>
            <w:noWrap w:val="0"/>
            <w:vAlign w:val="center"/>
          </w:tcPr>
          <w:p w14:paraId="57136AEB">
            <w:pPr>
              <w:pStyle w:val="24"/>
              <w:bidi w:val="0"/>
              <w:rPr>
                <w:rFonts w:hint="default" w:ascii="Times New Roman" w:hAnsi="Times New Roman" w:cs="Times New Roman"/>
                <w:color w:val="auto"/>
                <w:u w:val="none"/>
                <w:lang w:val="en-US" w:eastAsia="zh-CN"/>
              </w:rPr>
            </w:pPr>
          </w:p>
        </w:tc>
      </w:tr>
      <w:tr w14:paraId="56828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09732676">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13</w:t>
            </w:r>
          </w:p>
        </w:tc>
        <w:tc>
          <w:tcPr>
            <w:tcW w:w="505" w:type="dxa"/>
            <w:vMerge w:val="continue"/>
            <w:noWrap w:val="0"/>
            <w:vAlign w:val="center"/>
          </w:tcPr>
          <w:p w14:paraId="482FFAD0">
            <w:pPr>
              <w:pStyle w:val="24"/>
              <w:bidi w:val="0"/>
              <w:rPr>
                <w:rFonts w:hint="default" w:ascii="Times New Roman" w:hAnsi="Times New Roman" w:cs="Times New Roman"/>
                <w:color w:val="auto"/>
                <w:u w:val="none"/>
                <w:lang w:val="en-US" w:eastAsia="zh-CN"/>
              </w:rPr>
            </w:pPr>
          </w:p>
        </w:tc>
        <w:tc>
          <w:tcPr>
            <w:tcW w:w="1452" w:type="dxa"/>
            <w:noWrap w:val="0"/>
            <w:vAlign w:val="center"/>
          </w:tcPr>
          <w:p w14:paraId="09C0DCD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水性聚氨酯墙板专用胶</w:t>
            </w:r>
          </w:p>
        </w:tc>
        <w:tc>
          <w:tcPr>
            <w:tcW w:w="1059" w:type="dxa"/>
            <w:noWrap w:val="0"/>
            <w:vAlign w:val="center"/>
          </w:tcPr>
          <w:p w14:paraId="48144112">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18.18</w:t>
            </w:r>
          </w:p>
        </w:tc>
        <w:tc>
          <w:tcPr>
            <w:tcW w:w="1046" w:type="dxa"/>
            <w:noWrap w:val="0"/>
            <w:vAlign w:val="center"/>
          </w:tcPr>
          <w:p w14:paraId="2120B37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1.5</w:t>
            </w:r>
          </w:p>
        </w:tc>
        <w:tc>
          <w:tcPr>
            <w:tcW w:w="689" w:type="dxa"/>
            <w:noWrap w:val="0"/>
            <w:vAlign w:val="center"/>
          </w:tcPr>
          <w:p w14:paraId="43AA294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外购</w:t>
            </w:r>
          </w:p>
        </w:tc>
        <w:tc>
          <w:tcPr>
            <w:tcW w:w="915" w:type="dxa"/>
            <w:noWrap w:val="0"/>
            <w:vAlign w:val="center"/>
          </w:tcPr>
          <w:p w14:paraId="1448FAE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液体</w:t>
            </w:r>
          </w:p>
        </w:tc>
        <w:tc>
          <w:tcPr>
            <w:tcW w:w="1409" w:type="dxa"/>
            <w:noWrap w:val="0"/>
            <w:vAlign w:val="center"/>
          </w:tcPr>
          <w:p w14:paraId="49F6FED4">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桶装</w:t>
            </w:r>
          </w:p>
        </w:tc>
        <w:tc>
          <w:tcPr>
            <w:tcW w:w="977" w:type="dxa"/>
            <w:vMerge w:val="continue"/>
            <w:noWrap w:val="0"/>
            <w:vAlign w:val="center"/>
          </w:tcPr>
          <w:p w14:paraId="214BA236">
            <w:pPr>
              <w:pStyle w:val="24"/>
              <w:bidi w:val="0"/>
              <w:rPr>
                <w:rFonts w:hint="default" w:ascii="Times New Roman" w:hAnsi="Times New Roman" w:cs="Times New Roman"/>
                <w:color w:val="auto"/>
                <w:u w:val="none"/>
                <w:lang w:val="en-US" w:eastAsia="zh-CN"/>
              </w:rPr>
            </w:pPr>
          </w:p>
        </w:tc>
      </w:tr>
      <w:tr w14:paraId="35DA9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9"/>
            <w:noWrap w:val="0"/>
            <w:vAlign w:val="center"/>
          </w:tcPr>
          <w:p w14:paraId="698ADA61">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公用</w:t>
            </w:r>
          </w:p>
        </w:tc>
      </w:tr>
      <w:tr w14:paraId="12B30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2F06D803">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14</w:t>
            </w:r>
          </w:p>
        </w:tc>
        <w:tc>
          <w:tcPr>
            <w:tcW w:w="505" w:type="dxa"/>
            <w:vMerge w:val="restart"/>
            <w:noWrap w:val="0"/>
            <w:vAlign w:val="center"/>
          </w:tcPr>
          <w:p w14:paraId="68123D9B">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能源</w:t>
            </w:r>
          </w:p>
        </w:tc>
        <w:tc>
          <w:tcPr>
            <w:tcW w:w="1452" w:type="dxa"/>
            <w:noWrap w:val="0"/>
            <w:vAlign w:val="center"/>
          </w:tcPr>
          <w:p w14:paraId="204AACB0">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水</w:t>
            </w:r>
          </w:p>
        </w:tc>
        <w:tc>
          <w:tcPr>
            <w:tcW w:w="2105" w:type="dxa"/>
            <w:gridSpan w:val="2"/>
            <w:noWrap w:val="0"/>
            <w:vAlign w:val="center"/>
          </w:tcPr>
          <w:p w14:paraId="07734D88">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3330</w:t>
            </w:r>
          </w:p>
        </w:tc>
        <w:tc>
          <w:tcPr>
            <w:tcW w:w="3990" w:type="dxa"/>
            <w:gridSpan w:val="4"/>
            <w:noWrap w:val="0"/>
            <w:vAlign w:val="center"/>
          </w:tcPr>
          <w:p w14:paraId="14847672">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市政管网供给</w:t>
            </w:r>
          </w:p>
        </w:tc>
      </w:tr>
      <w:tr w14:paraId="414112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noWrap w:val="0"/>
            <w:vAlign w:val="center"/>
          </w:tcPr>
          <w:p w14:paraId="661ED43F">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15</w:t>
            </w:r>
          </w:p>
        </w:tc>
        <w:tc>
          <w:tcPr>
            <w:tcW w:w="505" w:type="dxa"/>
            <w:vMerge w:val="continue"/>
            <w:noWrap w:val="0"/>
            <w:vAlign w:val="center"/>
          </w:tcPr>
          <w:p w14:paraId="28A6E8E4">
            <w:pPr>
              <w:pStyle w:val="24"/>
              <w:bidi w:val="0"/>
              <w:rPr>
                <w:rFonts w:hint="default" w:ascii="Times New Roman" w:hAnsi="Times New Roman" w:cs="Times New Roman"/>
                <w:color w:val="auto"/>
                <w:u w:val="none"/>
                <w:lang w:val="en-US" w:eastAsia="zh-CN"/>
              </w:rPr>
            </w:pPr>
          </w:p>
        </w:tc>
        <w:tc>
          <w:tcPr>
            <w:tcW w:w="1452" w:type="dxa"/>
            <w:noWrap w:val="0"/>
            <w:vAlign w:val="center"/>
          </w:tcPr>
          <w:p w14:paraId="1FC19BDA">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电</w:t>
            </w:r>
          </w:p>
        </w:tc>
        <w:tc>
          <w:tcPr>
            <w:tcW w:w="2105" w:type="dxa"/>
            <w:gridSpan w:val="2"/>
            <w:noWrap w:val="0"/>
            <w:vAlign w:val="center"/>
          </w:tcPr>
          <w:p w14:paraId="16CF0C48">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160万</w:t>
            </w:r>
            <w:r>
              <w:rPr>
                <w:rFonts w:hint="default" w:ascii="Times New Roman" w:hAnsi="Times New Roman" w:cs="Times New Roman"/>
                <w:color w:val="auto"/>
                <w:u w:val="none"/>
                <w:lang w:val="en-US" w:eastAsia="zh-CN"/>
              </w:rPr>
              <w:t>度/a</w:t>
            </w:r>
          </w:p>
        </w:tc>
        <w:tc>
          <w:tcPr>
            <w:tcW w:w="3990" w:type="dxa"/>
            <w:gridSpan w:val="4"/>
            <w:noWrap w:val="0"/>
            <w:vAlign w:val="center"/>
          </w:tcPr>
          <w:p w14:paraId="33FE2ABA">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园区变电站供给</w:t>
            </w:r>
          </w:p>
        </w:tc>
      </w:tr>
      <w:tr w14:paraId="0C9B73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509DCB91">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16</w:t>
            </w:r>
          </w:p>
        </w:tc>
        <w:tc>
          <w:tcPr>
            <w:tcW w:w="505" w:type="dxa"/>
            <w:vMerge w:val="restart"/>
            <w:noWrap w:val="0"/>
            <w:vAlign w:val="center"/>
          </w:tcPr>
          <w:p w14:paraId="1D660221">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耗材</w:t>
            </w:r>
          </w:p>
        </w:tc>
        <w:tc>
          <w:tcPr>
            <w:tcW w:w="1452" w:type="dxa"/>
            <w:noWrap w:val="0"/>
            <w:vAlign w:val="center"/>
          </w:tcPr>
          <w:p w14:paraId="42E366AF">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活性炭</w:t>
            </w:r>
          </w:p>
        </w:tc>
        <w:tc>
          <w:tcPr>
            <w:tcW w:w="2105" w:type="dxa"/>
            <w:gridSpan w:val="2"/>
            <w:noWrap w:val="0"/>
            <w:vAlign w:val="center"/>
          </w:tcPr>
          <w:p w14:paraId="2D16AF1E">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13.8</w:t>
            </w:r>
          </w:p>
        </w:tc>
        <w:tc>
          <w:tcPr>
            <w:tcW w:w="689" w:type="dxa"/>
            <w:noWrap w:val="0"/>
            <w:vAlign w:val="center"/>
          </w:tcPr>
          <w:p w14:paraId="060D6885">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外购</w:t>
            </w:r>
          </w:p>
        </w:tc>
        <w:tc>
          <w:tcPr>
            <w:tcW w:w="915" w:type="dxa"/>
            <w:noWrap w:val="0"/>
            <w:vAlign w:val="center"/>
          </w:tcPr>
          <w:p w14:paraId="0E43B3AE">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固体</w:t>
            </w:r>
          </w:p>
        </w:tc>
        <w:tc>
          <w:tcPr>
            <w:tcW w:w="1409" w:type="dxa"/>
            <w:noWrap w:val="0"/>
            <w:vAlign w:val="center"/>
          </w:tcPr>
          <w:p w14:paraId="07A5DACB">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25kg/袋</w:t>
            </w:r>
          </w:p>
        </w:tc>
        <w:tc>
          <w:tcPr>
            <w:tcW w:w="977" w:type="dxa"/>
            <w:noWrap w:val="0"/>
            <w:vAlign w:val="center"/>
          </w:tcPr>
          <w:p w14:paraId="2B2FC602">
            <w:pPr>
              <w:pStyle w:val="24"/>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不储存，一次性更换</w:t>
            </w:r>
          </w:p>
        </w:tc>
      </w:tr>
      <w:tr w14:paraId="29C15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2" w:type="dxa"/>
            <w:noWrap w:val="0"/>
            <w:vAlign w:val="center"/>
          </w:tcPr>
          <w:p w14:paraId="6051D362">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17</w:t>
            </w:r>
          </w:p>
        </w:tc>
        <w:tc>
          <w:tcPr>
            <w:tcW w:w="505" w:type="dxa"/>
            <w:vMerge w:val="continue"/>
            <w:noWrap w:val="0"/>
            <w:vAlign w:val="center"/>
          </w:tcPr>
          <w:p w14:paraId="41DBA8B0">
            <w:pPr>
              <w:pStyle w:val="24"/>
              <w:bidi w:val="0"/>
              <w:rPr>
                <w:rFonts w:hint="default" w:ascii="Times New Roman" w:hAnsi="Times New Roman" w:cs="Times New Roman"/>
                <w:color w:val="auto"/>
                <w:u w:val="none"/>
                <w:lang w:val="en-US" w:eastAsia="zh-CN"/>
              </w:rPr>
            </w:pPr>
          </w:p>
        </w:tc>
        <w:tc>
          <w:tcPr>
            <w:tcW w:w="1452" w:type="dxa"/>
            <w:noWrap w:val="0"/>
            <w:vAlign w:val="center"/>
          </w:tcPr>
          <w:p w14:paraId="50E5339E">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矿物油</w:t>
            </w:r>
          </w:p>
        </w:tc>
        <w:tc>
          <w:tcPr>
            <w:tcW w:w="2105" w:type="dxa"/>
            <w:gridSpan w:val="2"/>
            <w:noWrap w:val="0"/>
            <w:vAlign w:val="center"/>
          </w:tcPr>
          <w:p w14:paraId="18774242">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0.1</w:t>
            </w:r>
          </w:p>
        </w:tc>
        <w:tc>
          <w:tcPr>
            <w:tcW w:w="689" w:type="dxa"/>
            <w:noWrap w:val="0"/>
            <w:vAlign w:val="center"/>
          </w:tcPr>
          <w:p w14:paraId="632DDEC0">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外购</w:t>
            </w:r>
          </w:p>
        </w:tc>
        <w:tc>
          <w:tcPr>
            <w:tcW w:w="915" w:type="dxa"/>
            <w:noWrap w:val="0"/>
            <w:vAlign w:val="center"/>
          </w:tcPr>
          <w:p w14:paraId="59D8C567">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液体</w:t>
            </w:r>
          </w:p>
        </w:tc>
        <w:tc>
          <w:tcPr>
            <w:tcW w:w="1409" w:type="dxa"/>
            <w:noWrap w:val="0"/>
            <w:vAlign w:val="center"/>
          </w:tcPr>
          <w:p w14:paraId="28CD7C76">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桶装</w:t>
            </w:r>
          </w:p>
        </w:tc>
        <w:tc>
          <w:tcPr>
            <w:tcW w:w="977" w:type="dxa"/>
            <w:noWrap w:val="0"/>
            <w:vAlign w:val="center"/>
          </w:tcPr>
          <w:p w14:paraId="031C9FE1">
            <w:pPr>
              <w:pStyle w:val="24"/>
              <w:bidi w:val="0"/>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仓库</w:t>
            </w:r>
          </w:p>
        </w:tc>
      </w:tr>
    </w:tbl>
    <w:p w14:paraId="55FCFD36">
      <w:pPr>
        <w:rPr>
          <w:rFonts w:hint="default" w:ascii="Times New Roman" w:hAnsi="Times New Roman" w:cs="Times New Roman"/>
          <w:b/>
          <w:bCs/>
          <w:color w:val="auto"/>
          <w:u w:val="none"/>
        </w:rPr>
      </w:pPr>
      <w:r>
        <w:rPr>
          <w:rFonts w:hint="default" w:ascii="Times New Roman" w:hAnsi="Times New Roman" w:cs="Times New Roman"/>
          <w:b/>
          <w:bCs/>
          <w:color w:val="auto"/>
          <w:u w:val="none"/>
        </w:rPr>
        <w:t>备注：本项目原辅材料中有使用再生塑料，但再生塑料均来源于</w:t>
      </w:r>
      <w:r>
        <w:rPr>
          <w:rFonts w:hint="eastAsia" w:ascii="Times New Roman" w:hAnsi="Times New Roman" w:cs="Times New Roman"/>
          <w:b/>
          <w:bCs/>
          <w:color w:val="auto"/>
          <w:u w:val="none"/>
          <w:lang w:eastAsia="zh-CN"/>
        </w:rPr>
        <w:t>合法</w:t>
      </w:r>
      <w:r>
        <w:rPr>
          <w:rFonts w:hint="default" w:ascii="Times New Roman" w:hAnsi="Times New Roman" w:cs="Times New Roman"/>
          <w:b/>
          <w:bCs/>
          <w:color w:val="auto"/>
          <w:u w:val="none"/>
        </w:rPr>
        <w:t>塑料回收企业，且已被处理完毕。故本项目无废旧塑料清洗、造粒等工序，严禁购入医疗废物。同时本项目不得从事废旧塑料清洗、造粒等废旧塑料预处理加工。回用的项目边角料和不合格产品，要求未被使用过、未受到油污等污染。</w:t>
      </w:r>
    </w:p>
    <w:p w14:paraId="4F009822">
      <w:pPr>
        <w:pStyle w:val="20"/>
        <w:bidi w:val="0"/>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根据项目可知，本项目原辅材料均不属于《剧毒化学品目录(2002版)》中所列的335种剧毒化学品，也未涉及铬、铅、汞等重金属元素。项目原辅材料通过汽车运输至厂区内。同时，禁止在本项目厂区内开展干、湿法废塑料破碎清洗工序。</w:t>
      </w:r>
    </w:p>
    <w:p w14:paraId="47FBA9F6">
      <w:pPr>
        <w:adjustRightInd w:val="0"/>
        <w:snapToGrid w:val="0"/>
        <w:spacing w:line="360" w:lineRule="auto"/>
        <w:ind w:firstLine="482"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b/>
          <w:bCs/>
          <w:color w:val="auto"/>
          <w:sz w:val="24"/>
          <w:szCs w:val="24"/>
          <w:u w:val="none"/>
          <w:lang w:val="en-US" w:eastAsia="zh-CN"/>
        </w:rPr>
        <w:t>主要原辅材料化学成分及物理化学性质：</w:t>
      </w:r>
    </w:p>
    <w:p w14:paraId="07485C24">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w:t>
      </w:r>
      <w:r>
        <w:rPr>
          <w:rFonts w:hint="default" w:ascii="Times New Roman" w:hAnsi="Times New Roman" w:eastAsia="宋体" w:cs="Times New Roman"/>
          <w:color w:val="auto"/>
          <w:sz w:val="24"/>
          <w:szCs w:val="24"/>
          <w:u w:val="none"/>
          <w:lang w:val="en-US" w:eastAsia="zh-CN"/>
        </w:rPr>
        <w:t>PVC再生塑料：为黄色半透明状，有光泽。工业生产的PVC分子量一般在5万～11万范围内，具有较大的多分散性，分子量随聚合温度的降低而增加；无固定熔点，80～85℃开始软化，130℃变为粘弹态，160～180℃开始转变为粘流态；有较好的机械性能，抗张强度60MPa左右，冲击强度5～10kJ/m2；有优异的介电性能。本项目使用的原材料为以PVC粒料为基料，与稳定剂、增塑剂、填料、着色剂及改剂等多种助剂混合经塑化、成型加工而成PVC粒料。PVC的分子量、结晶度、软化点等物理能随聚合反应条件（温度）而变。</w:t>
      </w:r>
    </w:p>
    <w:p w14:paraId="73A23C0D">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（2）</w:t>
      </w:r>
      <w:r>
        <w:rPr>
          <w:rFonts w:hint="default" w:ascii="Times New Roman" w:hAnsi="Times New Roman" w:eastAsia="宋体" w:cs="Times New Roman"/>
          <w:color w:val="auto"/>
          <w:sz w:val="24"/>
          <w:szCs w:val="24"/>
          <w:u w:val="none"/>
          <w:lang w:val="en-US" w:eastAsia="zh-CN"/>
        </w:rPr>
        <w:t>PVC树脂粉：PVC树脂粉为白色无定型粉末，具热塑性，无毒无臭，热稳定性和耐光性较差。聚氯乙烯是由氯乙烯在引发剂作用下聚合而成的热塑性树脂。聚氯乙烯无固定的熔点，80℃～85℃开始软化，180℃开始分解；聚氯乙烯很坚硬，溶解性也很差，只能溶于环己酮、二氯乙烯和四氢呋喃等少数溶剂中，对有机和无机酸、碱、盐均稳定。</w:t>
      </w:r>
    </w:p>
    <w:p w14:paraId="727D0863">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（3）轻质碳酸钙：白色粉末，无毒、无味、无刺激性，比重2.7，825℃分解为氧化钙和二氧化碳。在塑料加工行业中用作填充剂，可提高产品的硬度、表面光泽和表面平整性，还可起到一定的增白作用。</w:t>
      </w:r>
    </w:p>
    <w:p w14:paraId="7925A9A6">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（4）硬脂酸：化学名十八烷酸，性状为白色略带光泽的蜡状小片结晶体，相对密度0.87，无毒，自燃点444.3℃，360℃左右分解。起到润滑和热稳定作用。</w:t>
      </w:r>
    </w:p>
    <w:p w14:paraId="25C554F2">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（5）CPE塑料增强剂：塑料增强剂又称增强材料，是指添加到树脂中能与树脂紧密地结合，并使制品的机械力学性能显著提高的物质。在本项目中作为辅料，用于增强项目产品的力学性能，使其性能更完善。</w:t>
      </w:r>
    </w:p>
    <w:p w14:paraId="60CC9CD1">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6）复合稳定剂：PVC加工中添加稳定剂可在不影响其加工与应用的同时，在一定程度上起到延缓其热分解的作用。钙锌稳定剂由石蜡、硬脂酸、抗氧剂等为主要组分采用特殊复合工艺而合成，在PVC树脂制品中，加工性能好，热稳定作用相当于铅盐类稳定剂，是一种良好的无毒稳定剂。在本项目中作为辅料，用于提高PVC料对的热分解温度，减少生产过程中HCl和</w:t>
      </w:r>
      <w:r>
        <w:rPr>
          <w:rFonts w:hint="eastAsia" w:ascii="Times New Roman" w:hAnsi="Times New Roman" w:cs="Times New Roman"/>
          <w:color w:val="auto"/>
          <w:sz w:val="24"/>
          <w:szCs w:val="24"/>
          <w:u w:val="none"/>
          <w:lang w:val="en-US" w:eastAsia="zh-CN"/>
        </w:rPr>
        <w:t>非甲烷总烃</w:t>
      </w:r>
      <w:r>
        <w:rPr>
          <w:rFonts w:hint="default" w:ascii="Times New Roman" w:hAnsi="Times New Roman" w:eastAsia="宋体" w:cs="Times New Roman"/>
          <w:color w:val="auto"/>
          <w:sz w:val="24"/>
          <w:szCs w:val="24"/>
          <w:u w:val="none"/>
          <w:lang w:val="en-US" w:eastAsia="zh-CN"/>
        </w:rPr>
        <w:t>的产生。</w:t>
      </w:r>
    </w:p>
    <w:p w14:paraId="439B8591">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（7）发泡剂：偶氮二甲酰胺（英文名称azodicarbonamide）又名偶氮二酰胺、二氮烯二羧酸酰胺；分子式为C</w:t>
      </w:r>
      <w:r>
        <w:rPr>
          <w:rFonts w:hint="default" w:ascii="Times New Roman" w:hAnsi="Times New Roman" w:eastAsia="宋体" w:cs="Times New Roman"/>
          <w:color w:val="auto"/>
          <w:sz w:val="24"/>
          <w:szCs w:val="24"/>
          <w:u w:val="none"/>
          <w:vertAlign w:val="subscript"/>
          <w:lang w:val="en-US" w:eastAsia="zh-CN"/>
        </w:rPr>
        <w:t>2</w:t>
      </w:r>
      <w:r>
        <w:rPr>
          <w:rFonts w:hint="default" w:ascii="Times New Roman" w:hAnsi="Times New Roman" w:eastAsia="宋体" w:cs="Times New Roman"/>
          <w:color w:val="auto"/>
          <w:sz w:val="24"/>
          <w:szCs w:val="24"/>
          <w:u w:val="none"/>
          <w:lang w:val="en-US" w:eastAsia="zh-CN"/>
        </w:rPr>
        <w:t>H</w:t>
      </w:r>
      <w:r>
        <w:rPr>
          <w:rFonts w:hint="default" w:ascii="Times New Roman" w:hAnsi="Times New Roman" w:eastAsia="宋体" w:cs="Times New Roman"/>
          <w:color w:val="auto"/>
          <w:sz w:val="24"/>
          <w:szCs w:val="24"/>
          <w:u w:val="none"/>
          <w:vertAlign w:val="subscript"/>
          <w:lang w:val="en-US" w:eastAsia="zh-CN"/>
        </w:rPr>
        <w:t>6</w:t>
      </w:r>
      <w:r>
        <w:rPr>
          <w:rFonts w:hint="default" w:ascii="Times New Roman" w:hAnsi="Times New Roman" w:eastAsia="宋体" w:cs="Times New Roman"/>
          <w:color w:val="auto"/>
          <w:sz w:val="24"/>
          <w:szCs w:val="24"/>
          <w:u w:val="none"/>
          <w:lang w:val="en-US" w:eastAsia="zh-CN"/>
        </w:rPr>
        <w:t>N</w:t>
      </w:r>
      <w:r>
        <w:rPr>
          <w:rFonts w:hint="default" w:ascii="Times New Roman" w:hAnsi="Times New Roman" w:eastAsia="宋体" w:cs="Times New Roman"/>
          <w:color w:val="auto"/>
          <w:sz w:val="24"/>
          <w:szCs w:val="24"/>
          <w:u w:val="none"/>
          <w:vertAlign w:val="subscript"/>
          <w:lang w:val="en-US" w:eastAsia="zh-CN"/>
        </w:rPr>
        <w:t>6</w:t>
      </w:r>
      <w:r>
        <w:rPr>
          <w:rFonts w:hint="default" w:ascii="Times New Roman" w:hAnsi="Times New Roman" w:eastAsia="宋体" w:cs="Times New Roman"/>
          <w:color w:val="auto"/>
          <w:sz w:val="24"/>
          <w:szCs w:val="24"/>
          <w:u w:val="none"/>
          <w:lang w:val="en-US" w:eastAsia="zh-CN"/>
        </w:rPr>
        <w:t>O</w:t>
      </w:r>
      <w:r>
        <w:rPr>
          <w:rFonts w:hint="default" w:ascii="Times New Roman" w:hAnsi="Times New Roman" w:eastAsia="宋体" w:cs="Times New Roman"/>
          <w:color w:val="auto"/>
          <w:sz w:val="24"/>
          <w:szCs w:val="24"/>
          <w:u w:val="none"/>
          <w:vertAlign w:val="subscript"/>
          <w:lang w:val="en-US" w:eastAsia="zh-CN"/>
        </w:rPr>
        <w:t>2</w:t>
      </w:r>
      <w:r>
        <w:rPr>
          <w:rFonts w:hint="default" w:ascii="Times New Roman" w:hAnsi="Times New Roman" w:eastAsia="宋体" w:cs="Times New Roman"/>
          <w:color w:val="auto"/>
          <w:sz w:val="24"/>
          <w:szCs w:val="24"/>
          <w:u w:val="none"/>
          <w:lang w:val="en-US" w:eastAsia="zh-CN"/>
        </w:rPr>
        <w:t>，不会对臭氧进行分解，且不属于《关于消耗臭氧层物质的蒙特利尔议定书》规定要淘汰的ODS物质，因而不会造成环境污染和影响臭氧层。商品名为发泡剂AC或发泡剂ADC（Foamer ADC），是一种白色或淡黄色粉末，无毒，无嗅，不易燃烧，具有自熄性。溶于碱，不溶于汽油、醇、苯、吡啶和水，180℃~210℃开始分解，它分解时放出N</w:t>
      </w:r>
      <w:r>
        <w:rPr>
          <w:rFonts w:hint="default" w:ascii="Times New Roman" w:hAnsi="Times New Roman" w:eastAsia="宋体" w:cs="Times New Roman"/>
          <w:color w:val="auto"/>
          <w:sz w:val="24"/>
          <w:szCs w:val="24"/>
          <w:u w:val="none"/>
          <w:vertAlign w:val="subscript"/>
          <w:lang w:val="en-US" w:eastAsia="zh-CN"/>
        </w:rPr>
        <w:t>2</w:t>
      </w:r>
      <w:r>
        <w:rPr>
          <w:rFonts w:hint="default" w:ascii="Times New Roman" w:hAnsi="Times New Roman" w:eastAsia="宋体" w:cs="Times New Roman"/>
          <w:color w:val="auto"/>
          <w:sz w:val="24"/>
          <w:szCs w:val="24"/>
          <w:u w:val="none"/>
          <w:lang w:val="en-US" w:eastAsia="zh-CN"/>
        </w:rPr>
        <w:t>、CO</w:t>
      </w:r>
      <w:r>
        <w:rPr>
          <w:rFonts w:hint="default" w:ascii="Times New Roman" w:hAnsi="Times New Roman" w:eastAsia="宋体" w:cs="Times New Roman"/>
          <w:color w:val="auto"/>
          <w:sz w:val="24"/>
          <w:szCs w:val="24"/>
          <w:u w:val="none"/>
          <w:vertAlign w:val="subscript"/>
          <w:lang w:val="en-US" w:eastAsia="zh-CN"/>
        </w:rPr>
        <w:t>2</w:t>
      </w:r>
      <w:r>
        <w:rPr>
          <w:rFonts w:hint="default" w:ascii="Times New Roman" w:hAnsi="Times New Roman" w:eastAsia="宋体" w:cs="Times New Roman"/>
          <w:color w:val="auto"/>
          <w:sz w:val="24"/>
          <w:szCs w:val="24"/>
          <w:u w:val="none"/>
          <w:lang w:val="en-US" w:eastAsia="zh-CN"/>
        </w:rPr>
        <w:t>和少量的NH</w:t>
      </w:r>
      <w:r>
        <w:rPr>
          <w:rFonts w:hint="default" w:ascii="Times New Roman" w:hAnsi="Times New Roman" w:eastAsia="宋体" w:cs="Times New Roman"/>
          <w:color w:val="auto"/>
          <w:sz w:val="24"/>
          <w:szCs w:val="24"/>
          <w:u w:val="none"/>
          <w:vertAlign w:val="subscript"/>
          <w:lang w:val="en-US" w:eastAsia="zh-CN"/>
        </w:rPr>
        <w:t>3</w:t>
      </w:r>
      <w:r>
        <w:rPr>
          <w:rFonts w:hint="default" w:ascii="Times New Roman" w:hAnsi="Times New Roman" w:eastAsia="宋体" w:cs="Times New Roman"/>
          <w:color w:val="auto"/>
          <w:sz w:val="24"/>
          <w:szCs w:val="24"/>
          <w:u w:val="none"/>
          <w:lang w:val="en-US" w:eastAsia="zh-CN"/>
        </w:rPr>
        <w:t>，分解后的残渣为白色，且分解时无臭味。发泡剂AC是发气量最大，性能最优越、用途广泛的发泡剂。它运用于聚氯乙烯、聚乙烯、聚丙烯、聚苯乙烯、聚酰胺、ABS及各种橡胶等合成材料。广泛用于拖鞋、鞋底、鞋垫、塑料壁纸、天花板、地板革、人造革、绝热、隔音材料等发泡。同时也可以用于食品工业，增加面粉团的强度和柔韧性。不同国家对它有不同的要求，在美国，属于“公认安全”的食品添加剂；在英国，将其视为致呼吸敏感物，认为其在工作场所的存在可能诱发哮喘；在中国，也可作为面粉处理剂限量使用。世界卫生组织则认为，有限的动物实验表明偶氮二甲酰胺被动物吸入或摄入后，大部分不被吸收，并快速通过粪便被排出，对实验动物的急性毒性较低，不会对皮肤、眼睛及呼吸道造成刺激。在本项目中作为辅料，用于PVC料的发泡。</w:t>
      </w:r>
    </w:p>
    <w:p w14:paraId="115388D0">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w:t>
      </w:r>
      <w:r>
        <w:rPr>
          <w:rFonts w:hint="eastAsia" w:ascii="Times New Roman" w:hAnsi="Times New Roman" w:eastAsia="宋体" w:cs="Times New Roman"/>
          <w:color w:val="auto"/>
          <w:sz w:val="24"/>
          <w:szCs w:val="24"/>
          <w:u w:val="none"/>
          <w:lang w:val="en-US" w:eastAsia="zh-CN"/>
        </w:rPr>
        <w:t>8</w:t>
      </w:r>
      <w:r>
        <w:rPr>
          <w:rFonts w:hint="default" w:ascii="Times New Roman" w:hAnsi="Times New Roman" w:eastAsia="宋体" w:cs="Times New Roman"/>
          <w:color w:val="auto"/>
          <w:sz w:val="24"/>
          <w:szCs w:val="24"/>
          <w:u w:val="none"/>
          <w:lang w:val="en-US" w:eastAsia="zh-CN"/>
        </w:rPr>
        <w:t>）色母：color concentrate，是由树脂和大量颜料（达50%）或染料配制成高浓度颜色的混合物。色母又名色种，是一种把超常量的颜料或染料均匀载附于树脂之中而制得的聚集体。加工时用少量色母料和未着色树脂掺混，就可达到设计颜料浓度的着色树脂或制品。使用色母料或功能色母料生产塑料制品，着色剂在制品中的分散性好、颜色鲜艳、制品表面无色点或色差、调换颜色方便、成本较低、对环境友好、劳动强度小，是应用广泛、发展前景好的塑料着色方法。</w:t>
      </w:r>
    </w:p>
    <w:p w14:paraId="2D866354">
      <w:pPr>
        <w:adjustRightInd w:val="0"/>
        <w:snapToGrid w:val="0"/>
        <w:spacing w:line="360" w:lineRule="auto"/>
        <w:ind w:firstLine="480" w:firstLineChars="200"/>
        <w:rPr>
          <w:rFonts w:hint="eastAsia"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（9）PVC膜：</w:t>
      </w:r>
      <w:r>
        <w:rPr>
          <w:rFonts w:hint="default" w:ascii="Times New Roman" w:hAnsi="Times New Roman" w:cs="Times New Roman"/>
          <w:color w:val="auto"/>
          <w:sz w:val="24"/>
          <w:szCs w:val="24"/>
          <w:u w:val="none"/>
          <w:lang w:val="en-US" w:eastAsia="zh-CN"/>
        </w:rPr>
        <w:t>起到保护和印花装饰功能，</w:t>
      </w:r>
      <w:r>
        <w:rPr>
          <w:rFonts w:hint="default" w:ascii="Times New Roman" w:hAnsi="Times New Roman" w:eastAsia="宋体" w:cs="Times New Roman"/>
          <w:color w:val="auto"/>
          <w:sz w:val="24"/>
          <w:szCs w:val="24"/>
          <w:u w:val="none"/>
          <w:lang w:val="en-US" w:eastAsia="zh-CN"/>
        </w:rPr>
        <w:t>PVC主要成分为聚氯乙烯，为微黄色半透明状，有光泽。透明度胜于聚乙烯、聚丙烯，差于聚苯乙烯，随助剂用量不同，分为软、硬聚氯乙烯，软制品柔而韧，手感粘，硬制品的硬度高于低密度聚乙烯，而低于聚丙烯，在屈折处会出现白化现象。常见制品：板材、管材、鞋底、玩具、门窗、电线外皮、文具等。是一种高分子材料</w:t>
      </w:r>
      <w:r>
        <w:rPr>
          <w:rFonts w:hint="eastAsia" w:ascii="Times New Roman" w:hAnsi="Times New Roman" w:eastAsia="宋体" w:cs="Times New Roman"/>
          <w:color w:val="auto"/>
          <w:sz w:val="24"/>
          <w:szCs w:val="24"/>
          <w:u w:val="none"/>
          <w:lang w:val="en-US" w:eastAsia="zh-CN"/>
        </w:rPr>
        <w:t>。</w:t>
      </w:r>
    </w:p>
    <w:p w14:paraId="5E2AE2E6">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（10）PVC装饰线条半成品：即其他PVC装饰线条生产厂家通过混料、挤出、冷却工序生产出的PVC装饰线条，其为原始半成品，表层未包覆起保护和装饰作用的包装膜。</w:t>
      </w:r>
    </w:p>
    <w:p w14:paraId="1032004F">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（11）</w:t>
      </w:r>
      <w:r>
        <w:rPr>
          <w:rFonts w:hint="eastAsia" w:ascii="Times New Roman" w:hAnsi="Times New Roman" w:cs="Times New Roman"/>
          <w:b w:val="0"/>
          <w:bCs w:val="0"/>
          <w:color w:val="auto"/>
          <w:sz w:val="24"/>
          <w:szCs w:val="24"/>
          <w:highlight w:val="none"/>
          <w:u w:val="none" w:color="auto"/>
          <w:lang w:val="en-US" w:eastAsia="zh-CN"/>
        </w:rPr>
        <w:t>溶剂型聚氨酯包覆胶：是一种单组份溶剂型聚氨酯包覆胶，用于大板包覆，无色或浅黄色液体，微弱芳香气味，在室温下稳定，无需调配可直接使用，采用密闭桶装。根据其MSDS文件（详见附件13-3），主要成分为树脂、碳酸二甲酯、DBE、乙酸乙酯及二甲苯，树脂含量为60%-70%，其他挥发性成分比列为30%-40%，密度0.9-1.0g/cm</w:t>
      </w:r>
      <w:r>
        <w:rPr>
          <w:rFonts w:hint="eastAsia" w:ascii="Times New Roman" w:hAnsi="Times New Roman" w:cs="Times New Roman"/>
          <w:b w:val="0"/>
          <w:bCs w:val="0"/>
          <w:color w:val="auto"/>
          <w:sz w:val="24"/>
          <w:szCs w:val="24"/>
          <w:highlight w:val="none"/>
          <w:u w:val="none" w:color="auto"/>
          <w:vertAlign w:val="superscript"/>
          <w:lang w:val="en-US" w:eastAsia="zh-CN"/>
        </w:rPr>
        <w:t>3</w:t>
      </w:r>
      <w:r>
        <w:rPr>
          <w:rFonts w:hint="eastAsia" w:ascii="Times New Roman" w:hAnsi="Times New Roman" w:cs="Times New Roman"/>
          <w:b w:val="0"/>
          <w:bCs w:val="0"/>
          <w:color w:val="auto"/>
          <w:sz w:val="24"/>
          <w:szCs w:val="24"/>
          <w:highlight w:val="none"/>
          <w:u w:val="none" w:color="auto"/>
          <w:lang w:val="en-US" w:eastAsia="zh-CN"/>
        </w:rPr>
        <w:t>。</w:t>
      </w:r>
    </w:p>
    <w:p w14:paraId="273E77B1">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12）水性聚氨酯热熔胶：用于大板包覆，是一种热胶，0℃状态下为黄色固体，低温版，建议使用温度为5-30℃，夏季等气温较高时胶粘剂呈液态，无需加热热熔；无需调配可直接使用，采用密闭桶装。根据其MSDS文件（详见附件13-2），主要成分为己二酸-1，4-丁二醇MDI共聚物，在室温下稳定，高于200℃的情况下发生副反应，高于230℃产生热解。</w:t>
      </w:r>
    </w:p>
    <w:p w14:paraId="7C755748">
      <w:pPr>
        <w:adjustRightInd w:val="0"/>
        <w:snapToGrid w:val="0"/>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13）水性聚氨酯墙板专业胶：用于PVC装饰线条包覆，浅黄色粘性液体，无刺激性气味，在室温下稳定，无需调配可直接使用，采用密闭桶装。根据其MSDS文件（详见附件13-1），主要成分为聚氨酯树脂、酚醛树脂及水，pH6-8，密度1.2g/cm</w:t>
      </w:r>
      <w:r>
        <w:rPr>
          <w:rFonts w:hint="eastAsia" w:ascii="Times New Roman" w:hAnsi="Times New Roman" w:eastAsia="宋体" w:cs="Times New Roman"/>
          <w:color w:val="auto"/>
          <w:sz w:val="24"/>
          <w:szCs w:val="24"/>
          <w:u w:val="none"/>
          <w:vertAlign w:val="superscript"/>
          <w:lang w:val="en-US" w:eastAsia="zh-CN"/>
        </w:rPr>
        <w:t>3</w:t>
      </w:r>
      <w:r>
        <w:rPr>
          <w:rFonts w:hint="default" w:ascii="Times New Roman" w:hAnsi="Times New Roman" w:eastAsia="宋体" w:cs="Times New Roman"/>
          <w:color w:val="auto"/>
          <w:sz w:val="24"/>
          <w:szCs w:val="24"/>
          <w:u w:val="none"/>
          <w:lang w:val="en-US" w:eastAsia="zh-CN"/>
        </w:rPr>
        <w:t>。</w:t>
      </w:r>
    </w:p>
    <w:p w14:paraId="6685043B">
      <w:pPr>
        <w:pStyle w:val="4"/>
        <w:bidi w:val="0"/>
        <w:rPr>
          <w:rFonts w:hint="eastAsia"/>
          <w:color w:val="auto"/>
          <w:u w:val="none" w:color="auto"/>
          <w:lang w:val="en-US" w:eastAsia="zh-CN"/>
        </w:rPr>
      </w:pPr>
      <w:bookmarkStart w:id="622" w:name="_Toc5594"/>
      <w:bookmarkStart w:id="623" w:name="_Toc939"/>
      <w:bookmarkStart w:id="624" w:name="_Toc29045"/>
      <w:r>
        <w:rPr>
          <w:rFonts w:hint="eastAsia"/>
          <w:color w:val="auto"/>
          <w:u w:val="none" w:color="auto"/>
          <w:lang w:val="en-US" w:eastAsia="zh-CN"/>
        </w:rPr>
        <w:t>4.1.5项目主要生产设备</w:t>
      </w:r>
      <w:bookmarkEnd w:id="622"/>
      <w:bookmarkEnd w:id="623"/>
      <w:bookmarkEnd w:id="624"/>
    </w:p>
    <w:p w14:paraId="1846B3D4">
      <w:pPr>
        <w:pStyle w:val="20"/>
        <w:bidi w:val="0"/>
        <w:rPr>
          <w:rFonts w:hint="eastAsia"/>
          <w:color w:val="auto"/>
          <w:u w:val="none" w:color="auto"/>
          <w:lang w:val="en-US" w:eastAsia="zh-CN"/>
        </w:rPr>
      </w:pPr>
      <w:r>
        <w:rPr>
          <w:rFonts w:hint="eastAsia"/>
          <w:color w:val="auto"/>
          <w:u w:val="none" w:color="auto"/>
          <w:lang w:val="en-US" w:eastAsia="zh-CN"/>
        </w:rPr>
        <w:t>项目主要生产设备见下表。</w:t>
      </w:r>
    </w:p>
    <w:p w14:paraId="68E83916">
      <w:pPr>
        <w:pStyle w:val="22"/>
        <w:bidi w:val="0"/>
        <w:rPr>
          <w:rFonts w:hint="eastAsia"/>
          <w:color w:val="auto"/>
          <w:u w:val="none" w:color="auto"/>
          <w:lang w:val="en-US" w:eastAsia="zh-CN"/>
        </w:rPr>
      </w:pPr>
      <w:r>
        <w:rPr>
          <w:rFonts w:hint="eastAsia"/>
          <w:color w:val="auto"/>
          <w:u w:val="none" w:color="auto"/>
          <w:lang w:val="en-US" w:eastAsia="zh-CN"/>
        </w:rPr>
        <w:t>表4.1-4 项目主要生产设备表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82"/>
        <w:gridCol w:w="2221"/>
        <w:gridCol w:w="2003"/>
        <w:gridCol w:w="1063"/>
        <w:gridCol w:w="2435"/>
      </w:tblGrid>
      <w:tr w14:paraId="48D688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083E80FF">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序号</w:t>
            </w:r>
          </w:p>
        </w:tc>
        <w:tc>
          <w:tcPr>
            <w:tcW w:w="2221" w:type="dxa"/>
            <w:noWrap w:val="0"/>
            <w:vAlign w:val="center"/>
          </w:tcPr>
          <w:p w14:paraId="450EF7DC">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设备名称</w:t>
            </w:r>
          </w:p>
        </w:tc>
        <w:tc>
          <w:tcPr>
            <w:tcW w:w="2003" w:type="dxa"/>
            <w:noWrap w:val="0"/>
            <w:vAlign w:val="center"/>
          </w:tcPr>
          <w:p w14:paraId="5F9976D6">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型号规格</w:t>
            </w:r>
          </w:p>
        </w:tc>
        <w:tc>
          <w:tcPr>
            <w:tcW w:w="1063" w:type="dxa"/>
            <w:noWrap w:val="0"/>
            <w:vAlign w:val="center"/>
          </w:tcPr>
          <w:p w14:paraId="45C7F69C">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单位</w:t>
            </w:r>
          </w:p>
        </w:tc>
        <w:tc>
          <w:tcPr>
            <w:tcW w:w="2435" w:type="dxa"/>
            <w:noWrap w:val="0"/>
            <w:vAlign w:val="center"/>
          </w:tcPr>
          <w:p w14:paraId="03D4677C">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数量</w:t>
            </w:r>
          </w:p>
        </w:tc>
      </w:tr>
      <w:tr w14:paraId="668E87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8504" w:type="dxa"/>
            <w:gridSpan w:val="5"/>
            <w:noWrap w:val="0"/>
            <w:vAlign w:val="center"/>
          </w:tcPr>
          <w:p w14:paraId="626DB5DB">
            <w:pPr>
              <w:pStyle w:val="24"/>
              <w:rPr>
                <w:rFonts w:hint="default" w:ascii="Times New Roman" w:hAnsi="Times New Roman" w:cs="Times New Roman"/>
                <w:color w:val="auto"/>
                <w:kern w:val="2"/>
                <w:szCs w:val="24"/>
                <w:u w:val="none"/>
                <w:lang w:val="en-US" w:eastAsia="zh-CN"/>
              </w:rPr>
            </w:pPr>
            <w:r>
              <w:rPr>
                <w:rFonts w:hint="eastAsia" w:ascii="Times New Roman" w:hAnsi="Times New Roman" w:cs="Times New Roman"/>
                <w:color w:val="auto"/>
                <w:kern w:val="2"/>
                <w:szCs w:val="24"/>
                <w:u w:val="none"/>
                <w:lang w:val="en-US" w:eastAsia="zh-CN"/>
              </w:rPr>
              <w:t>1#厂房生产设备</w:t>
            </w:r>
          </w:p>
        </w:tc>
      </w:tr>
      <w:tr w14:paraId="43E288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4C1995C9">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1</w:t>
            </w:r>
          </w:p>
        </w:tc>
        <w:tc>
          <w:tcPr>
            <w:tcW w:w="2221" w:type="dxa"/>
            <w:noWrap w:val="0"/>
            <w:vAlign w:val="center"/>
          </w:tcPr>
          <w:p w14:paraId="50FA6A12">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磨粉机</w:t>
            </w:r>
          </w:p>
        </w:tc>
        <w:tc>
          <w:tcPr>
            <w:tcW w:w="2003" w:type="dxa"/>
            <w:noWrap w:val="0"/>
            <w:vAlign w:val="center"/>
          </w:tcPr>
          <w:p w14:paraId="1D9435BF">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SHX</w:t>
            </w:r>
            <w:r>
              <w:rPr>
                <w:rFonts w:hint="eastAsia" w:ascii="Times New Roman" w:hAnsi="Times New Roman" w:cs="Times New Roman"/>
                <w:color w:val="auto"/>
                <w:u w:val="none"/>
                <w:lang w:val="en-US" w:eastAsia="zh-CN"/>
              </w:rPr>
              <w:t>80</w:t>
            </w:r>
          </w:p>
        </w:tc>
        <w:tc>
          <w:tcPr>
            <w:tcW w:w="1063" w:type="dxa"/>
            <w:noWrap w:val="0"/>
            <w:vAlign w:val="center"/>
          </w:tcPr>
          <w:p w14:paraId="11A7920E">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台</w:t>
            </w:r>
          </w:p>
        </w:tc>
        <w:tc>
          <w:tcPr>
            <w:tcW w:w="2435" w:type="dxa"/>
            <w:noWrap w:val="0"/>
            <w:vAlign w:val="center"/>
          </w:tcPr>
          <w:p w14:paraId="351240FA">
            <w:pPr>
              <w:pStyle w:val="24"/>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Cs w:val="24"/>
                <w:u w:val="none"/>
                <w:lang w:val="en-US" w:eastAsia="zh-CN"/>
              </w:rPr>
              <w:t>12</w:t>
            </w:r>
          </w:p>
        </w:tc>
      </w:tr>
      <w:tr w14:paraId="443A45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1DD63F92">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2</w:t>
            </w:r>
          </w:p>
        </w:tc>
        <w:tc>
          <w:tcPr>
            <w:tcW w:w="2221" w:type="dxa"/>
            <w:noWrap w:val="0"/>
            <w:vAlign w:val="center"/>
          </w:tcPr>
          <w:p w14:paraId="59B0AD8F">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全自动供料系统</w:t>
            </w:r>
          </w:p>
        </w:tc>
        <w:tc>
          <w:tcPr>
            <w:tcW w:w="2003" w:type="dxa"/>
            <w:noWrap w:val="0"/>
            <w:vAlign w:val="center"/>
          </w:tcPr>
          <w:p w14:paraId="2F58D885">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亿纬智能</w:t>
            </w:r>
          </w:p>
        </w:tc>
        <w:tc>
          <w:tcPr>
            <w:tcW w:w="1063" w:type="dxa"/>
            <w:noWrap w:val="0"/>
            <w:vAlign w:val="center"/>
          </w:tcPr>
          <w:p w14:paraId="4D765B0F">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套</w:t>
            </w:r>
          </w:p>
        </w:tc>
        <w:tc>
          <w:tcPr>
            <w:tcW w:w="2435" w:type="dxa"/>
            <w:noWrap w:val="0"/>
            <w:vAlign w:val="center"/>
          </w:tcPr>
          <w:p w14:paraId="2543BDF4">
            <w:pPr>
              <w:pStyle w:val="24"/>
              <w:rPr>
                <w:rFonts w:hint="default" w:ascii="Times New Roman" w:hAnsi="Times New Roman" w:cs="Times New Roman"/>
                <w:color w:val="auto"/>
                <w:kern w:val="2"/>
                <w:szCs w:val="24"/>
                <w:u w:val="none"/>
                <w:lang w:val="en-US" w:eastAsia="zh-CN"/>
              </w:rPr>
            </w:pPr>
            <w:r>
              <w:rPr>
                <w:rFonts w:hint="eastAsia" w:ascii="Times New Roman" w:hAnsi="Times New Roman" w:cs="Times New Roman"/>
                <w:color w:val="auto"/>
                <w:kern w:val="2"/>
                <w:szCs w:val="24"/>
                <w:u w:val="none"/>
                <w:lang w:val="en-US" w:eastAsia="zh-CN"/>
              </w:rPr>
              <w:t>1</w:t>
            </w:r>
          </w:p>
        </w:tc>
      </w:tr>
      <w:tr w14:paraId="7D92B4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441DB383">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3</w:t>
            </w:r>
          </w:p>
        </w:tc>
        <w:tc>
          <w:tcPr>
            <w:tcW w:w="2221" w:type="dxa"/>
            <w:noWrap w:val="0"/>
            <w:vAlign w:val="center"/>
          </w:tcPr>
          <w:p w14:paraId="36AE924F">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搅拌机</w:t>
            </w:r>
          </w:p>
        </w:tc>
        <w:tc>
          <w:tcPr>
            <w:tcW w:w="2003" w:type="dxa"/>
            <w:noWrap w:val="0"/>
            <w:vAlign w:val="center"/>
          </w:tcPr>
          <w:p w14:paraId="66C74AB1">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1300</w:t>
            </w:r>
          </w:p>
        </w:tc>
        <w:tc>
          <w:tcPr>
            <w:tcW w:w="1063" w:type="dxa"/>
            <w:noWrap w:val="0"/>
            <w:vAlign w:val="center"/>
          </w:tcPr>
          <w:p w14:paraId="5A2AD265">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台</w:t>
            </w:r>
          </w:p>
        </w:tc>
        <w:tc>
          <w:tcPr>
            <w:tcW w:w="2435" w:type="dxa"/>
            <w:noWrap w:val="0"/>
            <w:vAlign w:val="center"/>
          </w:tcPr>
          <w:p w14:paraId="5B2ADA5B">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kern w:val="2"/>
                <w:szCs w:val="24"/>
                <w:u w:val="none"/>
                <w:lang w:val="en-US" w:eastAsia="zh-CN"/>
              </w:rPr>
              <w:t>6</w:t>
            </w:r>
          </w:p>
        </w:tc>
      </w:tr>
      <w:tr w14:paraId="2A4031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3C40AD31">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4</w:t>
            </w:r>
          </w:p>
        </w:tc>
        <w:tc>
          <w:tcPr>
            <w:tcW w:w="2221" w:type="dxa"/>
            <w:noWrap w:val="0"/>
            <w:vAlign w:val="center"/>
          </w:tcPr>
          <w:p w14:paraId="52D1EA74">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挤出机</w:t>
            </w:r>
          </w:p>
        </w:tc>
        <w:tc>
          <w:tcPr>
            <w:tcW w:w="2003" w:type="dxa"/>
            <w:noWrap w:val="0"/>
            <w:vAlign w:val="center"/>
          </w:tcPr>
          <w:p w14:paraId="25EAA984">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SJZ</w:t>
            </w:r>
            <w:r>
              <w:rPr>
                <w:rFonts w:hint="eastAsia" w:ascii="Times New Roman" w:hAnsi="Times New Roman" w:cs="Times New Roman"/>
                <w:color w:val="auto"/>
                <w:u w:val="none"/>
                <w:lang w:val="en-US" w:eastAsia="zh-CN"/>
              </w:rPr>
              <w:t>80</w:t>
            </w:r>
            <w:r>
              <w:rPr>
                <w:rFonts w:hint="default" w:ascii="Times New Roman" w:hAnsi="Times New Roman" w:cs="Times New Roman"/>
                <w:color w:val="auto"/>
                <w:u w:val="none"/>
                <w:lang w:val="en-US" w:eastAsia="zh-CN"/>
              </w:rPr>
              <w:t>/</w:t>
            </w:r>
            <w:r>
              <w:rPr>
                <w:rFonts w:hint="eastAsia" w:ascii="Times New Roman" w:hAnsi="Times New Roman" w:cs="Times New Roman"/>
                <w:color w:val="auto"/>
                <w:u w:val="none"/>
                <w:lang w:val="en-US" w:eastAsia="zh-CN"/>
              </w:rPr>
              <w:t>156</w:t>
            </w:r>
          </w:p>
        </w:tc>
        <w:tc>
          <w:tcPr>
            <w:tcW w:w="1063" w:type="dxa"/>
            <w:noWrap w:val="0"/>
            <w:vAlign w:val="center"/>
          </w:tcPr>
          <w:p w14:paraId="43AEF235">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台</w:t>
            </w:r>
          </w:p>
        </w:tc>
        <w:tc>
          <w:tcPr>
            <w:tcW w:w="2435" w:type="dxa"/>
            <w:noWrap w:val="0"/>
            <w:vAlign w:val="center"/>
          </w:tcPr>
          <w:p w14:paraId="0AF7C6AE">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kern w:val="2"/>
                <w:szCs w:val="24"/>
                <w:u w:val="none"/>
                <w:lang w:val="en-US" w:eastAsia="zh-CN"/>
              </w:rPr>
              <w:t>20</w:t>
            </w:r>
          </w:p>
        </w:tc>
      </w:tr>
      <w:tr w14:paraId="577FAE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0AD94C48">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5</w:t>
            </w:r>
          </w:p>
        </w:tc>
        <w:tc>
          <w:tcPr>
            <w:tcW w:w="2221" w:type="dxa"/>
            <w:noWrap w:val="0"/>
            <w:vAlign w:val="center"/>
          </w:tcPr>
          <w:p w14:paraId="3DC8FAD5">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eastAsia="zh-CN"/>
              </w:rPr>
              <w:t>自动裁切机</w:t>
            </w:r>
          </w:p>
        </w:tc>
        <w:tc>
          <w:tcPr>
            <w:tcW w:w="2003" w:type="dxa"/>
            <w:noWrap w:val="0"/>
            <w:vAlign w:val="center"/>
          </w:tcPr>
          <w:p w14:paraId="2E3677FB">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FMT/300</w:t>
            </w:r>
          </w:p>
        </w:tc>
        <w:tc>
          <w:tcPr>
            <w:tcW w:w="1063" w:type="dxa"/>
            <w:noWrap w:val="0"/>
            <w:vAlign w:val="center"/>
          </w:tcPr>
          <w:p w14:paraId="7947C0C2">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eastAsia="zh-CN"/>
              </w:rPr>
              <w:t>台</w:t>
            </w:r>
          </w:p>
        </w:tc>
        <w:tc>
          <w:tcPr>
            <w:tcW w:w="2435" w:type="dxa"/>
            <w:noWrap w:val="0"/>
            <w:vAlign w:val="center"/>
          </w:tcPr>
          <w:p w14:paraId="50A9B180">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20</w:t>
            </w:r>
          </w:p>
        </w:tc>
      </w:tr>
      <w:tr w14:paraId="44817D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4B55726D">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6</w:t>
            </w:r>
          </w:p>
        </w:tc>
        <w:tc>
          <w:tcPr>
            <w:tcW w:w="2221" w:type="dxa"/>
            <w:noWrap w:val="0"/>
            <w:vAlign w:val="center"/>
          </w:tcPr>
          <w:p w14:paraId="33B9D8FB">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rPr>
              <w:t>覆膜机</w:t>
            </w:r>
          </w:p>
        </w:tc>
        <w:tc>
          <w:tcPr>
            <w:tcW w:w="2003" w:type="dxa"/>
            <w:noWrap w:val="0"/>
            <w:vAlign w:val="center"/>
          </w:tcPr>
          <w:p w14:paraId="508540A7">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rPr>
              <w:t>TCB-Ⅱ</w:t>
            </w:r>
          </w:p>
        </w:tc>
        <w:tc>
          <w:tcPr>
            <w:tcW w:w="1063" w:type="dxa"/>
            <w:noWrap w:val="0"/>
            <w:vAlign w:val="center"/>
          </w:tcPr>
          <w:p w14:paraId="33F311CB">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rPr>
              <w:t>台</w:t>
            </w:r>
          </w:p>
        </w:tc>
        <w:tc>
          <w:tcPr>
            <w:tcW w:w="2435" w:type="dxa"/>
            <w:noWrap w:val="0"/>
            <w:vAlign w:val="center"/>
          </w:tcPr>
          <w:p w14:paraId="61E23351">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20</w:t>
            </w:r>
          </w:p>
        </w:tc>
      </w:tr>
      <w:tr w14:paraId="1D73BF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7F435F73">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7</w:t>
            </w:r>
          </w:p>
        </w:tc>
        <w:tc>
          <w:tcPr>
            <w:tcW w:w="2221" w:type="dxa"/>
            <w:noWrap w:val="0"/>
            <w:vAlign w:val="center"/>
          </w:tcPr>
          <w:p w14:paraId="72FFAA8F">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eastAsia="zh-CN"/>
              </w:rPr>
              <w:t>破碎机</w:t>
            </w:r>
          </w:p>
        </w:tc>
        <w:tc>
          <w:tcPr>
            <w:tcW w:w="2003" w:type="dxa"/>
            <w:noWrap w:val="0"/>
            <w:vAlign w:val="center"/>
          </w:tcPr>
          <w:p w14:paraId="4705C9A0">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rPr>
              <w:t>YGL-1000</w:t>
            </w:r>
          </w:p>
        </w:tc>
        <w:tc>
          <w:tcPr>
            <w:tcW w:w="1063" w:type="dxa"/>
            <w:noWrap w:val="0"/>
            <w:vAlign w:val="center"/>
          </w:tcPr>
          <w:p w14:paraId="3D82B11F">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rPr>
              <w:t>台</w:t>
            </w:r>
          </w:p>
        </w:tc>
        <w:tc>
          <w:tcPr>
            <w:tcW w:w="2435" w:type="dxa"/>
            <w:noWrap w:val="0"/>
            <w:vAlign w:val="center"/>
          </w:tcPr>
          <w:p w14:paraId="5A350430">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4</w:t>
            </w:r>
          </w:p>
        </w:tc>
      </w:tr>
      <w:tr w14:paraId="054348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1207F67D">
            <w:pPr>
              <w:pStyle w:val="24"/>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kern w:val="2"/>
                <w:sz w:val="21"/>
                <w:szCs w:val="21"/>
                <w:u w:val="none"/>
                <w:lang w:val="en-US" w:eastAsia="zh-CN" w:bidi="ar-SA"/>
              </w:rPr>
              <w:t>8</w:t>
            </w:r>
          </w:p>
        </w:tc>
        <w:tc>
          <w:tcPr>
            <w:tcW w:w="2221" w:type="dxa"/>
            <w:noWrap w:val="0"/>
            <w:vAlign w:val="center"/>
          </w:tcPr>
          <w:p w14:paraId="78B41297">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风机</w:t>
            </w:r>
          </w:p>
        </w:tc>
        <w:tc>
          <w:tcPr>
            <w:tcW w:w="2003" w:type="dxa"/>
            <w:noWrap w:val="0"/>
            <w:vAlign w:val="center"/>
          </w:tcPr>
          <w:p w14:paraId="1CC08B47">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rPr>
              <w:t>2475K7/12</w:t>
            </w:r>
          </w:p>
        </w:tc>
        <w:tc>
          <w:tcPr>
            <w:tcW w:w="1063" w:type="dxa"/>
            <w:noWrap w:val="0"/>
            <w:vAlign w:val="center"/>
          </w:tcPr>
          <w:p w14:paraId="4F0E375F">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rPr>
              <w:t>台</w:t>
            </w:r>
          </w:p>
        </w:tc>
        <w:tc>
          <w:tcPr>
            <w:tcW w:w="2435" w:type="dxa"/>
            <w:noWrap w:val="0"/>
            <w:vAlign w:val="center"/>
          </w:tcPr>
          <w:p w14:paraId="31ADE569">
            <w:pPr>
              <w:pStyle w:val="24"/>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2</w:t>
            </w:r>
          </w:p>
        </w:tc>
      </w:tr>
      <w:tr w14:paraId="7B6521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8504" w:type="dxa"/>
            <w:gridSpan w:val="5"/>
            <w:noWrap w:val="0"/>
            <w:vAlign w:val="center"/>
          </w:tcPr>
          <w:p w14:paraId="795C4473">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2#厂房生产设备</w:t>
            </w:r>
          </w:p>
        </w:tc>
      </w:tr>
      <w:tr w14:paraId="4AF8F9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7687C511">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9</w:t>
            </w:r>
          </w:p>
        </w:tc>
        <w:tc>
          <w:tcPr>
            <w:tcW w:w="2221" w:type="dxa"/>
            <w:noWrap w:val="0"/>
            <w:vAlign w:val="center"/>
          </w:tcPr>
          <w:p w14:paraId="41E907B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eastAsia="zh-CN"/>
              </w:rPr>
              <w:t>自动裁切机</w:t>
            </w:r>
          </w:p>
        </w:tc>
        <w:tc>
          <w:tcPr>
            <w:tcW w:w="2003" w:type="dxa"/>
            <w:noWrap w:val="0"/>
            <w:vAlign w:val="center"/>
          </w:tcPr>
          <w:p w14:paraId="7C1EB30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FMT/300</w:t>
            </w:r>
          </w:p>
        </w:tc>
        <w:tc>
          <w:tcPr>
            <w:tcW w:w="1063" w:type="dxa"/>
            <w:noWrap w:val="0"/>
            <w:vAlign w:val="center"/>
          </w:tcPr>
          <w:p w14:paraId="62E50EA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eastAsia="zh-CN"/>
              </w:rPr>
              <w:t>台</w:t>
            </w:r>
          </w:p>
        </w:tc>
        <w:tc>
          <w:tcPr>
            <w:tcW w:w="2435" w:type="dxa"/>
            <w:noWrap w:val="0"/>
            <w:vAlign w:val="center"/>
          </w:tcPr>
          <w:p w14:paraId="7B16A90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w:t>
            </w:r>
          </w:p>
        </w:tc>
      </w:tr>
      <w:tr w14:paraId="4142DE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2623ECE9">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10</w:t>
            </w:r>
          </w:p>
        </w:tc>
        <w:tc>
          <w:tcPr>
            <w:tcW w:w="2221" w:type="dxa"/>
            <w:noWrap w:val="0"/>
            <w:vAlign w:val="center"/>
          </w:tcPr>
          <w:p w14:paraId="4C81B58A">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大板</w:t>
            </w:r>
            <w:r>
              <w:rPr>
                <w:rFonts w:hint="default" w:ascii="Times New Roman" w:hAnsi="Times New Roman" w:cs="Times New Roman"/>
                <w:color w:val="auto"/>
                <w:u w:val="none" w:color="auto"/>
              </w:rPr>
              <w:t>覆膜机</w:t>
            </w:r>
          </w:p>
        </w:tc>
        <w:tc>
          <w:tcPr>
            <w:tcW w:w="2003" w:type="dxa"/>
            <w:noWrap w:val="0"/>
            <w:vAlign w:val="center"/>
          </w:tcPr>
          <w:p w14:paraId="7385822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TCB-Ⅱ</w:t>
            </w:r>
          </w:p>
        </w:tc>
        <w:tc>
          <w:tcPr>
            <w:tcW w:w="1063" w:type="dxa"/>
            <w:noWrap w:val="0"/>
            <w:vAlign w:val="center"/>
          </w:tcPr>
          <w:p w14:paraId="26ED647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台</w:t>
            </w:r>
          </w:p>
        </w:tc>
        <w:tc>
          <w:tcPr>
            <w:tcW w:w="2435" w:type="dxa"/>
            <w:noWrap w:val="0"/>
            <w:vAlign w:val="center"/>
          </w:tcPr>
          <w:p w14:paraId="3339B99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4</w:t>
            </w:r>
          </w:p>
        </w:tc>
      </w:tr>
      <w:tr w14:paraId="506E05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33E29546">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11</w:t>
            </w:r>
          </w:p>
        </w:tc>
        <w:tc>
          <w:tcPr>
            <w:tcW w:w="2221" w:type="dxa"/>
            <w:noWrap w:val="0"/>
            <w:vAlign w:val="center"/>
          </w:tcPr>
          <w:p w14:paraId="0A52295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大板</w:t>
            </w:r>
            <w:r>
              <w:rPr>
                <w:rFonts w:hint="default" w:ascii="Times New Roman" w:hAnsi="Times New Roman" w:cs="Times New Roman"/>
                <w:color w:val="auto"/>
                <w:u w:val="none" w:color="auto"/>
              </w:rPr>
              <w:t>覆膜机</w:t>
            </w:r>
          </w:p>
        </w:tc>
        <w:tc>
          <w:tcPr>
            <w:tcW w:w="2003" w:type="dxa"/>
            <w:noWrap w:val="0"/>
            <w:vAlign w:val="center"/>
          </w:tcPr>
          <w:p w14:paraId="254FB8C0">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4kw</w:t>
            </w:r>
          </w:p>
        </w:tc>
        <w:tc>
          <w:tcPr>
            <w:tcW w:w="1063" w:type="dxa"/>
            <w:noWrap w:val="0"/>
            <w:vAlign w:val="center"/>
          </w:tcPr>
          <w:p w14:paraId="6B41224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台</w:t>
            </w:r>
          </w:p>
        </w:tc>
        <w:tc>
          <w:tcPr>
            <w:tcW w:w="2435" w:type="dxa"/>
            <w:noWrap w:val="0"/>
            <w:vAlign w:val="center"/>
          </w:tcPr>
          <w:p w14:paraId="403031D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w:t>
            </w:r>
          </w:p>
        </w:tc>
      </w:tr>
      <w:tr w14:paraId="5882EDE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03E0C1BC">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12</w:t>
            </w:r>
          </w:p>
        </w:tc>
        <w:tc>
          <w:tcPr>
            <w:tcW w:w="2221" w:type="dxa"/>
            <w:noWrap w:val="0"/>
            <w:vAlign w:val="center"/>
          </w:tcPr>
          <w:p w14:paraId="073173CD">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线条覆膜机</w:t>
            </w:r>
          </w:p>
        </w:tc>
        <w:tc>
          <w:tcPr>
            <w:tcW w:w="2003" w:type="dxa"/>
            <w:noWrap w:val="0"/>
            <w:vAlign w:val="center"/>
          </w:tcPr>
          <w:p w14:paraId="3AA96BC6">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300型</w:t>
            </w:r>
          </w:p>
        </w:tc>
        <w:tc>
          <w:tcPr>
            <w:tcW w:w="1063" w:type="dxa"/>
            <w:noWrap w:val="0"/>
            <w:vAlign w:val="center"/>
          </w:tcPr>
          <w:p w14:paraId="66C0A7E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台</w:t>
            </w:r>
          </w:p>
        </w:tc>
        <w:tc>
          <w:tcPr>
            <w:tcW w:w="2435" w:type="dxa"/>
            <w:noWrap w:val="0"/>
            <w:vAlign w:val="center"/>
          </w:tcPr>
          <w:p w14:paraId="0EE1CB3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20</w:t>
            </w:r>
          </w:p>
        </w:tc>
      </w:tr>
      <w:tr w14:paraId="485FCF7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exact"/>
          <w:jc w:val="center"/>
        </w:trPr>
        <w:tc>
          <w:tcPr>
            <w:tcW w:w="782" w:type="dxa"/>
            <w:noWrap w:val="0"/>
            <w:vAlign w:val="center"/>
          </w:tcPr>
          <w:p w14:paraId="6A51E346">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13</w:t>
            </w:r>
          </w:p>
        </w:tc>
        <w:tc>
          <w:tcPr>
            <w:tcW w:w="2221" w:type="dxa"/>
            <w:noWrap w:val="0"/>
            <w:vAlign w:val="center"/>
          </w:tcPr>
          <w:p w14:paraId="3AE63B8C">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风机</w:t>
            </w:r>
          </w:p>
        </w:tc>
        <w:tc>
          <w:tcPr>
            <w:tcW w:w="2003" w:type="dxa"/>
            <w:noWrap w:val="0"/>
            <w:vAlign w:val="center"/>
          </w:tcPr>
          <w:p w14:paraId="59F37BEB">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Y4-72</w:t>
            </w:r>
          </w:p>
        </w:tc>
        <w:tc>
          <w:tcPr>
            <w:tcW w:w="1063" w:type="dxa"/>
            <w:noWrap w:val="0"/>
            <w:vAlign w:val="center"/>
          </w:tcPr>
          <w:p w14:paraId="5B3E2F2E">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台</w:t>
            </w:r>
          </w:p>
        </w:tc>
        <w:tc>
          <w:tcPr>
            <w:tcW w:w="2435" w:type="dxa"/>
            <w:noWrap w:val="0"/>
            <w:vAlign w:val="center"/>
          </w:tcPr>
          <w:p w14:paraId="067645A1">
            <w:pPr>
              <w:pStyle w:val="24"/>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w:t>
            </w:r>
          </w:p>
        </w:tc>
      </w:tr>
    </w:tbl>
    <w:p w14:paraId="6F027D36">
      <w:pPr>
        <w:pStyle w:val="20"/>
        <w:bidi w:val="0"/>
        <w:rPr>
          <w:rFonts w:hAnsi="宋体"/>
          <w:color w:val="auto"/>
          <w:sz w:val="24"/>
          <w:u w:val="none" w:color="auto"/>
        </w:rPr>
      </w:pPr>
      <w:r>
        <w:rPr>
          <w:rFonts w:hAnsi="宋体"/>
          <w:color w:val="auto"/>
          <w:sz w:val="24"/>
          <w:u w:val="none" w:color="auto"/>
        </w:rPr>
        <w:t>由《产业结构调整指导目录（</w:t>
      </w:r>
      <w:r>
        <w:rPr>
          <w:color w:val="auto"/>
          <w:sz w:val="24"/>
          <w:u w:val="none" w:color="auto"/>
        </w:rPr>
        <w:t>20</w:t>
      </w:r>
      <w:r>
        <w:rPr>
          <w:rFonts w:hint="eastAsia"/>
          <w:color w:val="auto"/>
          <w:sz w:val="24"/>
          <w:u w:val="none" w:color="auto"/>
          <w:lang w:val="en-US" w:eastAsia="zh-CN"/>
        </w:rPr>
        <w:t>24</w:t>
      </w:r>
      <w:r>
        <w:rPr>
          <w:rFonts w:hAnsi="宋体"/>
          <w:color w:val="auto"/>
          <w:sz w:val="24"/>
          <w:u w:val="none" w:color="auto"/>
        </w:rPr>
        <w:t>年本）》可知，项目所选设备均不属于国家淘汰和限制的产业类型，可满足正常生产的需要。</w:t>
      </w:r>
    </w:p>
    <w:p w14:paraId="5A7F4F70">
      <w:pPr>
        <w:pStyle w:val="20"/>
        <w:bidi w:val="0"/>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产能核算：</w:t>
      </w:r>
      <w:r>
        <w:rPr>
          <w:rFonts w:hint="eastAsia" w:ascii="Times New Roman" w:hAnsi="Times New Roman" w:eastAsia="宋体" w:cs="Times New Roman"/>
          <w:color w:val="auto"/>
          <w:sz w:val="24"/>
          <w:u w:val="none" w:color="auto"/>
          <w:lang w:val="en-US" w:eastAsia="zh-CN"/>
        </w:rPr>
        <w:t>本项目</w:t>
      </w:r>
      <w:r>
        <w:rPr>
          <w:rFonts w:hint="default" w:ascii="Times New Roman" w:hAnsi="Times New Roman" w:eastAsia="宋体" w:cs="Times New Roman"/>
          <w:color w:val="auto"/>
          <w:sz w:val="24"/>
          <w:u w:val="none" w:color="auto"/>
          <w:lang w:val="en-US" w:eastAsia="zh-CN"/>
        </w:rPr>
        <w:t>共设置</w:t>
      </w:r>
      <w:r>
        <w:rPr>
          <w:rFonts w:hint="eastAsia" w:ascii="Times New Roman" w:hAnsi="Times New Roman" w:eastAsia="宋体" w:cs="Times New Roman"/>
          <w:color w:val="auto"/>
          <w:sz w:val="24"/>
          <w:u w:val="none" w:color="auto"/>
          <w:lang w:val="en-US" w:eastAsia="zh-CN"/>
        </w:rPr>
        <w:t>20</w:t>
      </w:r>
      <w:r>
        <w:rPr>
          <w:rFonts w:hint="default" w:ascii="Times New Roman" w:hAnsi="Times New Roman" w:eastAsia="宋体" w:cs="Times New Roman"/>
          <w:color w:val="auto"/>
          <w:sz w:val="24"/>
          <w:u w:val="none" w:color="auto"/>
          <w:lang w:val="en-US" w:eastAsia="zh-CN"/>
        </w:rPr>
        <w:t>条</w:t>
      </w:r>
      <w:r>
        <w:rPr>
          <w:rFonts w:hint="eastAsia" w:ascii="Times New Roman" w:hAnsi="Times New Roman" w:eastAsia="宋体" w:cs="Times New Roman"/>
          <w:color w:val="auto"/>
          <w:sz w:val="24"/>
          <w:u w:val="none" w:color="auto"/>
          <w:lang w:val="en-US" w:eastAsia="zh-CN"/>
        </w:rPr>
        <w:t>PVC大板</w:t>
      </w:r>
      <w:r>
        <w:rPr>
          <w:rFonts w:hint="default" w:ascii="Times New Roman" w:hAnsi="Times New Roman" w:eastAsia="宋体" w:cs="Times New Roman"/>
          <w:color w:val="auto"/>
          <w:sz w:val="24"/>
          <w:u w:val="none" w:color="auto"/>
          <w:lang w:val="en-US" w:eastAsia="zh-CN"/>
        </w:rPr>
        <w:t>生产线，生产线关键设备挤出机的挤出速度为</w:t>
      </w:r>
      <w:r>
        <w:rPr>
          <w:rFonts w:hint="eastAsia" w:ascii="Times New Roman" w:hAnsi="Times New Roman" w:eastAsia="宋体" w:cs="Times New Roman"/>
          <w:color w:val="auto"/>
          <w:sz w:val="24"/>
          <w:u w:val="none" w:color="auto"/>
          <w:lang w:val="en-US" w:eastAsia="zh-CN"/>
        </w:rPr>
        <w:t>35</w:t>
      </w:r>
      <w:r>
        <w:rPr>
          <w:rFonts w:hint="default" w:ascii="Times New Roman" w:hAnsi="Times New Roman" w:eastAsia="宋体" w:cs="Times New Roman"/>
          <w:color w:val="auto"/>
          <w:sz w:val="24"/>
          <w:u w:val="none" w:color="auto"/>
          <w:lang w:val="en-US" w:eastAsia="zh-CN"/>
        </w:rPr>
        <w:t>0kg/h，项目工作时间为300天</w:t>
      </w:r>
      <w:r>
        <w:rPr>
          <w:rFonts w:hint="eastAsia" w:ascii="Times New Roman" w:hAnsi="Times New Roman" w:eastAsia="宋体" w:cs="Times New Roman"/>
          <w:color w:val="auto"/>
          <w:sz w:val="24"/>
          <w:u w:val="none" w:color="auto"/>
          <w:lang w:val="en-US" w:eastAsia="zh-CN"/>
        </w:rPr>
        <w:t>16</w:t>
      </w:r>
      <w:r>
        <w:rPr>
          <w:rFonts w:hint="default" w:ascii="Times New Roman" w:hAnsi="Times New Roman" w:eastAsia="宋体" w:cs="Times New Roman"/>
          <w:color w:val="auto"/>
          <w:sz w:val="24"/>
          <w:u w:val="none" w:color="auto"/>
          <w:lang w:val="en-US" w:eastAsia="zh-CN"/>
        </w:rPr>
        <w:t>小时</w:t>
      </w:r>
      <w:r>
        <w:rPr>
          <w:rFonts w:hint="eastAsia" w:ascii="Times New Roman" w:hAnsi="Times New Roman" w:eastAsia="宋体" w:cs="Times New Roman"/>
          <w:color w:val="auto"/>
          <w:sz w:val="24"/>
          <w:u w:val="none" w:color="auto"/>
          <w:lang w:val="en-US" w:eastAsia="zh-CN"/>
        </w:rPr>
        <w:t>两</w:t>
      </w:r>
      <w:r>
        <w:rPr>
          <w:rFonts w:hint="default" w:ascii="Times New Roman" w:hAnsi="Times New Roman" w:eastAsia="宋体" w:cs="Times New Roman"/>
          <w:color w:val="auto"/>
          <w:sz w:val="24"/>
          <w:u w:val="none" w:color="auto"/>
          <w:lang w:val="en-US" w:eastAsia="zh-CN"/>
        </w:rPr>
        <w:t>班制，则单条生产线最大设计规模为</w:t>
      </w:r>
      <w:r>
        <w:rPr>
          <w:rFonts w:hint="eastAsia" w:ascii="Times New Roman" w:hAnsi="Times New Roman" w:eastAsia="宋体" w:cs="Times New Roman"/>
          <w:color w:val="auto"/>
          <w:sz w:val="24"/>
          <w:u w:val="none" w:color="auto"/>
          <w:lang w:val="en-US" w:eastAsia="zh-CN"/>
        </w:rPr>
        <w:t>168</w:t>
      </w:r>
      <w:r>
        <w:rPr>
          <w:rFonts w:hint="default" w:ascii="Times New Roman" w:hAnsi="Times New Roman" w:eastAsia="宋体" w:cs="Times New Roman"/>
          <w:color w:val="auto"/>
          <w:sz w:val="24"/>
          <w:u w:val="none" w:color="auto"/>
          <w:lang w:val="en-US" w:eastAsia="zh-CN"/>
        </w:rPr>
        <w:t>0吨/年，</w:t>
      </w:r>
      <w:r>
        <w:rPr>
          <w:rFonts w:hint="eastAsia" w:ascii="Times New Roman" w:hAnsi="Times New Roman" w:eastAsia="宋体" w:cs="Times New Roman"/>
          <w:color w:val="auto"/>
          <w:sz w:val="24"/>
          <w:u w:val="none" w:color="auto"/>
          <w:lang w:val="en-US" w:eastAsia="zh-CN"/>
        </w:rPr>
        <w:t>20</w:t>
      </w:r>
      <w:r>
        <w:rPr>
          <w:rFonts w:hint="default" w:ascii="Times New Roman" w:hAnsi="Times New Roman" w:eastAsia="宋体" w:cs="Times New Roman"/>
          <w:color w:val="auto"/>
          <w:sz w:val="24"/>
          <w:u w:val="none" w:color="auto"/>
          <w:lang w:val="en-US" w:eastAsia="zh-CN"/>
        </w:rPr>
        <w:t>条生产线规格为</w:t>
      </w:r>
      <w:r>
        <w:rPr>
          <w:rFonts w:hint="eastAsia" w:ascii="Times New Roman" w:hAnsi="Times New Roman" w:eastAsia="宋体" w:cs="Times New Roman"/>
          <w:color w:val="auto"/>
          <w:sz w:val="24"/>
          <w:highlight w:val="none"/>
          <w:u w:val="none" w:color="auto"/>
          <w:lang w:val="en-US" w:eastAsia="zh-CN"/>
        </w:rPr>
        <w:t>336</w:t>
      </w:r>
      <w:r>
        <w:rPr>
          <w:rFonts w:hint="default" w:ascii="Times New Roman" w:hAnsi="Times New Roman" w:eastAsia="宋体" w:cs="Times New Roman"/>
          <w:color w:val="auto"/>
          <w:sz w:val="24"/>
          <w:highlight w:val="none"/>
          <w:u w:val="none" w:color="auto"/>
          <w:lang w:val="en-US" w:eastAsia="zh-CN"/>
        </w:rPr>
        <w:t>00吨/年，总设计规模为</w:t>
      </w:r>
      <w:r>
        <w:rPr>
          <w:rFonts w:hint="eastAsia" w:ascii="Times New Roman" w:hAnsi="Times New Roman" w:eastAsia="宋体" w:cs="Times New Roman"/>
          <w:color w:val="auto"/>
          <w:sz w:val="24"/>
          <w:highlight w:val="none"/>
          <w:u w:val="none" w:color="auto"/>
          <w:lang w:val="en-US" w:eastAsia="zh-CN"/>
        </w:rPr>
        <w:t>3</w:t>
      </w:r>
      <w:r>
        <w:rPr>
          <w:rFonts w:hint="default" w:ascii="Times New Roman" w:hAnsi="Times New Roman" w:eastAsia="宋体" w:cs="Times New Roman"/>
          <w:color w:val="auto"/>
          <w:sz w:val="24"/>
          <w:highlight w:val="none"/>
          <w:u w:val="none" w:color="auto"/>
          <w:lang w:val="en-US" w:eastAsia="zh-CN"/>
        </w:rPr>
        <w:t>0000吨/年</w:t>
      </w:r>
      <w:r>
        <w:rPr>
          <w:rFonts w:hint="default" w:ascii="Times New Roman" w:hAnsi="Times New Roman" w:eastAsia="宋体" w:cs="Times New Roman"/>
          <w:color w:val="auto"/>
          <w:sz w:val="24"/>
          <w:u w:val="none" w:color="auto"/>
          <w:lang w:val="en-US" w:eastAsia="zh-CN"/>
        </w:rPr>
        <w:t>，根据该设备设计产能，可满足项目生产需求。</w:t>
      </w:r>
    </w:p>
    <w:p w14:paraId="3A1A05C5">
      <w:pPr>
        <w:pStyle w:val="20"/>
        <w:bidi w:val="0"/>
        <w:rPr>
          <w:rFonts w:hint="default" w:ascii="Times New Roman" w:hAnsi="Times New Roman" w:eastAsia="宋体" w:cs="Times New Roman"/>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因胶粘剂类型不同，覆膜机台时产能存在差异；溶剂型胶粘剂延展性较好，生产效率更高，约是非溶剂型胶粘剂覆膜的1倍；项目共有</w:t>
      </w:r>
      <w:r>
        <w:rPr>
          <w:rFonts w:hint="eastAsia" w:ascii="Times New Roman" w:hAnsi="Times New Roman" w:eastAsia="宋体" w:cs="Times New Roman"/>
          <w:color w:val="auto"/>
          <w:sz w:val="24"/>
          <w:u w:val="none" w:color="auto"/>
          <w:lang w:val="en-US" w:eastAsia="zh-CN"/>
        </w:rPr>
        <w:t>2</w:t>
      </w:r>
      <w:r>
        <w:rPr>
          <w:rFonts w:hint="default" w:ascii="Times New Roman" w:hAnsi="Times New Roman" w:eastAsia="宋体" w:cs="Times New Roman"/>
          <w:color w:val="auto"/>
          <w:sz w:val="24"/>
          <w:u w:val="none" w:color="auto"/>
          <w:lang w:val="en-US" w:eastAsia="zh-CN"/>
        </w:rPr>
        <w:t>4台非溶剂型胶粘剂</w:t>
      </w:r>
      <w:r>
        <w:rPr>
          <w:rFonts w:hint="eastAsia" w:ascii="Times New Roman" w:hAnsi="Times New Roman" w:eastAsia="宋体" w:cs="Times New Roman"/>
          <w:color w:val="auto"/>
          <w:sz w:val="24"/>
          <w:u w:val="none" w:color="auto"/>
          <w:lang w:val="en-US" w:eastAsia="zh-CN"/>
        </w:rPr>
        <w:t>大板</w:t>
      </w:r>
      <w:r>
        <w:rPr>
          <w:rFonts w:hint="default" w:ascii="Times New Roman" w:hAnsi="Times New Roman" w:eastAsia="宋体" w:cs="Times New Roman"/>
          <w:color w:val="auto"/>
          <w:sz w:val="24"/>
          <w:u w:val="none" w:color="auto"/>
          <w:lang w:val="en-US" w:eastAsia="zh-CN"/>
        </w:rPr>
        <w:t>覆膜机、2台溶剂型胶粘剂</w:t>
      </w:r>
      <w:r>
        <w:rPr>
          <w:rFonts w:hint="eastAsia" w:ascii="Times New Roman" w:hAnsi="Times New Roman" w:eastAsia="宋体" w:cs="Times New Roman"/>
          <w:color w:val="auto"/>
          <w:sz w:val="24"/>
          <w:u w:val="none" w:color="auto"/>
          <w:lang w:val="en-US" w:eastAsia="zh-CN"/>
        </w:rPr>
        <w:t>大板</w:t>
      </w:r>
      <w:r>
        <w:rPr>
          <w:rFonts w:hint="default" w:ascii="Times New Roman" w:hAnsi="Times New Roman" w:eastAsia="宋体" w:cs="Times New Roman"/>
          <w:color w:val="auto"/>
          <w:sz w:val="24"/>
          <w:u w:val="none" w:color="auto"/>
          <w:lang w:val="en-US" w:eastAsia="zh-CN"/>
        </w:rPr>
        <w:t>覆膜机，非溶剂型</w:t>
      </w:r>
      <w:r>
        <w:rPr>
          <w:rFonts w:hint="eastAsia" w:ascii="Times New Roman" w:hAnsi="Times New Roman" w:eastAsia="宋体" w:cs="Times New Roman"/>
          <w:color w:val="auto"/>
          <w:sz w:val="24"/>
          <w:u w:val="none" w:color="auto"/>
          <w:lang w:val="en-US" w:eastAsia="zh-CN"/>
        </w:rPr>
        <w:t>大板</w:t>
      </w:r>
      <w:r>
        <w:rPr>
          <w:rFonts w:hint="default" w:ascii="Times New Roman" w:hAnsi="Times New Roman" w:eastAsia="宋体" w:cs="Times New Roman"/>
          <w:color w:val="auto"/>
          <w:sz w:val="24"/>
          <w:u w:val="none" w:color="auto"/>
          <w:lang w:val="en-US" w:eastAsia="zh-CN"/>
        </w:rPr>
        <w:t>覆膜机台时产能为</w:t>
      </w:r>
      <w:r>
        <w:rPr>
          <w:rFonts w:hint="eastAsia" w:ascii="Times New Roman" w:hAnsi="Times New Roman" w:eastAsia="宋体" w:cs="Times New Roman"/>
          <w:color w:val="auto"/>
          <w:sz w:val="24"/>
          <w:u w:val="none" w:color="auto"/>
          <w:lang w:val="en-US" w:eastAsia="zh-CN"/>
        </w:rPr>
        <w:t>30</w:t>
      </w:r>
      <w:r>
        <w:rPr>
          <w:rFonts w:hint="default" w:ascii="Times New Roman" w:hAnsi="Times New Roman" w:eastAsia="宋体" w:cs="Times New Roman"/>
          <w:color w:val="auto"/>
          <w:sz w:val="24"/>
          <w:u w:val="none" w:color="auto"/>
          <w:lang w:val="en-US" w:eastAsia="zh-CN"/>
        </w:rPr>
        <w:t>0kg/h，溶剂型</w:t>
      </w:r>
      <w:r>
        <w:rPr>
          <w:rFonts w:hint="eastAsia" w:ascii="Times New Roman" w:hAnsi="Times New Roman" w:eastAsia="宋体" w:cs="Times New Roman"/>
          <w:color w:val="auto"/>
          <w:sz w:val="24"/>
          <w:u w:val="none" w:color="auto"/>
          <w:lang w:val="en-US" w:eastAsia="zh-CN"/>
        </w:rPr>
        <w:t>大板</w:t>
      </w:r>
      <w:r>
        <w:rPr>
          <w:rFonts w:hint="default" w:ascii="Times New Roman" w:hAnsi="Times New Roman" w:eastAsia="宋体" w:cs="Times New Roman"/>
          <w:color w:val="auto"/>
          <w:sz w:val="24"/>
          <w:u w:val="none" w:color="auto"/>
          <w:lang w:val="en-US" w:eastAsia="zh-CN"/>
        </w:rPr>
        <w:t>覆膜机台时产能为</w:t>
      </w:r>
      <w:r>
        <w:rPr>
          <w:rFonts w:hint="eastAsia" w:ascii="Times New Roman" w:hAnsi="Times New Roman" w:eastAsia="宋体" w:cs="Times New Roman"/>
          <w:color w:val="auto"/>
          <w:sz w:val="24"/>
          <w:u w:val="none" w:color="auto"/>
          <w:lang w:val="en-US" w:eastAsia="zh-CN"/>
        </w:rPr>
        <w:t>6</w:t>
      </w:r>
      <w:r>
        <w:rPr>
          <w:rFonts w:hint="default" w:ascii="Times New Roman" w:hAnsi="Times New Roman" w:eastAsia="宋体" w:cs="Times New Roman"/>
          <w:color w:val="auto"/>
          <w:sz w:val="24"/>
          <w:u w:val="none" w:color="auto"/>
          <w:lang w:val="en-US" w:eastAsia="zh-CN"/>
        </w:rPr>
        <w:t>00kg/h</w:t>
      </w:r>
      <w:r>
        <w:rPr>
          <w:rFonts w:hint="eastAsia" w:ascii="Times New Roman" w:hAnsi="Times New Roman" w:eastAsia="宋体" w:cs="Times New Roman"/>
          <w:color w:val="auto"/>
          <w:sz w:val="24"/>
          <w:u w:val="none" w:color="auto"/>
          <w:lang w:val="en-US" w:eastAsia="zh-CN"/>
        </w:rPr>
        <w:t>，其中1#厂房的20台</w:t>
      </w:r>
      <w:r>
        <w:rPr>
          <w:rFonts w:hint="default" w:ascii="Times New Roman" w:hAnsi="Times New Roman" w:eastAsia="宋体" w:cs="Times New Roman"/>
          <w:color w:val="auto"/>
          <w:sz w:val="24"/>
          <w:u w:val="none" w:color="auto"/>
          <w:lang w:val="en-US" w:eastAsia="zh-CN"/>
        </w:rPr>
        <w:t>非溶剂型</w:t>
      </w:r>
      <w:r>
        <w:rPr>
          <w:rFonts w:hint="eastAsia" w:ascii="Times New Roman" w:hAnsi="Times New Roman" w:eastAsia="宋体" w:cs="Times New Roman"/>
          <w:color w:val="auto"/>
          <w:sz w:val="24"/>
          <w:u w:val="none" w:color="auto"/>
          <w:lang w:val="en-US" w:eastAsia="zh-CN"/>
        </w:rPr>
        <w:t>大板</w:t>
      </w:r>
      <w:r>
        <w:rPr>
          <w:rFonts w:hint="default" w:ascii="Times New Roman" w:hAnsi="Times New Roman" w:eastAsia="宋体" w:cs="Times New Roman"/>
          <w:color w:val="auto"/>
          <w:sz w:val="24"/>
          <w:u w:val="none" w:color="auto"/>
          <w:lang w:val="en-US" w:eastAsia="zh-CN"/>
        </w:rPr>
        <w:t>覆膜机</w:t>
      </w:r>
      <w:r>
        <w:rPr>
          <w:rFonts w:hint="eastAsia" w:ascii="Times New Roman" w:hAnsi="Times New Roman" w:eastAsia="宋体" w:cs="Times New Roman"/>
          <w:color w:val="auto"/>
          <w:sz w:val="24"/>
          <w:u w:val="none" w:color="auto"/>
          <w:lang w:val="en-US" w:eastAsia="zh-CN"/>
        </w:rPr>
        <w:t>与前期工序一致，</w:t>
      </w:r>
      <w:r>
        <w:rPr>
          <w:rFonts w:hint="default" w:ascii="Times New Roman" w:hAnsi="Times New Roman" w:eastAsia="宋体" w:cs="Times New Roman"/>
          <w:color w:val="auto"/>
          <w:sz w:val="24"/>
          <w:u w:val="none" w:color="auto"/>
          <w:lang w:val="en-US" w:eastAsia="zh-CN"/>
        </w:rPr>
        <w:t>每天运行</w:t>
      </w:r>
      <w:r>
        <w:rPr>
          <w:rFonts w:hint="eastAsia" w:ascii="Times New Roman" w:hAnsi="Times New Roman" w:eastAsia="宋体" w:cs="Times New Roman"/>
          <w:color w:val="auto"/>
          <w:sz w:val="24"/>
          <w:u w:val="none" w:color="auto"/>
          <w:lang w:val="en-US" w:eastAsia="zh-CN"/>
        </w:rPr>
        <w:t>16</w:t>
      </w:r>
      <w:r>
        <w:rPr>
          <w:rFonts w:hint="default" w:ascii="Times New Roman" w:hAnsi="Times New Roman" w:eastAsia="宋体" w:cs="Times New Roman"/>
          <w:color w:val="auto"/>
          <w:sz w:val="24"/>
          <w:u w:val="none" w:color="auto"/>
          <w:lang w:val="en-US" w:eastAsia="zh-CN"/>
        </w:rPr>
        <w:t>h，</w:t>
      </w:r>
      <w:r>
        <w:rPr>
          <w:rFonts w:hint="eastAsia" w:ascii="Times New Roman" w:hAnsi="Times New Roman" w:eastAsia="宋体" w:cs="Times New Roman"/>
          <w:color w:val="auto"/>
          <w:sz w:val="24"/>
          <w:u w:val="none" w:color="auto"/>
          <w:lang w:val="en-US" w:eastAsia="zh-CN"/>
        </w:rPr>
        <w:t>2#厂房的4台</w:t>
      </w:r>
      <w:r>
        <w:rPr>
          <w:rFonts w:hint="default" w:ascii="Times New Roman" w:hAnsi="Times New Roman" w:eastAsia="宋体" w:cs="Times New Roman"/>
          <w:color w:val="auto"/>
          <w:sz w:val="24"/>
          <w:u w:val="none" w:color="auto"/>
          <w:lang w:val="en-US" w:eastAsia="zh-CN"/>
        </w:rPr>
        <w:t>非溶剂型</w:t>
      </w:r>
      <w:r>
        <w:rPr>
          <w:rFonts w:hint="eastAsia" w:ascii="Times New Roman" w:hAnsi="Times New Roman" w:eastAsia="宋体" w:cs="Times New Roman"/>
          <w:color w:val="auto"/>
          <w:sz w:val="24"/>
          <w:u w:val="none" w:color="auto"/>
          <w:lang w:val="en-US" w:eastAsia="zh-CN"/>
        </w:rPr>
        <w:t>大板</w:t>
      </w:r>
      <w:r>
        <w:rPr>
          <w:rFonts w:hint="default" w:ascii="Times New Roman" w:hAnsi="Times New Roman" w:eastAsia="宋体" w:cs="Times New Roman"/>
          <w:color w:val="auto"/>
          <w:sz w:val="24"/>
          <w:u w:val="none" w:color="auto"/>
          <w:lang w:val="en-US" w:eastAsia="zh-CN"/>
        </w:rPr>
        <w:t>覆膜机</w:t>
      </w:r>
      <w:r>
        <w:rPr>
          <w:rFonts w:hint="eastAsia" w:ascii="Times New Roman" w:hAnsi="Times New Roman" w:eastAsia="宋体" w:cs="Times New Roman"/>
          <w:color w:val="auto"/>
          <w:sz w:val="24"/>
          <w:u w:val="none" w:color="auto"/>
          <w:lang w:val="en-US" w:eastAsia="zh-CN"/>
        </w:rPr>
        <w:t>、2台溶剂型覆膜机每天运行8h，</w:t>
      </w:r>
      <w:r>
        <w:rPr>
          <w:rFonts w:hint="default" w:ascii="Times New Roman" w:hAnsi="Times New Roman" w:eastAsia="宋体" w:cs="Times New Roman"/>
          <w:color w:val="auto"/>
          <w:sz w:val="24"/>
          <w:u w:val="none" w:color="auto"/>
          <w:lang w:val="en-US" w:eastAsia="zh-CN"/>
        </w:rPr>
        <w:t>运行时间300天，则本项目覆膜能力约为</w:t>
      </w:r>
      <w:r>
        <w:rPr>
          <w:rFonts w:hint="eastAsia" w:ascii="Times New Roman" w:hAnsi="Times New Roman" w:eastAsia="宋体" w:cs="Times New Roman"/>
          <w:color w:val="auto"/>
          <w:sz w:val="24"/>
          <w:u w:val="none" w:color="auto"/>
          <w:lang w:val="en-US" w:eastAsia="zh-CN"/>
        </w:rPr>
        <w:t>3456</w:t>
      </w:r>
      <w:r>
        <w:rPr>
          <w:rFonts w:hint="default" w:ascii="Times New Roman" w:hAnsi="Times New Roman" w:eastAsia="宋体" w:cs="Times New Roman"/>
          <w:color w:val="auto"/>
          <w:sz w:val="24"/>
          <w:u w:val="none" w:color="auto"/>
          <w:lang w:val="en-US" w:eastAsia="zh-CN"/>
        </w:rPr>
        <w:t>0t，与本项目设计规模基本相符</w:t>
      </w:r>
      <w:r>
        <w:rPr>
          <w:rFonts w:hint="eastAsia" w:ascii="Times New Roman" w:hAnsi="Times New Roman" w:eastAsia="宋体" w:cs="Times New Roman"/>
          <w:color w:val="auto"/>
          <w:sz w:val="24"/>
          <w:u w:val="none" w:color="auto"/>
          <w:lang w:val="en-US" w:eastAsia="zh-CN"/>
        </w:rPr>
        <w:t>。</w:t>
      </w:r>
    </w:p>
    <w:p w14:paraId="60AFF2E7">
      <w:pPr>
        <w:pStyle w:val="20"/>
        <w:bidi w:val="0"/>
        <w:rPr>
          <w:rFonts w:hint="default" w:hAnsi="宋体"/>
          <w:color w:val="auto"/>
          <w:sz w:val="24"/>
          <w:u w:val="none" w:color="auto"/>
          <w:lang w:val="en-US" w:eastAsia="zh-CN"/>
        </w:rPr>
      </w:pPr>
      <w:r>
        <w:rPr>
          <w:rFonts w:hint="default" w:ascii="Times New Roman" w:hAnsi="Times New Roman" w:eastAsia="宋体" w:cs="Times New Roman"/>
          <w:color w:val="auto"/>
          <w:sz w:val="24"/>
          <w:u w:val="none" w:color="auto"/>
          <w:lang w:val="en-US" w:eastAsia="zh-CN"/>
        </w:rPr>
        <w:t>每台线条覆膜机台时产能为120kg/h，每天运行8h，运行时间300天，项目共有20台线条覆膜机，则本项目线条覆膜能力约为5760t，</w:t>
      </w:r>
      <w:r>
        <w:rPr>
          <w:rFonts w:hint="default" w:ascii="Times New Roman" w:hAnsi="Times New Roman" w:eastAsia="宋体" w:cs="Times New Roman"/>
          <w:color w:val="auto"/>
          <w:sz w:val="24"/>
          <w:highlight w:val="none"/>
          <w:u w:val="none" w:color="auto"/>
          <w:lang w:val="en-US" w:eastAsia="zh-CN"/>
        </w:rPr>
        <w:t>总设计规模为</w:t>
      </w:r>
      <w:r>
        <w:rPr>
          <w:rFonts w:hint="eastAsia" w:ascii="Times New Roman" w:hAnsi="Times New Roman" w:eastAsia="宋体" w:cs="Times New Roman"/>
          <w:color w:val="auto"/>
          <w:sz w:val="24"/>
          <w:highlight w:val="none"/>
          <w:u w:val="none" w:color="auto"/>
          <w:lang w:val="en-US" w:eastAsia="zh-CN"/>
        </w:rPr>
        <w:t>5</w:t>
      </w:r>
      <w:r>
        <w:rPr>
          <w:rFonts w:hint="default" w:ascii="Times New Roman" w:hAnsi="Times New Roman" w:eastAsia="宋体" w:cs="Times New Roman"/>
          <w:color w:val="auto"/>
          <w:sz w:val="24"/>
          <w:highlight w:val="none"/>
          <w:u w:val="none" w:color="auto"/>
          <w:lang w:val="en-US" w:eastAsia="zh-CN"/>
        </w:rPr>
        <w:t>000吨/年</w:t>
      </w:r>
      <w:r>
        <w:rPr>
          <w:rFonts w:hint="default" w:ascii="Times New Roman" w:hAnsi="Times New Roman" w:eastAsia="宋体" w:cs="Times New Roman"/>
          <w:color w:val="auto"/>
          <w:sz w:val="24"/>
          <w:u w:val="none" w:color="auto"/>
          <w:lang w:val="en-US" w:eastAsia="zh-CN"/>
        </w:rPr>
        <w:t>，与本项目设计规模基本相符</w:t>
      </w:r>
      <w:r>
        <w:rPr>
          <w:rFonts w:hint="eastAsia" w:ascii="Times New Roman" w:hAnsi="Times New Roman" w:eastAsia="宋体" w:cs="Times New Roman"/>
          <w:color w:val="auto"/>
          <w:sz w:val="24"/>
          <w:u w:val="none" w:color="auto"/>
          <w:lang w:val="en-US" w:eastAsia="zh-CN"/>
        </w:rPr>
        <w:t>。</w:t>
      </w:r>
    </w:p>
    <w:p w14:paraId="6A72AD0C">
      <w:pPr>
        <w:pStyle w:val="4"/>
        <w:bidi w:val="0"/>
        <w:rPr>
          <w:rFonts w:hint="eastAsia"/>
          <w:color w:val="auto"/>
          <w:u w:val="none" w:color="auto"/>
          <w:lang w:val="en-US" w:eastAsia="zh-CN"/>
        </w:rPr>
      </w:pPr>
      <w:bookmarkStart w:id="625" w:name="_Toc9267"/>
      <w:bookmarkStart w:id="626" w:name="_Toc20079"/>
      <w:bookmarkStart w:id="627" w:name="_Toc21057"/>
      <w:r>
        <w:rPr>
          <w:rFonts w:hint="eastAsia"/>
          <w:color w:val="auto"/>
          <w:u w:val="none" w:color="auto"/>
          <w:lang w:val="en-US" w:eastAsia="zh-CN"/>
        </w:rPr>
        <w:t>4.1.6公用工程</w:t>
      </w:r>
      <w:bookmarkEnd w:id="625"/>
      <w:bookmarkEnd w:id="626"/>
      <w:bookmarkEnd w:id="627"/>
    </w:p>
    <w:p w14:paraId="4B990DAC">
      <w:pPr>
        <w:pStyle w:val="20"/>
        <w:bidi w:val="0"/>
        <w:rPr>
          <w:rFonts w:hint="eastAsia"/>
          <w:color w:val="auto"/>
          <w:u w:val="none" w:color="auto"/>
          <w:lang w:val="en-US" w:eastAsia="zh-CN"/>
        </w:rPr>
      </w:pPr>
      <w:r>
        <w:rPr>
          <w:rFonts w:hint="eastAsia"/>
          <w:color w:val="auto"/>
          <w:u w:val="none" w:color="auto"/>
          <w:lang w:val="en-US" w:eastAsia="zh-CN"/>
        </w:rPr>
        <w:t>（1）给水</w:t>
      </w:r>
    </w:p>
    <w:p w14:paraId="508D490D">
      <w:pPr>
        <w:pStyle w:val="20"/>
        <w:bidi w:val="0"/>
        <w:rPr>
          <w:rFonts w:hint="eastAsia"/>
          <w:color w:val="auto"/>
          <w:u w:val="none" w:color="auto"/>
          <w:lang w:val="en-US" w:eastAsia="zh-CN"/>
        </w:rPr>
      </w:pPr>
      <w:r>
        <w:rPr>
          <w:rFonts w:hint="eastAsia"/>
          <w:color w:val="auto"/>
          <w:u w:val="none" w:color="auto"/>
          <w:lang w:val="en-US" w:eastAsia="zh-CN"/>
        </w:rPr>
        <w:t>项目供水依托自来水管网供给，供厂区生活及消防使用，可满足本项目生产、生活用水的需求。本项目用水情况如下表所示。</w:t>
      </w:r>
    </w:p>
    <w:p w14:paraId="2CDACDAF">
      <w:pPr>
        <w:pStyle w:val="22"/>
        <w:bidi w:val="0"/>
        <w:rPr>
          <w:rFonts w:hint="eastAsia"/>
          <w:color w:val="auto"/>
          <w:u w:val="none" w:color="auto"/>
          <w:lang w:val="en-US" w:eastAsia="zh-CN"/>
        </w:rPr>
      </w:pPr>
      <w:r>
        <w:rPr>
          <w:rFonts w:hint="eastAsia"/>
          <w:color w:val="auto"/>
          <w:u w:val="none" w:color="auto"/>
          <w:lang w:val="en-US" w:eastAsia="zh-CN"/>
        </w:rPr>
        <w:t>表4.1-5 项目用水明细一览表</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712"/>
        <w:gridCol w:w="2209"/>
        <w:gridCol w:w="1655"/>
        <w:gridCol w:w="2088"/>
      </w:tblGrid>
      <w:tr w14:paraId="77548C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14:paraId="7DFFB735">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序号</w:t>
            </w:r>
          </w:p>
        </w:tc>
        <w:tc>
          <w:tcPr>
            <w:tcW w:w="1712" w:type="dxa"/>
            <w:noWrap w:val="0"/>
            <w:vAlign w:val="center"/>
          </w:tcPr>
          <w:p w14:paraId="42488486">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用水点</w:t>
            </w:r>
          </w:p>
        </w:tc>
        <w:tc>
          <w:tcPr>
            <w:tcW w:w="2209" w:type="dxa"/>
            <w:noWrap w:val="0"/>
            <w:vAlign w:val="center"/>
          </w:tcPr>
          <w:p w14:paraId="3682572E">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单位用水量</w:t>
            </w:r>
          </w:p>
        </w:tc>
        <w:tc>
          <w:tcPr>
            <w:tcW w:w="1655" w:type="dxa"/>
            <w:noWrap w:val="0"/>
            <w:vAlign w:val="center"/>
          </w:tcPr>
          <w:p w14:paraId="2AC86D22">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总水量</w:t>
            </w:r>
          </w:p>
        </w:tc>
        <w:tc>
          <w:tcPr>
            <w:tcW w:w="2088" w:type="dxa"/>
            <w:noWrap w:val="0"/>
            <w:vAlign w:val="center"/>
          </w:tcPr>
          <w:p w14:paraId="53552AB7">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color w:val="auto"/>
                <w:szCs w:val="20"/>
                <w:u w:val="none" w:color="auto"/>
              </w:rPr>
            </w:pPr>
            <w:r>
              <w:rPr>
                <w:rFonts w:hint="default" w:ascii="Times New Roman" w:hAnsi="Times New Roman" w:eastAsia="宋体" w:cs="Times New Roman"/>
                <w:b/>
                <w:bCs/>
                <w:color w:val="auto"/>
                <w:szCs w:val="20"/>
                <w:u w:val="none" w:color="auto"/>
              </w:rPr>
              <w:t>用途</w:t>
            </w:r>
          </w:p>
        </w:tc>
      </w:tr>
      <w:tr w14:paraId="50EA69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14:paraId="43440B14">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rPr>
            </w:pPr>
            <w:r>
              <w:rPr>
                <w:rFonts w:hint="default" w:ascii="Times New Roman" w:hAnsi="Times New Roman" w:eastAsia="宋体" w:cs="Times New Roman"/>
                <w:color w:val="auto"/>
                <w:szCs w:val="20"/>
                <w:u w:val="none" w:color="auto"/>
              </w:rPr>
              <w:t>1</w:t>
            </w:r>
          </w:p>
        </w:tc>
        <w:tc>
          <w:tcPr>
            <w:tcW w:w="1712" w:type="dxa"/>
            <w:noWrap w:val="0"/>
            <w:vAlign w:val="center"/>
          </w:tcPr>
          <w:p w14:paraId="2E8A941A">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Cs w:val="20"/>
                <w:u w:val="none" w:color="auto"/>
                <w:lang w:val="en-US" w:eastAsia="zh-CN"/>
              </w:rPr>
              <w:t>生活用水</w:t>
            </w:r>
          </w:p>
        </w:tc>
        <w:tc>
          <w:tcPr>
            <w:tcW w:w="2209" w:type="dxa"/>
            <w:noWrap w:val="0"/>
            <w:vAlign w:val="center"/>
          </w:tcPr>
          <w:p w14:paraId="3ACC722E">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0"/>
                <w:highlight w:val="none"/>
                <w:u w:val="none" w:color="auto"/>
                <w:lang w:val="en-US" w:eastAsia="zh-CN"/>
              </w:rPr>
              <w:t>8.7</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/天</w:t>
            </w:r>
          </w:p>
        </w:tc>
        <w:tc>
          <w:tcPr>
            <w:tcW w:w="1655" w:type="dxa"/>
            <w:noWrap w:val="0"/>
            <w:vAlign w:val="center"/>
          </w:tcPr>
          <w:p w14:paraId="1464D9DF">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0"/>
                <w:highlight w:val="none"/>
                <w:u w:val="none" w:color="auto"/>
                <w:lang w:val="en-US" w:eastAsia="zh-CN"/>
              </w:rPr>
              <w:t>261</w:t>
            </w:r>
            <w:r>
              <w:rPr>
                <w:rFonts w:hint="default" w:ascii="Times New Roman" w:hAnsi="Times New Roman" w:eastAsia="宋体" w:cs="Times New Roman"/>
                <w:color w:val="auto"/>
                <w:szCs w:val="20"/>
                <w:highlight w:val="none"/>
                <w:u w:val="none" w:color="auto"/>
                <w:lang w:val="en-US" w:eastAsia="zh-CN"/>
              </w:rPr>
              <w:t>0</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/a</w:t>
            </w:r>
          </w:p>
        </w:tc>
        <w:tc>
          <w:tcPr>
            <w:tcW w:w="2088" w:type="dxa"/>
            <w:noWrap w:val="0"/>
            <w:vAlign w:val="center"/>
          </w:tcPr>
          <w:p w14:paraId="127A7EEA">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Cs w:val="20"/>
                <w:u w:val="none" w:color="auto"/>
              </w:rPr>
              <w:t>员工用水</w:t>
            </w:r>
          </w:p>
        </w:tc>
      </w:tr>
      <w:tr w14:paraId="24598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40" w:type="dxa"/>
            <w:noWrap w:val="0"/>
            <w:vAlign w:val="center"/>
          </w:tcPr>
          <w:p w14:paraId="7E1C9C2F">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lang w:val="en-US" w:eastAsia="zh-CN"/>
              </w:rPr>
            </w:pPr>
            <w:r>
              <w:rPr>
                <w:rFonts w:hint="default" w:ascii="Times New Roman" w:hAnsi="Times New Roman" w:eastAsia="宋体" w:cs="Times New Roman"/>
                <w:color w:val="auto"/>
                <w:szCs w:val="20"/>
                <w:u w:val="none" w:color="auto"/>
                <w:lang w:val="en-US" w:eastAsia="zh-CN"/>
              </w:rPr>
              <w:t>2</w:t>
            </w:r>
          </w:p>
        </w:tc>
        <w:tc>
          <w:tcPr>
            <w:tcW w:w="1712" w:type="dxa"/>
            <w:noWrap w:val="0"/>
            <w:vAlign w:val="center"/>
          </w:tcPr>
          <w:p w14:paraId="3B80AD5E">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Cs w:val="20"/>
                <w:u w:val="none" w:color="auto"/>
                <w:lang w:val="en-US" w:eastAsia="zh-CN"/>
              </w:rPr>
              <w:t>冷却用水</w:t>
            </w:r>
          </w:p>
        </w:tc>
        <w:tc>
          <w:tcPr>
            <w:tcW w:w="2209" w:type="dxa"/>
            <w:noWrap w:val="0"/>
            <w:vAlign w:val="center"/>
          </w:tcPr>
          <w:p w14:paraId="017D055C">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Cs w:val="20"/>
                <w:highlight w:val="none"/>
                <w:u w:val="none" w:color="auto"/>
                <w:lang w:val="en-US" w:eastAsia="zh-CN"/>
              </w:rPr>
              <w:t>2.4</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/天（补水）</w:t>
            </w:r>
          </w:p>
        </w:tc>
        <w:tc>
          <w:tcPr>
            <w:tcW w:w="1655" w:type="dxa"/>
            <w:noWrap w:val="0"/>
            <w:vAlign w:val="center"/>
          </w:tcPr>
          <w:p w14:paraId="0ABED2EA">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0"/>
                <w:highlight w:val="none"/>
                <w:u w:val="none" w:color="auto"/>
                <w:lang w:val="en-US" w:eastAsia="zh-CN"/>
              </w:rPr>
              <w:t>720</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/a</w:t>
            </w:r>
          </w:p>
        </w:tc>
        <w:tc>
          <w:tcPr>
            <w:tcW w:w="2088" w:type="dxa"/>
            <w:noWrap w:val="0"/>
            <w:vAlign w:val="center"/>
          </w:tcPr>
          <w:p w14:paraId="3ABDB0A6">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Cs w:val="20"/>
                <w:u w:val="none" w:color="auto"/>
                <w:lang w:val="en-US" w:eastAsia="zh-CN"/>
              </w:rPr>
              <w:t>冷却系统补水</w:t>
            </w:r>
          </w:p>
        </w:tc>
      </w:tr>
      <w:tr w14:paraId="658230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2" w:type="dxa"/>
            <w:gridSpan w:val="2"/>
            <w:noWrap w:val="0"/>
            <w:vAlign w:val="center"/>
          </w:tcPr>
          <w:p w14:paraId="69D7AC25">
            <w:pPr>
              <w:pStyle w:val="24"/>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Cs w:val="20"/>
                <w:u w:val="none" w:color="auto"/>
              </w:rPr>
            </w:pPr>
            <w:r>
              <w:rPr>
                <w:rFonts w:hint="default" w:ascii="Times New Roman" w:hAnsi="Times New Roman" w:eastAsia="宋体" w:cs="Times New Roman"/>
                <w:color w:val="auto"/>
                <w:szCs w:val="20"/>
                <w:u w:val="none" w:color="auto"/>
              </w:rPr>
              <w:t>合计</w:t>
            </w:r>
          </w:p>
        </w:tc>
        <w:tc>
          <w:tcPr>
            <w:tcW w:w="2209" w:type="dxa"/>
            <w:noWrap w:val="0"/>
            <w:vAlign w:val="center"/>
          </w:tcPr>
          <w:p w14:paraId="0F77531B">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highlight w:val="none"/>
                <w:u w:val="none" w:color="auto"/>
                <w:lang w:val="en-US" w:eastAsia="zh-CN" w:bidi="ar-SA"/>
              </w:rPr>
            </w:pPr>
            <w:r>
              <w:rPr>
                <w:rFonts w:hint="eastAsia" w:ascii="Times New Roman" w:hAnsi="Times New Roman" w:eastAsia="宋体" w:cs="Times New Roman"/>
                <w:color w:val="auto"/>
                <w:szCs w:val="20"/>
                <w:highlight w:val="none"/>
                <w:u w:val="none" w:color="auto"/>
                <w:lang w:val="en-US" w:eastAsia="zh-CN"/>
              </w:rPr>
              <w:t>11.1</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/天</w:t>
            </w:r>
          </w:p>
        </w:tc>
        <w:tc>
          <w:tcPr>
            <w:tcW w:w="1655" w:type="dxa"/>
            <w:noWrap w:val="0"/>
            <w:vAlign w:val="center"/>
          </w:tcPr>
          <w:p w14:paraId="2EDD2414">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highlight w:val="none"/>
                <w:u w:val="none" w:color="auto"/>
                <w:lang w:val="en-US" w:eastAsia="zh-CN" w:bidi="ar-SA"/>
              </w:rPr>
            </w:pPr>
            <w:r>
              <w:rPr>
                <w:rFonts w:hint="eastAsia" w:cs="Times New Roman"/>
                <w:color w:val="auto"/>
                <w:szCs w:val="20"/>
                <w:highlight w:val="none"/>
                <w:u w:val="none" w:color="auto"/>
                <w:lang w:val="en-US" w:eastAsia="zh-CN"/>
              </w:rPr>
              <w:t>333</w:t>
            </w:r>
            <w:r>
              <w:rPr>
                <w:rFonts w:hint="eastAsia" w:ascii="Times New Roman" w:hAnsi="Times New Roman" w:eastAsia="宋体" w:cs="Times New Roman"/>
                <w:color w:val="auto"/>
                <w:szCs w:val="20"/>
                <w:highlight w:val="none"/>
                <w:u w:val="none" w:color="auto"/>
                <w:lang w:val="en-US" w:eastAsia="zh-CN"/>
              </w:rPr>
              <w:t>0</w:t>
            </w:r>
            <w:r>
              <w:rPr>
                <w:rFonts w:hint="default" w:ascii="Times New Roman" w:hAnsi="Times New Roman" w:eastAsia="宋体" w:cs="Times New Roman"/>
                <w:color w:val="auto"/>
                <w:szCs w:val="20"/>
                <w:highlight w:val="none"/>
                <w:u w:val="none" w:color="auto"/>
              </w:rPr>
              <w:t>m</w:t>
            </w:r>
            <w:r>
              <w:rPr>
                <w:rFonts w:hint="default" w:ascii="Times New Roman" w:hAnsi="Times New Roman" w:eastAsia="宋体" w:cs="Times New Roman"/>
                <w:color w:val="auto"/>
                <w:szCs w:val="20"/>
                <w:highlight w:val="none"/>
                <w:u w:val="none" w:color="auto"/>
                <w:vertAlign w:val="superscript"/>
              </w:rPr>
              <w:t>3</w:t>
            </w:r>
            <w:r>
              <w:rPr>
                <w:rFonts w:hint="default" w:ascii="Times New Roman" w:hAnsi="Times New Roman" w:eastAsia="宋体" w:cs="Times New Roman"/>
                <w:color w:val="auto"/>
                <w:szCs w:val="20"/>
                <w:highlight w:val="none"/>
                <w:u w:val="none" w:color="auto"/>
              </w:rPr>
              <w:t>/a</w:t>
            </w:r>
          </w:p>
        </w:tc>
        <w:tc>
          <w:tcPr>
            <w:tcW w:w="2088" w:type="dxa"/>
            <w:noWrap w:val="0"/>
            <w:vAlign w:val="center"/>
          </w:tcPr>
          <w:p w14:paraId="0ADEBEE1">
            <w:pPr>
              <w:pStyle w:val="24"/>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0"/>
                <w:highlight w:val="none"/>
                <w:u w:val="none" w:color="auto"/>
                <w:lang w:val="en-US" w:eastAsia="zh-CN" w:bidi="ar-SA"/>
              </w:rPr>
            </w:pPr>
            <w:r>
              <w:rPr>
                <w:rFonts w:hint="eastAsia" w:ascii="Times New Roman" w:hAnsi="Times New Roman" w:eastAsia="宋体" w:cs="Times New Roman"/>
                <w:color w:val="auto"/>
                <w:kern w:val="2"/>
                <w:sz w:val="21"/>
                <w:szCs w:val="20"/>
                <w:highlight w:val="none"/>
                <w:u w:val="none" w:color="auto"/>
                <w:lang w:val="en-US" w:eastAsia="zh-CN" w:bidi="ar-SA"/>
              </w:rPr>
              <w:t>/</w:t>
            </w:r>
          </w:p>
        </w:tc>
      </w:tr>
    </w:tbl>
    <w:p w14:paraId="797D6AAF">
      <w:pPr>
        <w:pStyle w:val="20"/>
        <w:bidi w:val="0"/>
        <w:rPr>
          <w:rFonts w:hint="eastAsia"/>
          <w:color w:val="auto"/>
          <w:u w:val="none" w:color="auto"/>
          <w:lang w:val="en-US" w:eastAsia="zh-CN"/>
        </w:rPr>
      </w:pPr>
      <w:r>
        <w:rPr>
          <w:rFonts w:hint="eastAsia"/>
          <w:color w:val="auto"/>
          <w:u w:val="none" w:color="auto"/>
          <w:lang w:val="en-US" w:eastAsia="zh-CN"/>
        </w:rPr>
        <w:t>（2）排水</w:t>
      </w:r>
    </w:p>
    <w:p w14:paraId="5D273F3D">
      <w:pPr>
        <w:pStyle w:val="20"/>
        <w:bidi w:val="0"/>
        <w:rPr>
          <w:rFonts w:hint="default"/>
          <w:color w:val="auto"/>
          <w:u w:val="none" w:color="auto"/>
          <w:lang w:val="en-US" w:eastAsia="zh-CN"/>
        </w:rPr>
      </w:pPr>
      <w:r>
        <w:rPr>
          <w:rFonts w:hint="eastAsia" w:cs="Times New Roman"/>
          <w:color w:val="auto"/>
          <w:u w:val="none"/>
          <w:lang w:eastAsia="zh-CN"/>
        </w:rPr>
        <w:t>本项目产品冷却水及设备冷却水循环使用，定期补充损耗，不外排；外排废水仅为</w:t>
      </w:r>
      <w:r>
        <w:rPr>
          <w:rFonts w:hint="default" w:ascii="Times New Roman" w:hAnsi="Times New Roman" w:cs="Times New Roman"/>
          <w:color w:val="auto"/>
          <w:u w:val="none"/>
        </w:rPr>
        <w:t>生活污水</w:t>
      </w:r>
      <w:r>
        <w:rPr>
          <w:rFonts w:hint="eastAsia" w:cs="Times New Roman"/>
          <w:color w:val="auto"/>
          <w:u w:val="none"/>
          <w:lang w:eastAsia="zh-CN"/>
        </w:rPr>
        <w:t>，</w:t>
      </w:r>
      <w:r>
        <w:rPr>
          <w:rFonts w:hint="default" w:ascii="Times New Roman" w:hAnsi="Times New Roman" w:cs="Times New Roman"/>
          <w:color w:val="auto"/>
          <w:u w:val="none"/>
        </w:rPr>
        <w:t>生活污水产生量约为</w:t>
      </w:r>
      <w:r>
        <w:rPr>
          <w:rFonts w:hint="eastAsia" w:ascii="Times New Roman" w:hAnsi="Times New Roman" w:cs="Times New Roman"/>
          <w:color w:val="auto"/>
          <w:u w:val="none"/>
          <w:lang w:val="en-US" w:eastAsia="zh-CN"/>
        </w:rPr>
        <w:t>6.96</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/d（</w:t>
      </w:r>
      <w:r>
        <w:rPr>
          <w:rFonts w:hint="eastAsia" w:ascii="Times New Roman" w:hAnsi="Times New Roman" w:cs="Times New Roman"/>
          <w:color w:val="auto"/>
          <w:u w:val="none"/>
          <w:lang w:val="en-US" w:eastAsia="zh-CN"/>
        </w:rPr>
        <w:t>2088</w:t>
      </w:r>
      <w:r>
        <w:rPr>
          <w:rFonts w:hint="default" w:ascii="Times New Roman" w:hAnsi="Times New Roman" w:cs="Times New Roman"/>
          <w:color w:val="auto"/>
          <w:u w:val="none"/>
        </w:rPr>
        <w:t>m</w:t>
      </w:r>
      <w:r>
        <w:rPr>
          <w:rFonts w:hint="default" w:ascii="Times New Roman" w:hAnsi="Times New Roman" w:cs="Times New Roman"/>
          <w:color w:val="auto"/>
          <w:u w:val="none"/>
          <w:vertAlign w:val="superscript"/>
        </w:rPr>
        <w:t>3</w:t>
      </w:r>
      <w:r>
        <w:rPr>
          <w:rFonts w:hint="default" w:ascii="Times New Roman" w:hAnsi="Times New Roman" w:cs="Times New Roman"/>
          <w:color w:val="auto"/>
          <w:u w:val="none"/>
        </w:rPr>
        <w:t>/a）</w:t>
      </w:r>
      <w:r>
        <w:rPr>
          <w:rFonts w:hint="eastAsia"/>
          <w:color w:val="auto"/>
          <w:u w:val="none" w:color="auto"/>
          <w:lang w:val="en-US" w:eastAsia="zh-CN"/>
        </w:rPr>
        <w:t>，生活污水经化粪池预处理后排入湖南汨罗高新技术产业开发区（循环园区）污水处理厂。厂房四周设有雨水沟，雨水经收集进入厂区初期雨水池，经沉淀后排入园区雨水管网。</w:t>
      </w:r>
    </w:p>
    <w:p w14:paraId="4AC5ACEB">
      <w:pPr>
        <w:pStyle w:val="20"/>
        <w:bidi w:val="0"/>
        <w:rPr>
          <w:rFonts w:hint="eastAsia"/>
          <w:color w:val="auto"/>
          <w:u w:val="none" w:color="auto"/>
          <w:lang w:val="en-US" w:eastAsia="zh-CN"/>
        </w:rPr>
      </w:pPr>
      <w:r>
        <w:rPr>
          <w:rFonts w:hint="eastAsia"/>
          <w:color w:val="auto"/>
          <w:u w:val="none" w:color="auto"/>
          <w:lang w:val="en-US" w:eastAsia="zh-CN"/>
        </w:rPr>
        <w:t>（3）供电</w:t>
      </w:r>
    </w:p>
    <w:p w14:paraId="3C5244B7">
      <w:pPr>
        <w:pStyle w:val="20"/>
        <w:bidi w:val="0"/>
        <w:rPr>
          <w:rFonts w:hint="eastAsia"/>
          <w:color w:val="auto"/>
          <w:u w:val="none" w:color="auto"/>
          <w:lang w:val="en-US" w:eastAsia="zh-CN"/>
        </w:rPr>
      </w:pPr>
      <w:r>
        <w:rPr>
          <w:rFonts w:hint="eastAsia"/>
          <w:color w:val="auto"/>
          <w:u w:val="none" w:color="auto"/>
          <w:lang w:val="en-US" w:eastAsia="zh-CN"/>
        </w:rPr>
        <w:t>本项目用电来源依托新市镇市政电网，供电容量为250kVA。</w:t>
      </w:r>
    </w:p>
    <w:p w14:paraId="3EAEF71D">
      <w:pPr>
        <w:pStyle w:val="20"/>
        <w:bidi w:val="0"/>
        <w:rPr>
          <w:rFonts w:hint="eastAsia"/>
          <w:color w:val="auto"/>
          <w:u w:val="none" w:color="auto"/>
          <w:lang w:val="en-US" w:eastAsia="zh-CN"/>
        </w:rPr>
      </w:pPr>
      <w:r>
        <w:rPr>
          <w:rFonts w:hint="eastAsia"/>
          <w:color w:val="auto"/>
          <w:u w:val="none" w:color="auto"/>
          <w:lang w:val="en-US" w:eastAsia="zh-CN"/>
        </w:rPr>
        <w:t>（4）储运系统</w:t>
      </w:r>
    </w:p>
    <w:p w14:paraId="4B022C67">
      <w:pPr>
        <w:pStyle w:val="20"/>
        <w:bidi w:val="0"/>
        <w:rPr>
          <w:rFonts w:hint="eastAsia"/>
          <w:color w:val="auto"/>
          <w:u w:val="none" w:color="auto"/>
          <w:lang w:val="en-US" w:eastAsia="zh-CN"/>
        </w:rPr>
      </w:pPr>
      <w:r>
        <w:rPr>
          <w:rFonts w:hint="eastAsia"/>
          <w:color w:val="auto"/>
          <w:u w:val="none" w:color="auto"/>
          <w:lang w:val="en-US" w:eastAsia="zh-CN"/>
        </w:rPr>
        <w:t>项目原辅材料和产品主要通过汽车运输完成。主要采用公路运输。项目厂外的运输主要依赖社会运输力量。原辅材料及产品储存在本项目仓库内。</w:t>
      </w:r>
    </w:p>
    <w:p w14:paraId="44CCFC64">
      <w:pPr>
        <w:pStyle w:val="20"/>
        <w:bidi w:val="0"/>
        <w:rPr>
          <w:rFonts w:hint="eastAsia"/>
          <w:color w:val="auto"/>
          <w:u w:val="none" w:color="auto"/>
          <w:lang w:val="en-US" w:eastAsia="zh-CN"/>
        </w:rPr>
      </w:pPr>
      <w:r>
        <w:rPr>
          <w:rFonts w:hint="eastAsia"/>
          <w:color w:val="auto"/>
          <w:u w:val="none" w:color="auto"/>
          <w:lang w:val="en-US" w:eastAsia="zh-CN"/>
        </w:rPr>
        <w:t>（5）消防</w:t>
      </w:r>
    </w:p>
    <w:p w14:paraId="0E1D6989">
      <w:pPr>
        <w:pStyle w:val="20"/>
        <w:bidi w:val="0"/>
        <w:rPr>
          <w:rFonts w:hint="eastAsia"/>
          <w:color w:val="auto"/>
          <w:u w:val="none" w:color="auto"/>
          <w:lang w:val="en-US" w:eastAsia="zh-CN"/>
        </w:rPr>
      </w:pPr>
      <w:r>
        <w:rPr>
          <w:rFonts w:hint="eastAsia"/>
          <w:color w:val="auto"/>
          <w:u w:val="none" w:color="auto"/>
          <w:lang w:val="en-US" w:eastAsia="zh-CN"/>
        </w:rPr>
        <w:t>厂内建、构筑物的防火间距一般按一级或二级耐火等级设计。各功能区四周均有道路。</w:t>
      </w:r>
    </w:p>
    <w:p w14:paraId="1CC14BBC">
      <w:pPr>
        <w:pStyle w:val="20"/>
        <w:bidi w:val="0"/>
        <w:rPr>
          <w:rFonts w:hint="eastAsia"/>
          <w:color w:val="auto"/>
          <w:u w:val="none" w:color="auto"/>
          <w:lang w:val="en-US" w:eastAsia="zh-CN"/>
        </w:rPr>
      </w:pPr>
      <w:r>
        <w:rPr>
          <w:rFonts w:hint="eastAsia"/>
          <w:color w:val="auto"/>
          <w:u w:val="none" w:color="auto"/>
          <w:lang w:val="en-US" w:eastAsia="zh-CN"/>
        </w:rPr>
        <w:t>项目在总体布置上按照消防有关规定配备足够的消防器材，各建筑物内应按规范配置磷酸铵盐干粉灭火器等移动灭火器材。生产车间的消防设计足够的消火栓系统设施，消防用电由双电源切换箱供给，消防应急灯自带应急电源。建筑设计和建筑物间距能满足防火规范的要求，为保证生产安全、方便疏散，生产车间出入口均设应急指示灯。</w:t>
      </w:r>
    </w:p>
    <w:p w14:paraId="117016BD">
      <w:pPr>
        <w:pStyle w:val="20"/>
        <w:bidi w:val="0"/>
        <w:rPr>
          <w:rFonts w:hint="eastAsia"/>
          <w:color w:val="auto"/>
          <w:u w:val="none" w:color="auto"/>
          <w:lang w:val="en-US" w:eastAsia="zh-CN"/>
        </w:rPr>
      </w:pPr>
      <w:r>
        <w:rPr>
          <w:rFonts w:hint="eastAsia"/>
          <w:color w:val="auto"/>
          <w:u w:val="none" w:color="auto"/>
          <w:lang w:val="en-US" w:eastAsia="zh-CN"/>
        </w:rPr>
        <w:t>（6）劳动定员</w:t>
      </w:r>
    </w:p>
    <w:p w14:paraId="01CEAF54">
      <w:pPr>
        <w:pStyle w:val="20"/>
        <w:bidi w:val="0"/>
        <w:rPr>
          <w:rFonts w:hint="eastAsia"/>
          <w:color w:val="auto"/>
          <w:u w:val="none" w:color="auto"/>
          <w:lang w:val="en-US" w:eastAsia="zh-CN"/>
        </w:rPr>
      </w:pPr>
      <w:r>
        <w:rPr>
          <w:rFonts w:hint="eastAsia"/>
          <w:color w:val="auto"/>
          <w:u w:val="none" w:color="auto"/>
          <w:lang w:val="en-US" w:eastAsia="zh-CN"/>
        </w:rPr>
        <w:t>本项目大板生产线实行16小时2班工作制，2#厂房加工线实行8小时1班工作制，年工作300天。项目需职工人数60人。</w:t>
      </w:r>
    </w:p>
    <w:p w14:paraId="53940CC5">
      <w:pPr>
        <w:pStyle w:val="3"/>
        <w:bidi w:val="0"/>
        <w:rPr>
          <w:rFonts w:hint="eastAsia"/>
          <w:color w:val="auto"/>
          <w:u w:val="none" w:color="auto"/>
          <w:lang w:val="en-US" w:eastAsia="zh-CN"/>
        </w:rPr>
      </w:pPr>
      <w:bookmarkStart w:id="628" w:name="_Toc9466"/>
      <w:bookmarkStart w:id="629" w:name="_Toc11531"/>
      <w:bookmarkStart w:id="630" w:name="_Toc30897"/>
      <w:r>
        <w:rPr>
          <w:rFonts w:hint="eastAsia"/>
          <w:color w:val="auto"/>
          <w:u w:val="none" w:color="auto"/>
          <w:lang w:val="en-US" w:eastAsia="zh-CN"/>
        </w:rPr>
        <w:t>4.2工艺流程</w:t>
      </w:r>
      <w:bookmarkEnd w:id="628"/>
      <w:bookmarkEnd w:id="629"/>
      <w:bookmarkEnd w:id="630"/>
    </w:p>
    <w:p w14:paraId="40EB4EAE">
      <w:pPr>
        <w:pStyle w:val="20"/>
        <w:bidi w:val="0"/>
        <w:rPr>
          <w:rFonts w:hint="eastAsia"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本项目产品为PVC</w:t>
      </w:r>
      <w:r>
        <w:rPr>
          <w:rFonts w:hint="eastAsia" w:ascii="Times New Roman" w:hAnsi="Times New Roman" w:eastAsia="宋体" w:cs="Times New Roman"/>
          <w:color w:val="auto"/>
          <w:highlight w:val="none"/>
          <w:u w:val="none" w:color="auto"/>
          <w:lang w:val="en-US" w:eastAsia="zh-CN"/>
        </w:rPr>
        <w:t>大板</w:t>
      </w:r>
      <w:r>
        <w:rPr>
          <w:rFonts w:hint="default" w:ascii="Times New Roman" w:hAnsi="Times New Roman" w:eastAsia="宋体" w:cs="Times New Roman"/>
          <w:color w:val="auto"/>
          <w:highlight w:val="none"/>
          <w:u w:val="none" w:color="auto"/>
          <w:lang w:val="en-US" w:eastAsia="zh-CN"/>
        </w:rPr>
        <w:t>与PVC</w:t>
      </w:r>
      <w:r>
        <w:rPr>
          <w:rFonts w:hint="eastAsia" w:ascii="Times New Roman" w:hAnsi="Times New Roman" w:eastAsia="宋体" w:cs="Times New Roman"/>
          <w:color w:val="auto"/>
          <w:highlight w:val="none"/>
          <w:u w:val="none" w:color="auto"/>
          <w:lang w:val="en-US" w:eastAsia="zh-CN"/>
        </w:rPr>
        <w:t>装饰线条</w:t>
      </w:r>
      <w:r>
        <w:rPr>
          <w:rFonts w:hint="default" w:ascii="Times New Roman" w:hAnsi="Times New Roman" w:eastAsia="宋体" w:cs="Times New Roman"/>
          <w:color w:val="auto"/>
          <w:highlight w:val="none"/>
          <w:u w:val="none" w:color="auto"/>
          <w:lang w:val="en-US" w:eastAsia="zh-CN"/>
        </w:rPr>
        <w:t>，</w:t>
      </w:r>
      <w:r>
        <w:rPr>
          <w:rFonts w:hint="eastAsia" w:ascii="Times New Roman" w:hAnsi="Times New Roman" w:eastAsia="宋体" w:cs="Times New Roman"/>
          <w:color w:val="auto"/>
          <w:highlight w:val="none"/>
          <w:u w:val="none" w:color="auto"/>
          <w:lang w:val="en-US" w:eastAsia="zh-CN"/>
        </w:rPr>
        <w:t>其中PVC大板为生产线，PVC装饰线条为加工线。</w:t>
      </w:r>
    </w:p>
    <w:p w14:paraId="19A8DCE5">
      <w:pPr>
        <w:pStyle w:val="20"/>
        <w:bidi w:val="0"/>
        <w:rPr>
          <w:rFonts w:hint="default" w:ascii="Times New Roman" w:hAnsi="Times New Roman" w:eastAsia="宋体" w:cs="Times New Roman"/>
          <w:color w:val="auto"/>
          <w:highlight w:val="none"/>
          <w:u w:val="none" w:color="auto"/>
          <w:lang w:val="en-US" w:eastAsia="zh-CN"/>
        </w:rPr>
      </w:pPr>
      <w:r>
        <w:rPr>
          <w:rFonts w:hint="eastAsia" w:ascii="Times New Roman" w:hAnsi="Times New Roman" w:eastAsia="宋体" w:cs="Times New Roman"/>
          <w:color w:val="auto"/>
          <w:highlight w:val="none"/>
          <w:u w:val="none" w:color="auto"/>
          <w:lang w:val="en-US" w:eastAsia="zh-CN"/>
        </w:rPr>
        <w:t>1、PVC大板生产线</w:t>
      </w:r>
    </w:p>
    <w:p w14:paraId="3FA501AB">
      <w:pPr>
        <w:pStyle w:val="22"/>
        <w:bidi w:val="0"/>
        <w:rPr>
          <w:rFonts w:hint="eastAsia" w:ascii="Times New Roman" w:hAnsi="Times New Roman" w:eastAsia="宋体" w:cs="Times New Roman"/>
          <w:color w:val="auto"/>
          <w:sz w:val="24"/>
          <w:u w:val="none" w:color="auto"/>
          <w:lang w:eastAsia="zh-CN"/>
        </w:rPr>
      </w:pPr>
      <w:r>
        <w:rPr>
          <w:rFonts w:hint="eastAsia" w:ascii="Times New Roman" w:hAnsi="Times New Roman" w:eastAsia="宋体" w:cs="Times New Roman"/>
          <w:color w:val="auto"/>
          <w:sz w:val="24"/>
          <w:u w:val="none" w:color="auto"/>
          <w:lang w:eastAsia="zh-CN"/>
        </w:rPr>
        <w:object>
          <v:shape id="_x0000_i1038" o:spt="75" type="#_x0000_t75" style="height:538.5pt;width:407.25pt;" o:ole="t" filled="f" o:preferrelative="t" stroked="f" coordsize="21600,21600">
            <v:path/>
            <v:fill on="f" focussize="0,0"/>
            <v:stroke on="f"/>
            <v:imagedata r:id="rId34" o:title=""/>
            <o:lock v:ext="edit" aspectratio="f"/>
            <w10:wrap type="none"/>
            <w10:anchorlock/>
          </v:shape>
          <o:OLEObject Type="Embed" ProgID="Visio.Drawing.15" ShapeID="_x0000_i1038" DrawAspect="Content" ObjectID="_1468075730" r:id="rId33">
            <o:LockedField>false</o:LockedField>
          </o:OLEObject>
        </w:object>
      </w:r>
    </w:p>
    <w:p w14:paraId="58804640">
      <w:pPr>
        <w:pStyle w:val="30"/>
        <w:bidi w:val="0"/>
        <w:rPr>
          <w:rFonts w:hint="eastAsia"/>
          <w:color w:val="auto"/>
          <w:u w:val="none" w:color="auto"/>
          <w:lang w:val="en-US" w:eastAsia="zh-CN"/>
        </w:rPr>
      </w:pPr>
      <w:r>
        <w:rPr>
          <w:rFonts w:hint="eastAsia"/>
          <w:color w:val="auto"/>
          <w:u w:val="none" w:color="auto"/>
          <w:lang w:val="en-US" w:eastAsia="zh-CN"/>
        </w:rPr>
        <w:t>图4.2-1 PVC大板生产工艺及产污节点图</w:t>
      </w:r>
    </w:p>
    <w:p w14:paraId="3F82E6DD">
      <w:pPr>
        <w:pStyle w:val="20"/>
        <w:bidi w:val="0"/>
        <w:rPr>
          <w:rFonts w:hint="default"/>
          <w:color w:val="auto"/>
          <w:u w:val="none" w:color="auto"/>
          <w:lang w:val="en-US" w:eastAsia="zh-CN"/>
        </w:rPr>
      </w:pPr>
      <w:r>
        <w:rPr>
          <w:rFonts w:hint="eastAsia"/>
          <w:color w:val="auto"/>
          <w:u w:val="none" w:color="auto"/>
          <w:lang w:val="en-US" w:eastAsia="zh-CN"/>
        </w:rPr>
        <w:t>工艺流程简述：</w:t>
      </w:r>
    </w:p>
    <w:p w14:paraId="0A0C539D">
      <w:pPr>
        <w:pStyle w:val="20"/>
        <w:bidi w:val="0"/>
        <w:rPr>
          <w:rFonts w:hint="eastAsia"/>
          <w:color w:val="auto"/>
          <w:u w:val="none" w:color="auto"/>
          <w:lang w:val="en-US" w:eastAsia="zh-CN"/>
        </w:rPr>
      </w:pPr>
      <w:r>
        <w:rPr>
          <w:rFonts w:hint="eastAsia"/>
          <w:color w:val="auto"/>
          <w:u w:val="none" w:color="auto"/>
          <w:lang w:val="en-US" w:eastAsia="zh-CN"/>
        </w:rPr>
        <w:t>（1）原料入库：外购的原料入库待加工。</w:t>
      </w:r>
    </w:p>
    <w:p w14:paraId="7E871FF8">
      <w:pPr>
        <w:pStyle w:val="20"/>
        <w:bidi w:val="0"/>
        <w:rPr>
          <w:rFonts w:hint="eastAsia"/>
          <w:color w:val="auto"/>
          <w:u w:val="none" w:color="auto"/>
          <w:lang w:val="en-US" w:eastAsia="zh-CN"/>
        </w:rPr>
      </w:pPr>
      <w:r>
        <w:rPr>
          <w:rFonts w:hint="eastAsia"/>
          <w:color w:val="auto"/>
          <w:u w:val="none" w:color="auto"/>
          <w:lang w:val="en-US" w:eastAsia="zh-CN"/>
        </w:rPr>
        <w:t>（2）破碎：项目产生的不合格产品、边角料通过破碎机后重新用于生产。对于回用的项目不合格产品，要求未被使用过、未受到油污等污染的。</w:t>
      </w:r>
    </w:p>
    <w:p w14:paraId="0C4D9589">
      <w:pPr>
        <w:pStyle w:val="20"/>
        <w:bidi w:val="0"/>
        <w:rPr>
          <w:rFonts w:hint="eastAsia"/>
          <w:color w:val="auto"/>
          <w:u w:val="none" w:color="auto"/>
          <w:lang w:val="en-US" w:eastAsia="zh-CN"/>
        </w:rPr>
      </w:pPr>
      <w:r>
        <w:rPr>
          <w:rFonts w:hint="eastAsia"/>
          <w:color w:val="auto"/>
          <w:u w:val="none" w:color="auto"/>
          <w:lang w:val="en-US" w:eastAsia="zh-CN"/>
        </w:rPr>
        <w:t>（3）磨粉：本项目使用的各种粒料以及经破碎后回用的不合格品、边角料，根据种类的不同分别采用磨粉机磨成粉末状，以备后续生产使用。</w:t>
      </w:r>
    </w:p>
    <w:p w14:paraId="58442CBE">
      <w:pPr>
        <w:pStyle w:val="20"/>
        <w:bidi w:val="0"/>
        <w:rPr>
          <w:rFonts w:hint="default"/>
          <w:color w:val="auto"/>
          <w:u w:val="none" w:color="auto"/>
          <w:lang w:val="en-US" w:eastAsia="zh-CN"/>
        </w:rPr>
      </w:pPr>
      <w:r>
        <w:rPr>
          <w:rFonts w:hint="eastAsia"/>
          <w:color w:val="auto"/>
          <w:u w:val="none" w:color="auto"/>
          <w:lang w:val="en-US" w:eastAsia="zh-CN"/>
        </w:rPr>
        <w:t>（4）供料：本项目设置一套全自动供料系统，处理好的PVC再生塑料由磨粉机通过管道直接输入供料系统，其他的外购粉料中，主要原料采用叉车及提升机提升至投料口，由吨包底部进行投料，投料产生的粉尘由设备自带布袋除尘器收集回用，其他辅料采用人工投入供料系统中的小料投料设备，小料投料口为半封闭状态，投料后通过管道送至供料系统。所有物料根据产品要求通过供料系统智能控制系统进行配料。</w:t>
      </w:r>
    </w:p>
    <w:p w14:paraId="1E2C2D75">
      <w:pPr>
        <w:pStyle w:val="20"/>
        <w:bidi w:val="0"/>
        <w:rPr>
          <w:rFonts w:hint="eastAsia"/>
          <w:color w:val="auto"/>
          <w:u w:val="none" w:color="auto"/>
          <w:lang w:val="en-US" w:eastAsia="zh-CN"/>
        </w:rPr>
      </w:pPr>
      <w:r>
        <w:rPr>
          <w:rFonts w:hint="eastAsia"/>
          <w:color w:val="auto"/>
          <w:u w:val="none" w:color="auto"/>
          <w:lang w:val="en-US" w:eastAsia="zh-CN"/>
        </w:rPr>
        <w:t>（5）搅拌混合：供料系统中已配置好的物料通过管道输送至搅拌机内进行混合搅拌。目的是使各种物料均匀混合，并达到一定程度的塑化。物料经与机械内璧的高速碰撞摩擦快速升温至设定温度，通过控制搅拌机转速，使其温度控制在100℃以下，搅拌时间约20分钟，搅拌混合完毕后的物料冷却至40℃以下后经搅拌机出料口出料至料仓待用。</w:t>
      </w:r>
    </w:p>
    <w:p w14:paraId="077B9E8E">
      <w:pPr>
        <w:pStyle w:val="20"/>
        <w:bidi w:val="0"/>
        <w:rPr>
          <w:rFonts w:hint="eastAsia"/>
          <w:color w:val="auto"/>
          <w:u w:val="none" w:color="auto"/>
          <w:lang w:val="en-US" w:eastAsia="zh-CN"/>
        </w:rPr>
      </w:pPr>
      <w:r>
        <w:rPr>
          <w:rFonts w:hint="eastAsia"/>
          <w:color w:val="auto"/>
          <w:u w:val="none" w:color="auto"/>
          <w:lang w:val="en-US" w:eastAsia="zh-CN"/>
        </w:rPr>
        <w:t>（6）挤出成型：原料进入挤出机仓室，经电加热后，原料呈熔融状态。熔融的物料、通过模具成型，初步成型后的半成品通过循环冷却水直接冷却。挤出工段加热采用电加热，PVC料物料温度在170℃左右，时间为1h。</w:t>
      </w:r>
    </w:p>
    <w:p w14:paraId="5302BCC9">
      <w:pPr>
        <w:pStyle w:val="20"/>
        <w:bidi w:val="0"/>
        <w:rPr>
          <w:rFonts w:hint="eastAsia"/>
          <w:color w:val="auto"/>
          <w:u w:val="none" w:color="auto"/>
          <w:lang w:val="en-US" w:eastAsia="zh-CN"/>
        </w:rPr>
      </w:pPr>
      <w:r>
        <w:rPr>
          <w:rFonts w:hint="eastAsia"/>
          <w:color w:val="auto"/>
          <w:u w:val="none" w:color="auto"/>
          <w:lang w:val="en-US" w:eastAsia="zh-CN"/>
        </w:rPr>
        <w:t>（7）直接水冷却：冷却的作用是使板材尺寸定型，冷却至36℃左右。本项目产品冷却采用循环冷却水直接冷却，即冷却水在隔套内直接与产品接触，产品冷却水（直接冷却水）循环使用，按时补充损耗，定期捞渣，不外排。</w:t>
      </w:r>
    </w:p>
    <w:p w14:paraId="15C44190">
      <w:pPr>
        <w:pStyle w:val="20"/>
        <w:bidi w:val="0"/>
        <w:rPr>
          <w:rFonts w:hint="eastAsia"/>
          <w:color w:val="auto"/>
          <w:u w:val="none" w:color="auto"/>
          <w:lang w:val="en-US" w:eastAsia="zh-CN"/>
        </w:rPr>
      </w:pPr>
      <w:r>
        <w:rPr>
          <w:rFonts w:hint="eastAsia"/>
          <w:color w:val="auto"/>
          <w:u w:val="none" w:color="auto"/>
          <w:lang w:val="en-US" w:eastAsia="zh-CN"/>
        </w:rPr>
        <w:t>（8）风机吹干：使用风机直接对冷却后的板材吹风，吹干表面水分。</w:t>
      </w:r>
    </w:p>
    <w:p w14:paraId="7CF9A8B6">
      <w:pPr>
        <w:pStyle w:val="20"/>
        <w:bidi w:val="0"/>
        <w:rPr>
          <w:rFonts w:hint="eastAsia"/>
          <w:color w:val="auto"/>
          <w:u w:val="none" w:color="auto"/>
          <w:lang w:val="en-US" w:eastAsia="zh-CN"/>
        </w:rPr>
      </w:pPr>
      <w:r>
        <w:rPr>
          <w:rFonts w:hint="eastAsia"/>
          <w:color w:val="auto"/>
          <w:u w:val="none" w:color="auto"/>
          <w:lang w:val="en-US" w:eastAsia="zh-CN"/>
        </w:rPr>
        <w:t>（9）覆膜：覆膜所用材料为PVC包装膜，采用自动覆膜机进行，起到保护和装饰功能。仅进行单面覆膜。覆膜时为增强膜与板材表面包裹的紧密性，需根据客户要求使用溶剂型聚氨酯包覆胶、水性聚氨酯热熔胶等胶粘剂增强附着力，板材覆膜机自带泵吸装置，冷胶或经加热处理的热熔胶通过胶管泵至辊轮上方，采用机械滚涂的施胶方式进行涂胶，覆膜同时对PVC包装膜进行烤灼，采用电加热，温度最高为120℃（夏季高温时仅需加热至60℃），时间约5~10s（使用热熔胶的覆膜机配备加热装置，热熔胶使用前直接密封加热，加热成液态后通过胶管泵吸）。</w:t>
      </w:r>
    </w:p>
    <w:p w14:paraId="5126E2A6">
      <w:pPr>
        <w:pStyle w:val="20"/>
        <w:bidi w:val="0"/>
        <w:rPr>
          <w:rFonts w:hint="eastAsia"/>
          <w:color w:val="auto"/>
          <w:u w:val="none" w:color="auto"/>
          <w:lang w:val="en-US" w:eastAsia="zh-CN"/>
        </w:rPr>
      </w:pPr>
      <w:r>
        <w:rPr>
          <w:rFonts w:hint="eastAsia"/>
          <w:color w:val="auto"/>
          <w:u w:val="none" w:color="auto"/>
          <w:lang w:val="en-US" w:eastAsia="zh-CN"/>
        </w:rPr>
        <w:t>（10）切割：冷却好的材料由裁切设备裁切。本项目裁切属于机器闸刀快速裁切，产生粉尘量可忽略不计，裁切过程中产生边角废料收集后外售。</w:t>
      </w:r>
    </w:p>
    <w:p w14:paraId="488B85AD">
      <w:pPr>
        <w:pStyle w:val="20"/>
        <w:bidi w:val="0"/>
        <w:rPr>
          <w:rFonts w:hint="eastAsia"/>
          <w:color w:val="auto"/>
          <w:u w:val="none" w:color="auto"/>
          <w:lang w:val="en-US" w:eastAsia="zh-CN"/>
        </w:rPr>
      </w:pPr>
      <w:r>
        <w:rPr>
          <w:rFonts w:hint="eastAsia"/>
          <w:color w:val="auto"/>
          <w:u w:val="none" w:color="auto"/>
          <w:lang w:val="en-US" w:eastAsia="zh-CN"/>
        </w:rPr>
        <w:t>（11）检验入库：切割后的产品进入人工检验工序，检测出来的不合格产品回用，合格产品入库待售。</w:t>
      </w:r>
    </w:p>
    <w:p w14:paraId="0F2CE5DE">
      <w:pPr>
        <w:pStyle w:val="20"/>
        <w:bidi w:val="0"/>
        <w:rPr>
          <w:rFonts w:hint="eastAsia"/>
          <w:color w:val="auto"/>
          <w:u w:val="none" w:color="auto"/>
          <w:lang w:val="en-US" w:eastAsia="zh-CN"/>
        </w:rPr>
      </w:pPr>
      <w:r>
        <w:rPr>
          <w:rFonts w:hint="eastAsia"/>
          <w:color w:val="auto"/>
          <w:u w:val="none" w:color="auto"/>
          <w:lang w:val="en-US" w:eastAsia="zh-CN"/>
        </w:rPr>
        <w:t>本项目无造粒工序，本项目所有加热均采用电加热，不使用其他能源。</w:t>
      </w:r>
    </w:p>
    <w:p w14:paraId="4880C881">
      <w:pPr>
        <w:pStyle w:val="20"/>
        <w:bidi w:val="0"/>
        <w:rPr>
          <w:rFonts w:hint="default" w:ascii="Times New Roman" w:hAnsi="Times New Roman" w:eastAsia="宋体" w:cs="Times New Roman"/>
          <w:color w:val="auto"/>
          <w:u w:val="none" w:color="auto"/>
          <w:lang w:val="en-US" w:eastAsia="zh-CN"/>
        </w:rPr>
      </w:pPr>
      <w:r>
        <w:rPr>
          <w:rFonts w:hint="eastAsia"/>
          <w:color w:val="auto"/>
          <w:u w:val="none" w:color="auto"/>
          <w:lang w:val="en-US" w:eastAsia="zh-CN"/>
        </w:rPr>
        <w:t>注：本项目原辅材料中有使用再生塑料颗粒，但再生塑料颗粒均来源于合法塑料回收企业，且塑料回收料已被处理完毕。故本项目无废旧塑料清洗、造粒等工序，严禁购入医疗废物。同时本项目不得从事废旧塑料清洗、造粒等废旧塑料预处理加工。回用的项目边角料和不合格产品，要求未被使用过、未受到油污等污染</w:t>
      </w:r>
      <w:r>
        <w:rPr>
          <w:rFonts w:hint="default" w:ascii="Times New Roman" w:hAnsi="Times New Roman" w:eastAsia="宋体" w:cs="Times New Roman"/>
          <w:color w:val="auto"/>
          <w:u w:val="none" w:color="auto"/>
          <w:lang w:val="en-US" w:eastAsia="zh-CN"/>
        </w:rPr>
        <w:t>。</w:t>
      </w:r>
    </w:p>
    <w:p w14:paraId="34F6F015">
      <w:pPr>
        <w:pStyle w:val="20"/>
        <w:bidi w:val="0"/>
        <w:rPr>
          <w:rFonts w:hint="default"/>
          <w:color w:val="auto"/>
          <w:highlight w:val="none"/>
          <w:u w:val="none" w:color="auto"/>
          <w:lang w:val="en-US" w:eastAsia="zh-CN"/>
        </w:rPr>
      </w:pPr>
      <w:r>
        <w:rPr>
          <w:rFonts w:hint="eastAsia"/>
          <w:color w:val="auto"/>
          <w:highlight w:val="none"/>
          <w:u w:val="none" w:color="auto"/>
          <w:lang w:val="en-US" w:eastAsia="zh-CN"/>
        </w:rPr>
        <w:t>2、PVC装饰线条加工线</w:t>
      </w:r>
    </w:p>
    <w:p w14:paraId="1009BF18">
      <w:pPr>
        <w:pStyle w:val="22"/>
        <w:bidi w:val="0"/>
        <w:rPr>
          <w:rFonts w:hint="eastAsia" w:ascii="Times New Roman" w:hAnsi="Times New Roman" w:eastAsia="宋体" w:cs="Times New Roman"/>
          <w:color w:val="auto"/>
          <w:sz w:val="24"/>
          <w:u w:val="none" w:color="auto"/>
          <w:lang w:eastAsia="zh-CN"/>
        </w:rPr>
      </w:pPr>
      <w:r>
        <w:rPr>
          <w:rFonts w:hint="eastAsia" w:ascii="Times New Roman" w:hAnsi="Times New Roman" w:eastAsia="宋体" w:cs="Times New Roman"/>
          <w:color w:val="auto"/>
          <w:sz w:val="24"/>
          <w:u w:val="none" w:color="auto"/>
          <w:lang w:eastAsia="zh-CN"/>
        </w:rPr>
        <w:object>
          <v:shape id="_x0000_i1039" o:spt="75" type="#_x0000_t75" style="height:204.75pt;width:321.75pt;" o:ole="t" filled="f" o:preferrelative="t" stroked="f" coordsize="21600,21600">
            <v:path/>
            <v:fill on="f" focussize="0,0"/>
            <v:stroke on="f"/>
            <v:imagedata r:id="rId36" o:title=""/>
            <o:lock v:ext="edit" aspectratio="f"/>
            <w10:wrap type="none"/>
            <w10:anchorlock/>
          </v:shape>
          <o:OLEObject Type="Embed" ProgID="Visio.Drawing.15" ShapeID="_x0000_i1039" DrawAspect="Content" ObjectID="_1468075731" r:id="rId35">
            <o:LockedField>false</o:LockedField>
          </o:OLEObject>
        </w:object>
      </w:r>
    </w:p>
    <w:p w14:paraId="16645AE8">
      <w:pPr>
        <w:pStyle w:val="30"/>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图4.2-2 PVC装饰线条加工工艺及产污节点图</w:t>
      </w:r>
    </w:p>
    <w:p w14:paraId="2BBEFEDB">
      <w:pPr>
        <w:pStyle w:val="20"/>
        <w:bidi w:val="0"/>
        <w:rPr>
          <w:rFonts w:hint="eastAsia"/>
          <w:color w:val="auto"/>
          <w:u w:val="none" w:color="auto"/>
          <w:lang w:val="en-US" w:eastAsia="zh-CN"/>
        </w:rPr>
      </w:pPr>
      <w:r>
        <w:rPr>
          <w:rFonts w:hint="eastAsia"/>
          <w:color w:val="auto"/>
          <w:u w:val="none" w:color="auto"/>
          <w:lang w:val="en-US" w:eastAsia="zh-CN"/>
        </w:rPr>
        <w:t>工艺流程简述：</w:t>
      </w:r>
    </w:p>
    <w:p w14:paraId="6001878B">
      <w:pPr>
        <w:pStyle w:val="20"/>
        <w:bidi w:val="0"/>
        <w:rPr>
          <w:rFonts w:hint="default"/>
          <w:color w:val="auto"/>
          <w:u w:val="none" w:color="auto"/>
          <w:lang w:val="en-US" w:eastAsia="zh-CN"/>
        </w:rPr>
      </w:pPr>
      <w:r>
        <w:rPr>
          <w:rFonts w:hint="eastAsia"/>
          <w:color w:val="auto"/>
          <w:u w:val="none" w:color="auto"/>
          <w:lang w:val="en-US" w:eastAsia="zh-CN"/>
        </w:rPr>
        <w:t>裁切：覆膜所用材料为与板材尺寸一致的PVC包装膜，用于装饰线条前需由裁切设备裁切至合适尺寸；本项目裁切属于机器闸刀快速裁切，且裁切材料为PVC膜，为软质材料，产生粉尘量可忽略不计，裁切过程中产生的边角料收集后回用于PVC大板生产线。</w:t>
      </w:r>
    </w:p>
    <w:p w14:paraId="7B959EE1">
      <w:pPr>
        <w:pStyle w:val="20"/>
        <w:bidi w:val="0"/>
        <w:rPr>
          <w:rFonts w:hint="eastAsia"/>
          <w:color w:val="auto"/>
          <w:u w:val="none" w:color="auto"/>
          <w:lang w:val="en-US" w:eastAsia="zh-CN"/>
        </w:rPr>
      </w:pPr>
      <w:r>
        <w:rPr>
          <w:rFonts w:hint="eastAsia"/>
          <w:color w:val="auto"/>
          <w:u w:val="none" w:color="auto"/>
          <w:lang w:val="en-US" w:eastAsia="zh-CN"/>
        </w:rPr>
        <w:t xml:space="preserve">覆膜：外购的PVC装饰线条半成品通过人工送至覆膜机上待用；覆膜所用材料为PVC包装膜，采用自动覆膜机进行，起到保护和装饰功能，线条进行包覆。覆膜时为增强膜与板材表面包裹的紧密性，需使用水性聚氨酯墙板专用胶增强附着力，使用前倒入覆膜机自带密闭胶盒，采用机械滚涂的施胶方式进行涂胶，覆膜同时对PVC包装膜进行烤灼，采用电加热，温度最高为120℃（夏季高温时仅需加热至60℃），时间约5~10s。 </w:t>
      </w:r>
    </w:p>
    <w:p w14:paraId="4DA90D51">
      <w:pPr>
        <w:pStyle w:val="20"/>
        <w:bidi w:val="0"/>
        <w:rPr>
          <w:rFonts w:hint="eastAsia"/>
          <w:color w:val="auto"/>
          <w:highlight w:val="none"/>
          <w:u w:val="none" w:color="auto"/>
          <w:lang w:val="en-US" w:eastAsia="zh-CN"/>
        </w:rPr>
      </w:pPr>
      <w:r>
        <w:rPr>
          <w:rFonts w:hint="eastAsia"/>
          <w:color w:val="auto"/>
          <w:u w:val="none" w:color="auto"/>
          <w:lang w:val="en-US" w:eastAsia="zh-CN"/>
        </w:rPr>
        <w:t>检验打包入库：覆膜后的产品进入人工检验工序，检验出来的不合格产品回用于PVC大板生产线，合格产品用纸盒打包入库待售。</w:t>
      </w:r>
    </w:p>
    <w:p w14:paraId="114D0973">
      <w:pPr>
        <w:pStyle w:val="20"/>
        <w:bidi w:val="0"/>
        <w:rPr>
          <w:rFonts w:hint="eastAsia"/>
          <w:color w:val="auto"/>
          <w:highlight w:val="none"/>
          <w:u w:val="none" w:color="auto"/>
          <w:lang w:val="en-US" w:eastAsia="zh-CN"/>
        </w:rPr>
      </w:pPr>
      <w:r>
        <w:rPr>
          <w:rFonts w:hint="eastAsia"/>
          <w:color w:val="auto"/>
          <w:highlight w:val="none"/>
          <w:u w:val="none" w:color="auto"/>
          <w:lang w:val="en-US" w:eastAsia="zh-CN"/>
        </w:rPr>
        <w:t>本项目营运期主要污染工序包括废气、废水、噪声和固废。污染环节如下表：</w:t>
      </w:r>
    </w:p>
    <w:p w14:paraId="73BC76B6">
      <w:pPr>
        <w:pStyle w:val="22"/>
        <w:bidi w:val="0"/>
        <w:rPr>
          <w:rFonts w:hint="eastAsia"/>
          <w:color w:val="auto"/>
          <w:u w:val="none" w:color="auto"/>
          <w:lang w:val="en-US" w:eastAsia="zh-CN"/>
        </w:rPr>
      </w:pPr>
      <w:r>
        <w:rPr>
          <w:rFonts w:hint="eastAsia"/>
          <w:color w:val="auto"/>
          <w:u w:val="none" w:color="auto"/>
          <w:lang w:val="en-US" w:eastAsia="zh-CN"/>
        </w:rPr>
        <w:t>表4.2-1 本项目营运期污染环节</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401"/>
        <w:gridCol w:w="1584"/>
        <w:gridCol w:w="1529"/>
        <w:gridCol w:w="2861"/>
      </w:tblGrid>
      <w:tr w14:paraId="76519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noWrap w:val="0"/>
            <w:vAlign w:val="center"/>
          </w:tcPr>
          <w:p w14:paraId="5646069B">
            <w:pPr>
              <w:pStyle w:val="24"/>
              <w:rPr>
                <w:rFonts w:hint="eastAsia" w:eastAsia="宋体"/>
                <w:color w:val="auto"/>
                <w:u w:val="none"/>
                <w:lang w:eastAsia="zh-CN"/>
              </w:rPr>
            </w:pPr>
            <w:r>
              <w:rPr>
                <w:color w:val="auto"/>
                <w:u w:val="none"/>
              </w:rPr>
              <w:t>污染</w:t>
            </w:r>
            <w:r>
              <w:rPr>
                <w:rFonts w:hint="eastAsia"/>
                <w:color w:val="auto"/>
                <w:u w:val="none"/>
                <w:lang w:eastAsia="zh-CN"/>
              </w:rPr>
              <w:t>类型</w:t>
            </w:r>
          </w:p>
        </w:tc>
        <w:tc>
          <w:tcPr>
            <w:tcW w:w="1401" w:type="dxa"/>
            <w:noWrap w:val="0"/>
            <w:vAlign w:val="center"/>
          </w:tcPr>
          <w:p w14:paraId="7D11FBDA">
            <w:pPr>
              <w:pStyle w:val="24"/>
              <w:rPr>
                <w:rFonts w:hint="eastAsia" w:eastAsia="宋体"/>
                <w:color w:val="auto"/>
                <w:u w:val="none"/>
                <w:lang w:eastAsia="zh-CN"/>
              </w:rPr>
            </w:pPr>
            <w:r>
              <w:rPr>
                <w:color w:val="auto"/>
                <w:u w:val="none"/>
              </w:rPr>
              <w:t>污染</w:t>
            </w:r>
            <w:r>
              <w:rPr>
                <w:rFonts w:hint="eastAsia"/>
                <w:color w:val="auto"/>
                <w:u w:val="none"/>
                <w:lang w:eastAsia="zh-CN"/>
              </w:rPr>
              <w:t>物</w:t>
            </w:r>
          </w:p>
        </w:tc>
        <w:tc>
          <w:tcPr>
            <w:tcW w:w="1584" w:type="dxa"/>
            <w:noWrap w:val="0"/>
            <w:vAlign w:val="center"/>
          </w:tcPr>
          <w:p w14:paraId="526433A4">
            <w:pPr>
              <w:pStyle w:val="24"/>
              <w:rPr>
                <w:rFonts w:hint="eastAsia" w:eastAsia="宋体"/>
                <w:color w:val="auto"/>
                <w:u w:val="none"/>
                <w:lang w:eastAsia="zh-CN"/>
              </w:rPr>
            </w:pPr>
            <w:r>
              <w:rPr>
                <w:color w:val="auto"/>
                <w:u w:val="none"/>
              </w:rPr>
              <w:t>污染</w:t>
            </w:r>
            <w:r>
              <w:rPr>
                <w:rFonts w:hint="eastAsia"/>
                <w:color w:val="auto"/>
                <w:u w:val="none"/>
                <w:lang w:eastAsia="zh-CN"/>
              </w:rPr>
              <w:t>因子</w:t>
            </w:r>
          </w:p>
        </w:tc>
        <w:tc>
          <w:tcPr>
            <w:tcW w:w="1529" w:type="dxa"/>
            <w:noWrap w:val="0"/>
            <w:vAlign w:val="center"/>
          </w:tcPr>
          <w:p w14:paraId="01F59B62">
            <w:pPr>
              <w:pStyle w:val="24"/>
              <w:rPr>
                <w:rFonts w:hint="eastAsia" w:eastAsia="宋体"/>
                <w:color w:val="auto"/>
                <w:u w:val="none"/>
                <w:lang w:eastAsia="zh-CN"/>
              </w:rPr>
            </w:pPr>
            <w:r>
              <w:rPr>
                <w:rFonts w:hint="eastAsia"/>
                <w:color w:val="auto"/>
                <w:u w:val="none"/>
                <w:lang w:eastAsia="zh-CN"/>
              </w:rPr>
              <w:t>产污节点</w:t>
            </w:r>
          </w:p>
        </w:tc>
        <w:tc>
          <w:tcPr>
            <w:tcW w:w="2861" w:type="dxa"/>
            <w:noWrap w:val="0"/>
            <w:vAlign w:val="center"/>
          </w:tcPr>
          <w:p w14:paraId="374646BA">
            <w:pPr>
              <w:pStyle w:val="24"/>
              <w:rPr>
                <w:color w:val="auto"/>
                <w:u w:val="none"/>
              </w:rPr>
            </w:pPr>
            <w:r>
              <w:rPr>
                <w:color w:val="auto"/>
                <w:u w:val="none"/>
              </w:rPr>
              <w:t>处理措施</w:t>
            </w:r>
          </w:p>
        </w:tc>
      </w:tr>
      <w:tr w14:paraId="418D71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restart"/>
            <w:noWrap w:val="0"/>
            <w:vAlign w:val="center"/>
          </w:tcPr>
          <w:p w14:paraId="5A4D75BF">
            <w:pPr>
              <w:pStyle w:val="24"/>
              <w:rPr>
                <w:color w:val="auto"/>
                <w:u w:val="none"/>
              </w:rPr>
            </w:pPr>
            <w:r>
              <w:rPr>
                <w:color w:val="auto"/>
                <w:u w:val="none"/>
              </w:rPr>
              <w:t>废气</w:t>
            </w:r>
          </w:p>
        </w:tc>
        <w:tc>
          <w:tcPr>
            <w:tcW w:w="1401" w:type="dxa"/>
            <w:noWrap w:val="0"/>
            <w:vAlign w:val="center"/>
          </w:tcPr>
          <w:p w14:paraId="7B7A0D22">
            <w:pPr>
              <w:pStyle w:val="24"/>
              <w:rPr>
                <w:rFonts w:hint="default"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主要原料投料废气</w:t>
            </w:r>
          </w:p>
        </w:tc>
        <w:tc>
          <w:tcPr>
            <w:tcW w:w="1584" w:type="dxa"/>
            <w:noWrap w:val="0"/>
            <w:vAlign w:val="center"/>
          </w:tcPr>
          <w:p w14:paraId="3DE6EDF7">
            <w:pPr>
              <w:pStyle w:val="24"/>
              <w:rPr>
                <w:rFonts w:hint="default"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颗粒物</w:t>
            </w:r>
          </w:p>
        </w:tc>
        <w:tc>
          <w:tcPr>
            <w:tcW w:w="1529" w:type="dxa"/>
            <w:noWrap w:val="0"/>
            <w:vAlign w:val="center"/>
          </w:tcPr>
          <w:p w14:paraId="2D989083">
            <w:pPr>
              <w:pStyle w:val="24"/>
              <w:rPr>
                <w:rFonts w:hint="default"/>
                <w:color w:val="auto"/>
                <w:u w:val="none"/>
                <w:lang w:val="en-US" w:eastAsia="zh-CN"/>
              </w:rPr>
            </w:pPr>
            <w:r>
              <w:rPr>
                <w:rFonts w:hint="eastAsia"/>
                <w:color w:val="auto"/>
                <w:u w:val="none"/>
                <w:lang w:val="en-US" w:eastAsia="zh-CN"/>
              </w:rPr>
              <w:t>投料</w:t>
            </w:r>
          </w:p>
        </w:tc>
        <w:tc>
          <w:tcPr>
            <w:tcW w:w="2861" w:type="dxa"/>
            <w:noWrap w:val="0"/>
            <w:vAlign w:val="center"/>
          </w:tcPr>
          <w:p w14:paraId="1F0A80DF">
            <w:pPr>
              <w:pStyle w:val="24"/>
              <w:rPr>
                <w:rFonts w:hint="default"/>
                <w:color w:val="auto"/>
                <w:u w:val="none"/>
                <w:lang w:val="en-US" w:eastAsia="zh-CN"/>
              </w:rPr>
            </w:pPr>
            <w:r>
              <w:rPr>
                <w:rFonts w:hint="eastAsia"/>
                <w:color w:val="auto"/>
                <w:u w:val="none"/>
                <w:lang w:val="en-US" w:eastAsia="zh-CN"/>
              </w:rPr>
              <w:t>设备自带布袋除尘器，车间沉降</w:t>
            </w:r>
          </w:p>
        </w:tc>
      </w:tr>
      <w:tr w14:paraId="6E8C9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0DE5FCC5">
            <w:pPr>
              <w:pStyle w:val="24"/>
              <w:rPr>
                <w:color w:val="auto"/>
                <w:u w:val="none"/>
              </w:rPr>
            </w:pPr>
          </w:p>
        </w:tc>
        <w:tc>
          <w:tcPr>
            <w:tcW w:w="1401" w:type="dxa"/>
            <w:noWrap w:val="0"/>
            <w:vAlign w:val="center"/>
          </w:tcPr>
          <w:p w14:paraId="57A6635F">
            <w:pPr>
              <w:pStyle w:val="24"/>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破碎、磨粉、其他辅料投料、混料废气</w:t>
            </w:r>
          </w:p>
        </w:tc>
        <w:tc>
          <w:tcPr>
            <w:tcW w:w="1584" w:type="dxa"/>
            <w:noWrap w:val="0"/>
            <w:vAlign w:val="center"/>
          </w:tcPr>
          <w:p w14:paraId="1037E877">
            <w:pPr>
              <w:pStyle w:val="24"/>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颗粒物</w:t>
            </w:r>
          </w:p>
        </w:tc>
        <w:tc>
          <w:tcPr>
            <w:tcW w:w="1529" w:type="dxa"/>
            <w:noWrap w:val="0"/>
            <w:vAlign w:val="center"/>
          </w:tcPr>
          <w:p w14:paraId="7ACC6B33">
            <w:pPr>
              <w:pStyle w:val="24"/>
              <w:rPr>
                <w:rFonts w:hint="default" w:ascii="Times New Roman" w:hAnsi="Times New Roman" w:eastAsia="宋体" w:cs="Times New Roman"/>
                <w:color w:val="auto"/>
                <w:kern w:val="2"/>
                <w:sz w:val="21"/>
                <w:szCs w:val="24"/>
                <w:u w:val="none"/>
                <w:lang w:val="en-US" w:eastAsia="zh-CN" w:bidi="ar-SA"/>
              </w:rPr>
            </w:pPr>
            <w:r>
              <w:rPr>
                <w:rFonts w:hint="eastAsia"/>
                <w:color w:val="auto"/>
                <w:u w:val="none"/>
                <w:lang w:eastAsia="zh-CN"/>
              </w:rPr>
              <w:t>破碎、磨粉、</w:t>
            </w:r>
            <w:r>
              <w:rPr>
                <w:rFonts w:hint="eastAsia"/>
                <w:color w:val="auto"/>
                <w:u w:val="none"/>
                <w:lang w:val="en-US" w:eastAsia="zh-CN"/>
              </w:rPr>
              <w:t>其他辅料</w:t>
            </w:r>
            <w:r>
              <w:rPr>
                <w:rFonts w:hint="eastAsia"/>
                <w:color w:val="auto"/>
                <w:u w:val="none"/>
                <w:lang w:eastAsia="zh-CN"/>
              </w:rPr>
              <w:t>投料、</w:t>
            </w:r>
            <w:r>
              <w:rPr>
                <w:rFonts w:hint="eastAsia"/>
                <w:color w:val="auto"/>
                <w:u w:val="none"/>
                <w:lang w:val="en-US" w:eastAsia="zh-CN"/>
              </w:rPr>
              <w:t>混料</w:t>
            </w:r>
          </w:p>
        </w:tc>
        <w:tc>
          <w:tcPr>
            <w:tcW w:w="2861" w:type="dxa"/>
            <w:noWrap w:val="0"/>
            <w:vAlign w:val="center"/>
          </w:tcPr>
          <w:p w14:paraId="0EBC56C1">
            <w:pPr>
              <w:pStyle w:val="24"/>
              <w:rPr>
                <w:rFonts w:hint="default" w:ascii="Times New Roman" w:hAnsi="Times New Roman" w:eastAsia="宋体" w:cs="Times New Roman"/>
                <w:color w:val="auto"/>
                <w:kern w:val="2"/>
                <w:sz w:val="21"/>
                <w:szCs w:val="21"/>
                <w:u w:val="none"/>
                <w:lang w:val="en-US" w:eastAsia="zh-CN" w:bidi="ar-SA"/>
              </w:rPr>
            </w:pPr>
            <w:r>
              <w:rPr>
                <w:rFonts w:hint="eastAsia"/>
                <w:color w:val="auto"/>
                <w:u w:val="none"/>
                <w:lang w:eastAsia="zh-CN"/>
              </w:rPr>
              <w:t>集气罩</w:t>
            </w:r>
            <w:r>
              <w:rPr>
                <w:rFonts w:hint="eastAsia"/>
                <w:color w:val="auto"/>
                <w:u w:val="none"/>
                <w:lang w:val="en-US" w:eastAsia="zh-CN"/>
              </w:rPr>
              <w:t>+垂帘+脉冲式布袋除尘器+15m高排气筒（DA001）</w:t>
            </w:r>
          </w:p>
        </w:tc>
      </w:tr>
      <w:tr w14:paraId="41F9FA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288F512B">
            <w:pPr>
              <w:pStyle w:val="24"/>
              <w:rPr>
                <w:color w:val="auto"/>
                <w:u w:val="none"/>
              </w:rPr>
            </w:pPr>
          </w:p>
        </w:tc>
        <w:tc>
          <w:tcPr>
            <w:tcW w:w="1401" w:type="dxa"/>
            <w:noWrap w:val="0"/>
            <w:vAlign w:val="center"/>
          </w:tcPr>
          <w:p w14:paraId="595D505D">
            <w:pPr>
              <w:pStyle w:val="24"/>
              <w:rPr>
                <w:rFonts w:hint="eastAsia" w:ascii="Times New Roman" w:hAnsi="Times New Roman" w:eastAsia="宋体" w:cs="Times New Roman"/>
                <w:color w:val="auto"/>
                <w:kern w:val="2"/>
                <w:sz w:val="21"/>
                <w:szCs w:val="21"/>
                <w:u w:val="none"/>
                <w:lang w:val="en-US" w:eastAsia="zh-CN" w:bidi="ar-SA"/>
              </w:rPr>
            </w:pPr>
            <w:r>
              <w:rPr>
                <w:rFonts w:hint="eastAsia"/>
                <w:color w:val="auto"/>
                <w:u w:val="none"/>
                <w:lang w:val="en-US" w:eastAsia="zh-CN"/>
              </w:rPr>
              <w:t>1#厂房挤出、覆膜废气</w:t>
            </w:r>
          </w:p>
        </w:tc>
        <w:tc>
          <w:tcPr>
            <w:tcW w:w="1584" w:type="dxa"/>
            <w:noWrap w:val="0"/>
            <w:vAlign w:val="center"/>
          </w:tcPr>
          <w:p w14:paraId="686D850B">
            <w:pPr>
              <w:pStyle w:val="24"/>
              <w:rPr>
                <w:rFonts w:hint="eastAsia" w:ascii="Times New Roman" w:hAnsi="Times New Roman" w:eastAsia="宋体" w:cs="Times New Roman"/>
                <w:color w:val="auto"/>
                <w:kern w:val="2"/>
                <w:sz w:val="21"/>
                <w:szCs w:val="24"/>
                <w:u w:val="none"/>
                <w:lang w:val="en-US" w:eastAsia="zh-CN" w:bidi="ar-SA"/>
              </w:rPr>
            </w:pPr>
            <w:r>
              <w:rPr>
                <w:rFonts w:hint="eastAsia"/>
                <w:color w:val="auto"/>
                <w:u w:val="none"/>
                <w:lang w:eastAsia="zh-CN"/>
              </w:rPr>
              <w:t>非甲烷总烃、</w:t>
            </w:r>
            <w:r>
              <w:rPr>
                <w:rFonts w:hint="eastAsia"/>
                <w:color w:val="auto"/>
                <w:u w:val="none"/>
                <w:lang w:val="en-US" w:eastAsia="zh-CN"/>
              </w:rPr>
              <w:t>氯化氢</w:t>
            </w:r>
          </w:p>
        </w:tc>
        <w:tc>
          <w:tcPr>
            <w:tcW w:w="1529" w:type="dxa"/>
            <w:noWrap w:val="0"/>
            <w:vAlign w:val="center"/>
          </w:tcPr>
          <w:p w14:paraId="1AF5C7C5">
            <w:pPr>
              <w:pStyle w:val="24"/>
              <w:rPr>
                <w:rFonts w:hint="eastAsia" w:ascii="Times New Roman" w:hAnsi="Times New Roman" w:eastAsia="宋体" w:cs="Times New Roman"/>
                <w:color w:val="auto"/>
                <w:kern w:val="2"/>
                <w:sz w:val="21"/>
                <w:szCs w:val="21"/>
                <w:u w:val="none"/>
                <w:lang w:val="en-US" w:eastAsia="zh-CN" w:bidi="ar-SA"/>
              </w:rPr>
            </w:pPr>
            <w:r>
              <w:rPr>
                <w:rFonts w:hint="eastAsia"/>
                <w:color w:val="auto"/>
                <w:u w:val="none"/>
                <w:lang w:eastAsia="zh-CN"/>
              </w:rPr>
              <w:t>挤出、覆膜</w:t>
            </w:r>
          </w:p>
        </w:tc>
        <w:tc>
          <w:tcPr>
            <w:tcW w:w="2861" w:type="dxa"/>
            <w:noWrap w:val="0"/>
            <w:vAlign w:val="center"/>
          </w:tcPr>
          <w:p w14:paraId="2CF92A8E">
            <w:pPr>
              <w:pStyle w:val="24"/>
              <w:rPr>
                <w:rFonts w:hint="eastAsia" w:ascii="Times New Roman" w:hAnsi="Times New Roman" w:eastAsia="宋体" w:cs="Times New Roman"/>
                <w:color w:val="auto"/>
                <w:kern w:val="2"/>
                <w:sz w:val="21"/>
                <w:szCs w:val="21"/>
                <w:u w:val="none"/>
                <w:lang w:val="en-US" w:eastAsia="zh-CN" w:bidi="ar-SA"/>
              </w:rPr>
            </w:pPr>
            <w:r>
              <w:rPr>
                <w:rFonts w:hint="eastAsia"/>
                <w:color w:val="auto"/>
                <w:u w:val="none" w:color="auto"/>
                <w:lang w:val="en-US" w:eastAsia="zh-CN"/>
              </w:rPr>
              <w:t>集气罩+垂帘+两级活性炭吸附+15m高排气筒（DA002）</w:t>
            </w:r>
            <w:r>
              <w:rPr>
                <w:rFonts w:hint="eastAsia"/>
                <w:color w:val="auto"/>
                <w:u w:val="none"/>
                <w:lang w:val="en-US" w:eastAsia="zh-CN"/>
              </w:rPr>
              <w:t>；控制熔融温度、</w:t>
            </w:r>
            <w:r>
              <w:rPr>
                <w:rFonts w:hint="eastAsia"/>
                <w:color w:val="auto"/>
                <w:u w:val="none"/>
                <w:lang w:eastAsia="zh-CN"/>
              </w:rPr>
              <w:t>加入稳定剂</w:t>
            </w:r>
          </w:p>
        </w:tc>
      </w:tr>
      <w:tr w14:paraId="2F894B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4242FC0E">
            <w:pPr>
              <w:pStyle w:val="24"/>
              <w:rPr>
                <w:color w:val="auto"/>
                <w:u w:val="none"/>
              </w:rPr>
            </w:pPr>
          </w:p>
        </w:tc>
        <w:tc>
          <w:tcPr>
            <w:tcW w:w="1401" w:type="dxa"/>
            <w:noWrap w:val="0"/>
            <w:vAlign w:val="center"/>
          </w:tcPr>
          <w:p w14:paraId="477ED7BF">
            <w:pPr>
              <w:pStyle w:val="24"/>
              <w:rPr>
                <w:rFonts w:hint="default"/>
                <w:color w:val="auto"/>
                <w:u w:val="none"/>
                <w:lang w:val="en-US" w:eastAsia="zh-CN"/>
              </w:rPr>
            </w:pPr>
            <w:r>
              <w:rPr>
                <w:rFonts w:hint="eastAsia"/>
                <w:color w:val="auto"/>
                <w:u w:val="none"/>
                <w:lang w:val="en-US" w:eastAsia="zh-CN"/>
              </w:rPr>
              <w:t>2#厂房覆膜废气</w:t>
            </w:r>
          </w:p>
        </w:tc>
        <w:tc>
          <w:tcPr>
            <w:tcW w:w="1584" w:type="dxa"/>
            <w:noWrap w:val="0"/>
            <w:vAlign w:val="center"/>
          </w:tcPr>
          <w:p w14:paraId="7E34D83A">
            <w:pPr>
              <w:pStyle w:val="24"/>
              <w:rPr>
                <w:rFonts w:hint="default" w:eastAsia="宋体"/>
                <w:color w:val="auto"/>
                <w:u w:val="none"/>
                <w:lang w:val="en-US" w:eastAsia="zh-CN"/>
              </w:rPr>
            </w:pPr>
            <w:r>
              <w:rPr>
                <w:rFonts w:hint="eastAsia"/>
                <w:color w:val="auto"/>
                <w:u w:val="none"/>
                <w:lang w:val="en-US" w:eastAsia="zh-CN"/>
              </w:rPr>
              <w:t>非甲烷总烃、二甲苯</w:t>
            </w:r>
          </w:p>
        </w:tc>
        <w:tc>
          <w:tcPr>
            <w:tcW w:w="1529" w:type="dxa"/>
            <w:noWrap w:val="0"/>
            <w:vAlign w:val="center"/>
          </w:tcPr>
          <w:p w14:paraId="73D85083">
            <w:pPr>
              <w:pStyle w:val="24"/>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覆膜</w:t>
            </w:r>
          </w:p>
        </w:tc>
        <w:tc>
          <w:tcPr>
            <w:tcW w:w="2861" w:type="dxa"/>
            <w:noWrap w:val="0"/>
            <w:vAlign w:val="center"/>
          </w:tcPr>
          <w:p w14:paraId="4AA88297">
            <w:pPr>
              <w:pStyle w:val="24"/>
              <w:rPr>
                <w:rFonts w:hint="default"/>
                <w:color w:val="auto"/>
                <w:u w:val="none"/>
                <w:lang w:val="en-US" w:eastAsia="zh-CN"/>
              </w:rPr>
            </w:pPr>
            <w:r>
              <w:rPr>
                <w:rFonts w:hint="eastAsia"/>
                <w:color w:val="auto"/>
                <w:u w:val="none" w:color="auto"/>
                <w:lang w:val="en-US" w:eastAsia="zh-CN"/>
              </w:rPr>
              <w:t>集气罩+垂帘（溶剂型胶粘剂覆膜机加装设置为区域半封闭）+两级活性炭吸附+15m高排气筒（DA003）</w:t>
            </w:r>
          </w:p>
        </w:tc>
      </w:tr>
      <w:tr w14:paraId="192AB8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restart"/>
            <w:noWrap w:val="0"/>
            <w:vAlign w:val="center"/>
          </w:tcPr>
          <w:p w14:paraId="0F76D40D">
            <w:pPr>
              <w:pStyle w:val="24"/>
              <w:rPr>
                <w:color w:val="auto"/>
                <w:u w:val="none"/>
              </w:rPr>
            </w:pPr>
            <w:r>
              <w:rPr>
                <w:color w:val="auto"/>
                <w:u w:val="none"/>
              </w:rPr>
              <w:t>废水</w:t>
            </w:r>
          </w:p>
        </w:tc>
        <w:tc>
          <w:tcPr>
            <w:tcW w:w="1401" w:type="dxa"/>
            <w:noWrap w:val="0"/>
            <w:vAlign w:val="center"/>
          </w:tcPr>
          <w:p w14:paraId="655EFCA5">
            <w:pPr>
              <w:pStyle w:val="24"/>
              <w:rPr>
                <w:rFonts w:hint="eastAsia" w:ascii="Times New Roman" w:hAnsi="Times New Roman" w:eastAsia="宋体"/>
                <w:color w:val="auto"/>
                <w:kern w:val="2"/>
                <w:sz w:val="21"/>
                <w:szCs w:val="24"/>
                <w:u w:val="none"/>
                <w:lang w:val="en-US" w:eastAsia="zh-CN" w:bidi="ar-SA"/>
              </w:rPr>
            </w:pPr>
            <w:r>
              <w:rPr>
                <w:rFonts w:hint="eastAsia" w:ascii="Times New Roman" w:hAnsi="Times New Roman"/>
                <w:color w:val="auto"/>
                <w:kern w:val="2"/>
                <w:sz w:val="21"/>
                <w:szCs w:val="24"/>
                <w:u w:val="none"/>
                <w:lang w:val="en-US" w:eastAsia="zh-CN" w:bidi="ar-SA"/>
              </w:rPr>
              <w:t>生活污水</w:t>
            </w:r>
          </w:p>
        </w:tc>
        <w:tc>
          <w:tcPr>
            <w:tcW w:w="1584" w:type="dxa"/>
            <w:noWrap w:val="0"/>
            <w:vAlign w:val="center"/>
          </w:tcPr>
          <w:p w14:paraId="7DAE968C">
            <w:pPr>
              <w:pStyle w:val="24"/>
              <w:rPr>
                <w:rFonts w:ascii="Times New Roman" w:hAnsi="Times New Roman"/>
                <w:color w:val="auto"/>
                <w:kern w:val="2"/>
                <w:sz w:val="21"/>
                <w:szCs w:val="24"/>
                <w:u w:val="none"/>
                <w:lang w:val="en-US" w:eastAsia="zh-CN" w:bidi="ar-SA"/>
              </w:rPr>
            </w:pPr>
            <w:r>
              <w:rPr>
                <w:color w:val="auto"/>
                <w:u w:val="none"/>
              </w:rPr>
              <w:t>COD</w:t>
            </w:r>
            <w:r>
              <w:rPr>
                <w:rFonts w:hint="eastAsia"/>
                <w:color w:val="auto"/>
                <w:u w:val="none"/>
              </w:rPr>
              <w:t>cr</w:t>
            </w:r>
            <w:r>
              <w:rPr>
                <w:color w:val="auto"/>
                <w:u w:val="none"/>
              </w:rPr>
              <w:t>、SS、NH</w:t>
            </w:r>
            <w:r>
              <w:rPr>
                <w:color w:val="auto"/>
                <w:u w:val="none"/>
                <w:vertAlign w:val="subscript"/>
              </w:rPr>
              <w:t>3</w:t>
            </w:r>
            <w:r>
              <w:rPr>
                <w:color w:val="auto"/>
                <w:u w:val="none"/>
              </w:rPr>
              <w:t>-N等</w:t>
            </w:r>
          </w:p>
        </w:tc>
        <w:tc>
          <w:tcPr>
            <w:tcW w:w="1529" w:type="dxa"/>
            <w:noWrap w:val="0"/>
            <w:vAlign w:val="center"/>
          </w:tcPr>
          <w:p w14:paraId="7C60DF5B">
            <w:pPr>
              <w:pStyle w:val="24"/>
              <w:rPr>
                <w:color w:val="auto"/>
                <w:u w:val="none"/>
              </w:rPr>
            </w:pPr>
            <w:r>
              <w:rPr>
                <w:rFonts w:hint="eastAsia"/>
                <w:color w:val="auto"/>
                <w:u w:val="none"/>
                <w:lang w:eastAsia="zh-CN"/>
              </w:rPr>
              <w:t>员工生活</w:t>
            </w:r>
          </w:p>
        </w:tc>
        <w:tc>
          <w:tcPr>
            <w:tcW w:w="2861" w:type="dxa"/>
            <w:noWrap w:val="0"/>
            <w:vAlign w:val="center"/>
          </w:tcPr>
          <w:p w14:paraId="5F2C2506">
            <w:pPr>
              <w:pStyle w:val="24"/>
              <w:rPr>
                <w:rFonts w:hint="eastAsia" w:ascii="Times New Roman" w:hAnsi="Times New Roman" w:eastAsia="宋体"/>
                <w:color w:val="auto"/>
                <w:kern w:val="2"/>
                <w:sz w:val="21"/>
                <w:szCs w:val="24"/>
                <w:u w:val="none"/>
                <w:lang w:val="en-US" w:eastAsia="zh-CN" w:bidi="ar-SA"/>
              </w:rPr>
            </w:pPr>
            <w:r>
              <w:rPr>
                <w:rFonts w:hint="eastAsia"/>
                <w:color w:val="auto"/>
                <w:u w:val="none"/>
                <w:lang w:eastAsia="zh-CN"/>
              </w:rPr>
              <w:t>经化粪池处理后进入湖南汨罗高新技术产业开发区（循环园区）污水处理厂处理</w:t>
            </w:r>
          </w:p>
        </w:tc>
      </w:tr>
      <w:tr w14:paraId="59069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3F634A1F">
            <w:pPr>
              <w:pStyle w:val="24"/>
              <w:rPr>
                <w:color w:val="auto"/>
                <w:u w:val="none"/>
              </w:rPr>
            </w:pPr>
          </w:p>
        </w:tc>
        <w:tc>
          <w:tcPr>
            <w:tcW w:w="1401" w:type="dxa"/>
            <w:noWrap w:val="0"/>
            <w:vAlign w:val="center"/>
          </w:tcPr>
          <w:p w14:paraId="015F4634">
            <w:pPr>
              <w:pStyle w:val="24"/>
              <w:rPr>
                <w:rFonts w:hint="eastAsia" w:ascii="Times New Roman" w:hAnsi="Times New Roman"/>
                <w:color w:val="auto"/>
                <w:kern w:val="2"/>
                <w:sz w:val="21"/>
                <w:szCs w:val="24"/>
                <w:u w:val="none"/>
                <w:lang w:val="en-US" w:eastAsia="zh-CN" w:bidi="ar-SA"/>
              </w:rPr>
            </w:pPr>
            <w:r>
              <w:rPr>
                <w:rFonts w:hint="eastAsia"/>
                <w:color w:val="auto"/>
                <w:kern w:val="2"/>
                <w:sz w:val="21"/>
                <w:szCs w:val="24"/>
                <w:u w:val="none"/>
                <w:lang w:val="en-US" w:eastAsia="zh-CN" w:bidi="ar-SA"/>
              </w:rPr>
              <w:t>产品冷却水</w:t>
            </w:r>
          </w:p>
        </w:tc>
        <w:tc>
          <w:tcPr>
            <w:tcW w:w="1584" w:type="dxa"/>
            <w:noWrap w:val="0"/>
            <w:vAlign w:val="center"/>
          </w:tcPr>
          <w:p w14:paraId="0863E447">
            <w:pPr>
              <w:pStyle w:val="24"/>
              <w:rPr>
                <w:rFonts w:hint="default" w:eastAsia="宋体"/>
                <w:color w:val="auto"/>
                <w:u w:val="none"/>
                <w:lang w:val="en-US" w:eastAsia="zh-CN"/>
              </w:rPr>
            </w:pPr>
            <w:r>
              <w:rPr>
                <w:rFonts w:hint="eastAsia"/>
                <w:color w:val="auto"/>
                <w:u w:val="none"/>
                <w:lang w:val="en-US" w:eastAsia="zh-CN"/>
              </w:rPr>
              <w:t>SS</w:t>
            </w:r>
          </w:p>
        </w:tc>
        <w:tc>
          <w:tcPr>
            <w:tcW w:w="1529" w:type="dxa"/>
            <w:noWrap w:val="0"/>
            <w:vAlign w:val="center"/>
          </w:tcPr>
          <w:p w14:paraId="47EAC64A">
            <w:pPr>
              <w:pStyle w:val="24"/>
              <w:rPr>
                <w:rFonts w:hint="eastAsia"/>
                <w:color w:val="auto"/>
                <w:u w:val="none"/>
                <w:lang w:eastAsia="zh-CN"/>
              </w:rPr>
            </w:pPr>
            <w:r>
              <w:rPr>
                <w:rFonts w:hint="eastAsia"/>
                <w:color w:val="auto"/>
                <w:u w:val="none"/>
                <w:lang w:eastAsia="zh-CN"/>
              </w:rPr>
              <w:t>产品冷却</w:t>
            </w:r>
          </w:p>
        </w:tc>
        <w:tc>
          <w:tcPr>
            <w:tcW w:w="2861" w:type="dxa"/>
            <w:vMerge w:val="restart"/>
            <w:noWrap w:val="0"/>
            <w:vAlign w:val="center"/>
          </w:tcPr>
          <w:p w14:paraId="7C188F39">
            <w:pPr>
              <w:pStyle w:val="24"/>
              <w:rPr>
                <w:rFonts w:hint="eastAsia"/>
                <w:color w:val="auto"/>
                <w:u w:val="none"/>
                <w:lang w:eastAsia="zh-CN"/>
              </w:rPr>
            </w:pPr>
            <w:r>
              <w:rPr>
                <w:rFonts w:hint="eastAsia"/>
                <w:color w:val="auto"/>
                <w:u w:val="none"/>
                <w:lang w:eastAsia="zh-CN"/>
              </w:rPr>
              <w:t>经循环</w:t>
            </w:r>
            <w:r>
              <w:rPr>
                <w:rFonts w:hint="eastAsia"/>
                <w:color w:val="auto"/>
                <w:u w:val="none"/>
                <w:lang w:val="en-US" w:eastAsia="zh-CN"/>
              </w:rPr>
              <w:t>沉淀</w:t>
            </w:r>
            <w:r>
              <w:rPr>
                <w:rFonts w:hint="eastAsia"/>
                <w:color w:val="auto"/>
                <w:u w:val="none"/>
                <w:lang w:eastAsia="zh-CN"/>
              </w:rPr>
              <w:t>池循环使用，定期补充损耗，不外排</w:t>
            </w:r>
          </w:p>
        </w:tc>
      </w:tr>
      <w:tr w14:paraId="5B3269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3D5200AF">
            <w:pPr>
              <w:pStyle w:val="24"/>
              <w:rPr>
                <w:color w:val="auto"/>
                <w:u w:val="none"/>
              </w:rPr>
            </w:pPr>
          </w:p>
        </w:tc>
        <w:tc>
          <w:tcPr>
            <w:tcW w:w="1401" w:type="dxa"/>
            <w:noWrap w:val="0"/>
            <w:vAlign w:val="center"/>
          </w:tcPr>
          <w:p w14:paraId="3CC80B64">
            <w:pPr>
              <w:pStyle w:val="24"/>
              <w:rPr>
                <w:rFonts w:hint="eastAsia"/>
                <w:color w:val="auto"/>
                <w:kern w:val="2"/>
                <w:sz w:val="21"/>
                <w:szCs w:val="24"/>
                <w:u w:val="none"/>
                <w:lang w:val="en-US" w:eastAsia="zh-CN" w:bidi="ar-SA"/>
              </w:rPr>
            </w:pPr>
            <w:r>
              <w:rPr>
                <w:rFonts w:hint="eastAsia"/>
                <w:color w:val="auto"/>
                <w:kern w:val="2"/>
                <w:sz w:val="21"/>
                <w:szCs w:val="24"/>
                <w:u w:val="none"/>
                <w:lang w:val="en-US" w:eastAsia="zh-CN" w:bidi="ar-SA"/>
              </w:rPr>
              <w:t>设备冷却水</w:t>
            </w:r>
          </w:p>
        </w:tc>
        <w:tc>
          <w:tcPr>
            <w:tcW w:w="1584" w:type="dxa"/>
            <w:noWrap w:val="0"/>
            <w:vAlign w:val="center"/>
          </w:tcPr>
          <w:p w14:paraId="00474E9C">
            <w:pPr>
              <w:pStyle w:val="24"/>
              <w:rPr>
                <w:rFonts w:hint="default"/>
                <w:color w:val="auto"/>
                <w:u w:val="none"/>
                <w:lang w:val="en-US" w:eastAsia="zh-CN"/>
              </w:rPr>
            </w:pPr>
            <w:r>
              <w:rPr>
                <w:rFonts w:hint="eastAsia"/>
                <w:color w:val="auto"/>
                <w:u w:val="none"/>
                <w:lang w:val="en-US" w:eastAsia="zh-CN"/>
              </w:rPr>
              <w:t>/</w:t>
            </w:r>
          </w:p>
        </w:tc>
        <w:tc>
          <w:tcPr>
            <w:tcW w:w="1529" w:type="dxa"/>
            <w:noWrap w:val="0"/>
            <w:vAlign w:val="center"/>
          </w:tcPr>
          <w:p w14:paraId="61332D91">
            <w:pPr>
              <w:pStyle w:val="24"/>
              <w:rPr>
                <w:rFonts w:hint="eastAsia"/>
                <w:color w:val="auto"/>
                <w:u w:val="none"/>
                <w:lang w:eastAsia="zh-CN"/>
              </w:rPr>
            </w:pPr>
            <w:r>
              <w:rPr>
                <w:rFonts w:hint="eastAsia"/>
                <w:color w:val="auto"/>
                <w:u w:val="none"/>
                <w:lang w:eastAsia="zh-CN"/>
              </w:rPr>
              <w:t>挤出机设备冷却</w:t>
            </w:r>
          </w:p>
        </w:tc>
        <w:tc>
          <w:tcPr>
            <w:tcW w:w="2861" w:type="dxa"/>
            <w:vMerge w:val="continue"/>
            <w:noWrap w:val="0"/>
            <w:vAlign w:val="center"/>
          </w:tcPr>
          <w:p w14:paraId="38EFA3E8">
            <w:pPr>
              <w:pStyle w:val="24"/>
              <w:rPr>
                <w:rFonts w:hint="eastAsia"/>
                <w:color w:val="auto"/>
                <w:u w:val="none"/>
                <w:lang w:eastAsia="zh-CN"/>
              </w:rPr>
            </w:pPr>
          </w:p>
        </w:tc>
      </w:tr>
      <w:tr w14:paraId="0739D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noWrap w:val="0"/>
            <w:vAlign w:val="center"/>
          </w:tcPr>
          <w:p w14:paraId="6AB34744">
            <w:pPr>
              <w:pStyle w:val="24"/>
              <w:rPr>
                <w:color w:val="auto"/>
                <w:u w:val="none"/>
              </w:rPr>
            </w:pPr>
            <w:r>
              <w:rPr>
                <w:color w:val="auto"/>
                <w:u w:val="none"/>
              </w:rPr>
              <w:t>噪声</w:t>
            </w:r>
          </w:p>
        </w:tc>
        <w:tc>
          <w:tcPr>
            <w:tcW w:w="1401" w:type="dxa"/>
            <w:noWrap w:val="0"/>
            <w:vAlign w:val="center"/>
          </w:tcPr>
          <w:p w14:paraId="4476CF53">
            <w:pPr>
              <w:pStyle w:val="24"/>
              <w:rPr>
                <w:rFonts w:hint="eastAsia" w:eastAsia="宋体"/>
                <w:color w:val="auto"/>
                <w:u w:val="none"/>
                <w:lang w:eastAsia="zh-CN"/>
              </w:rPr>
            </w:pPr>
            <w:r>
              <w:rPr>
                <w:rFonts w:hint="eastAsia"/>
                <w:color w:val="auto"/>
                <w:u w:val="none"/>
                <w:lang w:eastAsia="zh-CN"/>
              </w:rPr>
              <w:t>生产噪声</w:t>
            </w:r>
          </w:p>
        </w:tc>
        <w:tc>
          <w:tcPr>
            <w:tcW w:w="1584" w:type="dxa"/>
            <w:noWrap w:val="0"/>
            <w:vAlign w:val="center"/>
          </w:tcPr>
          <w:p w14:paraId="37D71E3B">
            <w:pPr>
              <w:pStyle w:val="24"/>
              <w:rPr>
                <w:color w:val="auto"/>
                <w:u w:val="none"/>
              </w:rPr>
            </w:pPr>
            <w:r>
              <w:rPr>
                <w:color w:val="auto"/>
                <w:u w:val="none"/>
              </w:rPr>
              <w:t>机械噪声</w:t>
            </w:r>
          </w:p>
        </w:tc>
        <w:tc>
          <w:tcPr>
            <w:tcW w:w="1529" w:type="dxa"/>
            <w:noWrap w:val="0"/>
            <w:vAlign w:val="center"/>
          </w:tcPr>
          <w:p w14:paraId="54BAAF1C">
            <w:pPr>
              <w:pStyle w:val="24"/>
              <w:rPr>
                <w:color w:val="auto"/>
                <w:u w:val="none"/>
              </w:rPr>
            </w:pPr>
            <w:r>
              <w:rPr>
                <w:color w:val="auto"/>
                <w:u w:val="none"/>
              </w:rPr>
              <w:t>生产设备</w:t>
            </w:r>
          </w:p>
        </w:tc>
        <w:tc>
          <w:tcPr>
            <w:tcW w:w="2861" w:type="dxa"/>
            <w:noWrap w:val="0"/>
            <w:vAlign w:val="center"/>
          </w:tcPr>
          <w:p w14:paraId="12AD3B8E">
            <w:pPr>
              <w:pStyle w:val="24"/>
              <w:rPr>
                <w:color w:val="auto"/>
                <w:u w:val="none"/>
              </w:rPr>
            </w:pPr>
            <w:r>
              <w:rPr>
                <w:color w:val="auto"/>
                <w:u w:val="none"/>
              </w:rPr>
              <w:t>减振、隔声、距离衰减</w:t>
            </w:r>
          </w:p>
        </w:tc>
      </w:tr>
      <w:tr w14:paraId="136C54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restart"/>
            <w:noWrap w:val="0"/>
            <w:vAlign w:val="center"/>
          </w:tcPr>
          <w:p w14:paraId="502B0DBD">
            <w:pPr>
              <w:pStyle w:val="24"/>
              <w:rPr>
                <w:color w:val="auto"/>
                <w:u w:val="none"/>
              </w:rPr>
            </w:pPr>
            <w:r>
              <w:rPr>
                <w:color w:val="auto"/>
                <w:u w:val="none"/>
              </w:rPr>
              <w:t>固废</w:t>
            </w:r>
          </w:p>
        </w:tc>
        <w:tc>
          <w:tcPr>
            <w:tcW w:w="1401" w:type="dxa"/>
            <w:vMerge w:val="restart"/>
            <w:noWrap w:val="0"/>
            <w:vAlign w:val="center"/>
          </w:tcPr>
          <w:p w14:paraId="35BA80B1">
            <w:pPr>
              <w:pStyle w:val="24"/>
              <w:rPr>
                <w:color w:val="auto"/>
                <w:u w:val="none"/>
              </w:rPr>
            </w:pPr>
            <w:r>
              <w:rPr>
                <w:color w:val="auto"/>
                <w:u w:val="none"/>
              </w:rPr>
              <w:t>生产过程</w:t>
            </w:r>
          </w:p>
        </w:tc>
        <w:tc>
          <w:tcPr>
            <w:tcW w:w="1584" w:type="dxa"/>
            <w:noWrap w:val="0"/>
            <w:vAlign w:val="center"/>
          </w:tcPr>
          <w:p w14:paraId="0DAB1A41">
            <w:pPr>
              <w:pStyle w:val="24"/>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cs="Times New Roman"/>
                <w:color w:val="auto"/>
                <w:u w:val="none"/>
                <w:lang w:val="en-US" w:eastAsia="zh-CN"/>
              </w:rPr>
              <w:t>循环沉淀池</w:t>
            </w:r>
            <w:r>
              <w:rPr>
                <w:rFonts w:hint="default" w:ascii="Times New Roman" w:hAnsi="Times New Roman" w:cs="Times New Roman"/>
                <w:color w:val="auto"/>
                <w:u w:val="none"/>
                <w:lang w:eastAsia="zh-CN"/>
              </w:rPr>
              <w:t>沉渣</w:t>
            </w:r>
          </w:p>
        </w:tc>
        <w:tc>
          <w:tcPr>
            <w:tcW w:w="1529" w:type="dxa"/>
            <w:noWrap w:val="0"/>
            <w:vAlign w:val="center"/>
          </w:tcPr>
          <w:p w14:paraId="70032CFB">
            <w:pPr>
              <w:pStyle w:val="24"/>
              <w:rPr>
                <w:rFonts w:hint="eastAsia"/>
                <w:color w:val="auto"/>
                <w:u w:val="none"/>
                <w:lang w:eastAsia="zh-CN"/>
              </w:rPr>
            </w:pPr>
            <w:r>
              <w:rPr>
                <w:rFonts w:hint="eastAsia"/>
                <w:color w:val="auto"/>
                <w:u w:val="none"/>
                <w:lang w:eastAsia="zh-CN"/>
              </w:rPr>
              <w:t>沉渣</w:t>
            </w:r>
          </w:p>
        </w:tc>
        <w:tc>
          <w:tcPr>
            <w:tcW w:w="2861" w:type="dxa"/>
            <w:noWrap w:val="0"/>
            <w:vAlign w:val="center"/>
          </w:tcPr>
          <w:p w14:paraId="2EEC87A2">
            <w:pPr>
              <w:pStyle w:val="24"/>
              <w:rPr>
                <w:rFonts w:hint="default" w:eastAsia="宋体"/>
                <w:color w:val="auto"/>
                <w:u w:val="none"/>
                <w:lang w:val="en-US" w:eastAsia="zh-CN"/>
              </w:rPr>
            </w:pPr>
            <w:r>
              <w:rPr>
                <w:rFonts w:hint="eastAsia"/>
                <w:color w:val="auto"/>
                <w:u w:val="none"/>
                <w:lang w:val="en-US" w:eastAsia="zh-CN"/>
              </w:rPr>
              <w:t>外售综合利用</w:t>
            </w:r>
          </w:p>
        </w:tc>
      </w:tr>
      <w:tr w14:paraId="6B764D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0AE4B71E">
            <w:pPr>
              <w:pStyle w:val="24"/>
              <w:rPr>
                <w:color w:val="auto"/>
                <w:u w:val="none"/>
              </w:rPr>
            </w:pPr>
          </w:p>
        </w:tc>
        <w:tc>
          <w:tcPr>
            <w:tcW w:w="1401" w:type="dxa"/>
            <w:vMerge w:val="continue"/>
            <w:noWrap w:val="0"/>
            <w:vAlign w:val="center"/>
          </w:tcPr>
          <w:p w14:paraId="5930D4A3">
            <w:pPr>
              <w:pStyle w:val="24"/>
              <w:rPr>
                <w:color w:val="auto"/>
                <w:u w:val="none"/>
              </w:rPr>
            </w:pPr>
          </w:p>
        </w:tc>
        <w:tc>
          <w:tcPr>
            <w:tcW w:w="1584" w:type="dxa"/>
            <w:noWrap w:val="0"/>
            <w:vAlign w:val="center"/>
          </w:tcPr>
          <w:p w14:paraId="5F35598B">
            <w:pPr>
              <w:pStyle w:val="24"/>
              <w:rPr>
                <w:rFonts w:hint="eastAsia"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不合格产品</w:t>
            </w:r>
            <w:r>
              <w:rPr>
                <w:rFonts w:hint="eastAsia" w:ascii="Times New Roman" w:hAnsi="Times New Roman" w:cs="Times New Roman"/>
                <w:color w:val="auto"/>
                <w:u w:val="none"/>
                <w:lang w:val="en-US" w:eastAsia="zh-CN"/>
              </w:rPr>
              <w:t>及</w:t>
            </w:r>
            <w:r>
              <w:rPr>
                <w:rFonts w:hint="default" w:ascii="Times New Roman" w:hAnsi="Times New Roman" w:cs="Times New Roman"/>
                <w:color w:val="auto"/>
                <w:u w:val="none"/>
                <w:lang w:val="en-US" w:eastAsia="zh-CN"/>
              </w:rPr>
              <w:t>边角料</w:t>
            </w:r>
          </w:p>
        </w:tc>
        <w:tc>
          <w:tcPr>
            <w:tcW w:w="1529" w:type="dxa"/>
            <w:noWrap w:val="0"/>
            <w:vAlign w:val="center"/>
          </w:tcPr>
          <w:p w14:paraId="221F9FE8">
            <w:pPr>
              <w:pStyle w:val="24"/>
              <w:rPr>
                <w:rFonts w:hint="default"/>
                <w:color w:val="auto"/>
                <w:u w:val="none"/>
                <w:lang w:val="en-US" w:eastAsia="zh-CN"/>
              </w:rPr>
            </w:pPr>
            <w:r>
              <w:rPr>
                <w:rFonts w:hint="eastAsia"/>
                <w:color w:val="auto"/>
                <w:u w:val="none"/>
                <w:lang w:eastAsia="zh-CN"/>
              </w:rPr>
              <w:t>裁切、</w:t>
            </w:r>
            <w:r>
              <w:rPr>
                <w:rFonts w:hint="eastAsia"/>
                <w:color w:val="auto"/>
                <w:u w:val="none"/>
                <w:lang w:val="en-US" w:eastAsia="zh-CN"/>
              </w:rPr>
              <w:t>检验</w:t>
            </w:r>
          </w:p>
        </w:tc>
        <w:tc>
          <w:tcPr>
            <w:tcW w:w="2861" w:type="dxa"/>
            <w:vMerge w:val="restart"/>
            <w:noWrap w:val="0"/>
            <w:vAlign w:val="center"/>
          </w:tcPr>
          <w:p w14:paraId="67E810C7">
            <w:pPr>
              <w:pStyle w:val="24"/>
              <w:rPr>
                <w:rFonts w:hint="eastAsia"/>
                <w:color w:val="auto"/>
                <w:u w:val="none"/>
                <w:lang w:eastAsia="zh-CN"/>
              </w:rPr>
            </w:pPr>
            <w:r>
              <w:rPr>
                <w:rFonts w:hint="eastAsia"/>
                <w:color w:val="auto"/>
                <w:u w:val="none"/>
                <w:lang w:eastAsia="zh-CN"/>
              </w:rPr>
              <w:t>回用于生产</w:t>
            </w:r>
          </w:p>
        </w:tc>
      </w:tr>
      <w:tr w14:paraId="704D08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0431A2CB">
            <w:pPr>
              <w:pStyle w:val="24"/>
              <w:rPr>
                <w:color w:val="auto"/>
                <w:u w:val="none"/>
              </w:rPr>
            </w:pPr>
          </w:p>
        </w:tc>
        <w:tc>
          <w:tcPr>
            <w:tcW w:w="1401" w:type="dxa"/>
            <w:vMerge w:val="continue"/>
            <w:noWrap w:val="0"/>
            <w:vAlign w:val="center"/>
          </w:tcPr>
          <w:p w14:paraId="15553400">
            <w:pPr>
              <w:pStyle w:val="24"/>
              <w:rPr>
                <w:color w:val="auto"/>
                <w:u w:val="none"/>
              </w:rPr>
            </w:pPr>
          </w:p>
        </w:tc>
        <w:tc>
          <w:tcPr>
            <w:tcW w:w="1584" w:type="dxa"/>
            <w:noWrap w:val="0"/>
            <w:vAlign w:val="center"/>
          </w:tcPr>
          <w:p w14:paraId="3AB9D739">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废膜</w:t>
            </w:r>
          </w:p>
        </w:tc>
        <w:tc>
          <w:tcPr>
            <w:tcW w:w="1529" w:type="dxa"/>
            <w:noWrap w:val="0"/>
            <w:vAlign w:val="center"/>
          </w:tcPr>
          <w:p w14:paraId="1E5568B5">
            <w:pPr>
              <w:pStyle w:val="24"/>
              <w:rPr>
                <w:rFonts w:hint="default"/>
                <w:color w:val="auto"/>
                <w:u w:val="none"/>
                <w:lang w:val="en-US" w:eastAsia="zh-CN"/>
              </w:rPr>
            </w:pPr>
            <w:r>
              <w:rPr>
                <w:rFonts w:hint="eastAsia"/>
                <w:color w:val="auto"/>
                <w:u w:val="none"/>
                <w:lang w:val="en-US" w:eastAsia="zh-CN"/>
              </w:rPr>
              <w:t>裁切</w:t>
            </w:r>
          </w:p>
        </w:tc>
        <w:tc>
          <w:tcPr>
            <w:tcW w:w="2861" w:type="dxa"/>
            <w:vMerge w:val="continue"/>
            <w:noWrap w:val="0"/>
            <w:vAlign w:val="center"/>
          </w:tcPr>
          <w:p w14:paraId="1F3FE86A">
            <w:pPr>
              <w:pStyle w:val="24"/>
              <w:rPr>
                <w:rFonts w:hint="eastAsia"/>
                <w:color w:val="auto"/>
                <w:u w:val="none"/>
                <w:lang w:eastAsia="zh-CN"/>
              </w:rPr>
            </w:pPr>
          </w:p>
        </w:tc>
      </w:tr>
      <w:tr w14:paraId="73B88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3306E5B1">
            <w:pPr>
              <w:pStyle w:val="24"/>
              <w:rPr>
                <w:color w:val="auto"/>
                <w:u w:val="none"/>
              </w:rPr>
            </w:pPr>
          </w:p>
        </w:tc>
        <w:tc>
          <w:tcPr>
            <w:tcW w:w="1401" w:type="dxa"/>
            <w:vMerge w:val="continue"/>
            <w:noWrap w:val="0"/>
            <w:vAlign w:val="center"/>
          </w:tcPr>
          <w:p w14:paraId="36073F8F">
            <w:pPr>
              <w:pStyle w:val="24"/>
              <w:rPr>
                <w:color w:val="auto"/>
                <w:u w:val="none"/>
              </w:rPr>
            </w:pPr>
          </w:p>
        </w:tc>
        <w:tc>
          <w:tcPr>
            <w:tcW w:w="1584" w:type="dxa"/>
            <w:noWrap w:val="0"/>
            <w:vAlign w:val="center"/>
          </w:tcPr>
          <w:p w14:paraId="5E170A1A">
            <w:pPr>
              <w:pStyle w:val="24"/>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cs="Times New Roman"/>
                <w:color w:val="auto"/>
                <w:u w:val="none"/>
                <w:lang w:val="en-US" w:eastAsia="zh-CN"/>
              </w:rPr>
              <w:t>除尘系统</w:t>
            </w:r>
            <w:r>
              <w:rPr>
                <w:rFonts w:hint="default" w:ascii="Times New Roman" w:hAnsi="Times New Roman" w:cs="Times New Roman"/>
                <w:color w:val="auto"/>
                <w:u w:val="none"/>
                <w:lang w:val="en-US" w:eastAsia="zh-CN"/>
              </w:rPr>
              <w:t>收集的粉尘</w:t>
            </w:r>
          </w:p>
        </w:tc>
        <w:tc>
          <w:tcPr>
            <w:tcW w:w="1529" w:type="dxa"/>
            <w:noWrap w:val="0"/>
            <w:vAlign w:val="center"/>
          </w:tcPr>
          <w:p w14:paraId="472EAAAC">
            <w:pPr>
              <w:pStyle w:val="24"/>
              <w:rPr>
                <w:rFonts w:hint="eastAsia"/>
                <w:color w:val="auto"/>
                <w:u w:val="none"/>
                <w:lang w:eastAsia="zh-CN"/>
              </w:rPr>
            </w:pPr>
            <w:r>
              <w:rPr>
                <w:rFonts w:hint="eastAsia"/>
                <w:color w:val="auto"/>
                <w:u w:val="none"/>
                <w:lang w:eastAsia="zh-CN"/>
              </w:rPr>
              <w:t>废气处理</w:t>
            </w:r>
          </w:p>
        </w:tc>
        <w:tc>
          <w:tcPr>
            <w:tcW w:w="2861" w:type="dxa"/>
            <w:vMerge w:val="continue"/>
            <w:noWrap w:val="0"/>
            <w:vAlign w:val="center"/>
          </w:tcPr>
          <w:p w14:paraId="611DC83D">
            <w:pPr>
              <w:pStyle w:val="24"/>
              <w:rPr>
                <w:rFonts w:hint="eastAsia"/>
                <w:color w:val="auto"/>
                <w:u w:val="none"/>
                <w:lang w:eastAsia="zh-CN"/>
              </w:rPr>
            </w:pPr>
          </w:p>
        </w:tc>
      </w:tr>
      <w:tr w14:paraId="192F01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29" w:type="dxa"/>
            <w:vMerge w:val="continue"/>
            <w:noWrap w:val="0"/>
            <w:vAlign w:val="center"/>
          </w:tcPr>
          <w:p w14:paraId="031F24BC">
            <w:pPr>
              <w:pStyle w:val="24"/>
              <w:rPr>
                <w:color w:val="auto"/>
                <w:u w:val="none"/>
              </w:rPr>
            </w:pPr>
          </w:p>
        </w:tc>
        <w:tc>
          <w:tcPr>
            <w:tcW w:w="1401" w:type="dxa"/>
            <w:vMerge w:val="continue"/>
            <w:noWrap w:val="0"/>
            <w:vAlign w:val="center"/>
          </w:tcPr>
          <w:p w14:paraId="6D14074D">
            <w:pPr>
              <w:pStyle w:val="24"/>
              <w:rPr>
                <w:color w:val="auto"/>
                <w:u w:val="none"/>
              </w:rPr>
            </w:pPr>
          </w:p>
        </w:tc>
        <w:tc>
          <w:tcPr>
            <w:tcW w:w="1584" w:type="dxa"/>
            <w:noWrap w:val="0"/>
            <w:vAlign w:val="center"/>
          </w:tcPr>
          <w:p w14:paraId="7B4AD0A1">
            <w:pPr>
              <w:pStyle w:val="24"/>
              <w:rPr>
                <w:rFonts w:hint="eastAsia"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一般性废包装材料</w:t>
            </w:r>
          </w:p>
        </w:tc>
        <w:tc>
          <w:tcPr>
            <w:tcW w:w="1529" w:type="dxa"/>
            <w:vMerge w:val="restart"/>
            <w:noWrap w:val="0"/>
            <w:vAlign w:val="center"/>
          </w:tcPr>
          <w:p w14:paraId="440DD244">
            <w:pPr>
              <w:pStyle w:val="24"/>
              <w:rPr>
                <w:rFonts w:hint="eastAsia" w:ascii="Times New Roman" w:hAnsi="Times New Roman" w:eastAsia="宋体" w:cs="Times New Roman"/>
                <w:color w:val="auto"/>
                <w:kern w:val="2"/>
                <w:sz w:val="21"/>
                <w:szCs w:val="24"/>
                <w:u w:val="none"/>
                <w:lang w:val="en-US" w:eastAsia="zh-CN" w:bidi="ar-SA"/>
              </w:rPr>
            </w:pPr>
            <w:r>
              <w:rPr>
                <w:rFonts w:hint="eastAsia"/>
                <w:color w:val="auto"/>
                <w:u w:val="none"/>
                <w:lang w:eastAsia="zh-CN"/>
              </w:rPr>
              <w:t>原材料包装物</w:t>
            </w:r>
          </w:p>
        </w:tc>
        <w:tc>
          <w:tcPr>
            <w:tcW w:w="2861" w:type="dxa"/>
            <w:vMerge w:val="restart"/>
            <w:noWrap w:val="0"/>
            <w:vAlign w:val="center"/>
          </w:tcPr>
          <w:p w14:paraId="3A3DA34D">
            <w:pPr>
              <w:pStyle w:val="24"/>
              <w:rPr>
                <w:rFonts w:hint="eastAsia"/>
                <w:color w:val="auto"/>
                <w:u w:val="none"/>
                <w:lang w:eastAsia="zh-CN"/>
              </w:rPr>
            </w:pPr>
            <w:r>
              <w:rPr>
                <w:rFonts w:hint="eastAsia"/>
                <w:color w:val="auto"/>
                <w:u w:val="none"/>
                <w:lang w:eastAsia="zh-CN"/>
              </w:rPr>
              <w:t>其他包装材料收集后外售综合利用、水性胶粘剂包装桶收集后由厂家回收利用</w:t>
            </w:r>
          </w:p>
        </w:tc>
      </w:tr>
      <w:tr w14:paraId="64C577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170969EA">
            <w:pPr>
              <w:pStyle w:val="24"/>
              <w:rPr>
                <w:color w:val="auto"/>
                <w:u w:val="none"/>
              </w:rPr>
            </w:pPr>
          </w:p>
        </w:tc>
        <w:tc>
          <w:tcPr>
            <w:tcW w:w="1401" w:type="dxa"/>
            <w:vMerge w:val="continue"/>
            <w:noWrap w:val="0"/>
            <w:vAlign w:val="center"/>
          </w:tcPr>
          <w:p w14:paraId="536792D5">
            <w:pPr>
              <w:pStyle w:val="24"/>
              <w:rPr>
                <w:color w:val="auto"/>
                <w:u w:val="none"/>
              </w:rPr>
            </w:pPr>
          </w:p>
        </w:tc>
        <w:tc>
          <w:tcPr>
            <w:tcW w:w="1584" w:type="dxa"/>
            <w:noWrap w:val="0"/>
            <w:vAlign w:val="center"/>
          </w:tcPr>
          <w:p w14:paraId="653DF9EA">
            <w:pPr>
              <w:pStyle w:val="24"/>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溶剂型胶粘剂包装桶</w:t>
            </w:r>
          </w:p>
        </w:tc>
        <w:tc>
          <w:tcPr>
            <w:tcW w:w="1529" w:type="dxa"/>
            <w:vMerge w:val="restart"/>
            <w:noWrap w:val="0"/>
            <w:vAlign w:val="center"/>
          </w:tcPr>
          <w:p w14:paraId="7D41DB76">
            <w:pPr>
              <w:pStyle w:val="24"/>
              <w:rPr>
                <w:rFonts w:hint="eastAsia"/>
                <w:color w:val="auto"/>
                <w:u w:val="none"/>
                <w:lang w:eastAsia="zh-CN"/>
              </w:rPr>
            </w:pPr>
            <w:r>
              <w:rPr>
                <w:rFonts w:hint="eastAsia"/>
                <w:color w:val="auto"/>
                <w:u w:val="none"/>
                <w:lang w:eastAsia="zh-CN"/>
              </w:rPr>
              <w:t>废气处理</w:t>
            </w:r>
          </w:p>
        </w:tc>
        <w:tc>
          <w:tcPr>
            <w:tcW w:w="2861" w:type="dxa"/>
            <w:vMerge w:val="restart"/>
            <w:noWrap w:val="0"/>
            <w:vAlign w:val="center"/>
          </w:tcPr>
          <w:p w14:paraId="28C73906">
            <w:pPr>
              <w:pStyle w:val="24"/>
              <w:rPr>
                <w:rFonts w:hint="eastAsia"/>
                <w:color w:val="auto"/>
                <w:u w:val="none"/>
                <w:lang w:eastAsia="zh-CN"/>
              </w:rPr>
            </w:pPr>
            <w:r>
              <w:rPr>
                <w:rFonts w:hint="eastAsia"/>
                <w:color w:val="auto"/>
                <w:u w:val="none"/>
                <w:lang w:eastAsia="zh-CN"/>
              </w:rPr>
              <w:t>暂存于危废暂存间后，交由有资质单位处置</w:t>
            </w:r>
          </w:p>
        </w:tc>
      </w:tr>
      <w:tr w14:paraId="5E41AC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593049B7">
            <w:pPr>
              <w:pStyle w:val="24"/>
              <w:rPr>
                <w:color w:val="auto"/>
                <w:u w:val="none"/>
              </w:rPr>
            </w:pPr>
          </w:p>
        </w:tc>
        <w:tc>
          <w:tcPr>
            <w:tcW w:w="1401" w:type="dxa"/>
            <w:vMerge w:val="continue"/>
            <w:noWrap w:val="0"/>
            <w:vAlign w:val="center"/>
          </w:tcPr>
          <w:p w14:paraId="0140B948">
            <w:pPr>
              <w:pStyle w:val="24"/>
              <w:rPr>
                <w:color w:val="auto"/>
                <w:u w:val="none"/>
              </w:rPr>
            </w:pPr>
          </w:p>
        </w:tc>
        <w:tc>
          <w:tcPr>
            <w:tcW w:w="1584" w:type="dxa"/>
            <w:noWrap w:val="0"/>
            <w:vAlign w:val="center"/>
          </w:tcPr>
          <w:p w14:paraId="508E1A05">
            <w:pPr>
              <w:pStyle w:val="24"/>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废活性炭</w:t>
            </w:r>
          </w:p>
        </w:tc>
        <w:tc>
          <w:tcPr>
            <w:tcW w:w="1529" w:type="dxa"/>
            <w:vMerge w:val="continue"/>
            <w:noWrap w:val="0"/>
            <w:vAlign w:val="center"/>
          </w:tcPr>
          <w:p w14:paraId="4094A932">
            <w:pPr>
              <w:pStyle w:val="24"/>
              <w:rPr>
                <w:rFonts w:hint="eastAsia"/>
                <w:color w:val="auto"/>
                <w:u w:val="none"/>
                <w:lang w:eastAsia="zh-CN"/>
              </w:rPr>
            </w:pPr>
          </w:p>
        </w:tc>
        <w:tc>
          <w:tcPr>
            <w:tcW w:w="2861" w:type="dxa"/>
            <w:vMerge w:val="continue"/>
            <w:noWrap w:val="0"/>
            <w:vAlign w:val="center"/>
          </w:tcPr>
          <w:p w14:paraId="5DAD4E1D">
            <w:pPr>
              <w:pStyle w:val="24"/>
              <w:rPr>
                <w:rFonts w:hint="eastAsia"/>
                <w:color w:val="auto"/>
                <w:u w:val="none"/>
                <w:lang w:eastAsia="zh-CN"/>
              </w:rPr>
            </w:pPr>
          </w:p>
        </w:tc>
      </w:tr>
      <w:tr w14:paraId="7B460C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05D18219">
            <w:pPr>
              <w:pStyle w:val="24"/>
              <w:rPr>
                <w:color w:val="auto"/>
                <w:u w:val="none"/>
              </w:rPr>
            </w:pPr>
          </w:p>
        </w:tc>
        <w:tc>
          <w:tcPr>
            <w:tcW w:w="1401" w:type="dxa"/>
            <w:vMerge w:val="continue"/>
            <w:noWrap w:val="0"/>
            <w:vAlign w:val="center"/>
          </w:tcPr>
          <w:p w14:paraId="19A62DAA">
            <w:pPr>
              <w:pStyle w:val="24"/>
              <w:rPr>
                <w:color w:val="auto"/>
                <w:u w:val="none"/>
              </w:rPr>
            </w:pPr>
          </w:p>
        </w:tc>
        <w:tc>
          <w:tcPr>
            <w:tcW w:w="1584" w:type="dxa"/>
            <w:noWrap w:val="0"/>
            <w:vAlign w:val="center"/>
          </w:tcPr>
          <w:p w14:paraId="2FF1226B">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废矿物油</w:t>
            </w:r>
          </w:p>
        </w:tc>
        <w:tc>
          <w:tcPr>
            <w:tcW w:w="1529" w:type="dxa"/>
            <w:noWrap w:val="0"/>
            <w:vAlign w:val="center"/>
          </w:tcPr>
          <w:p w14:paraId="1AE916AD">
            <w:pPr>
              <w:pStyle w:val="24"/>
              <w:rPr>
                <w:rFonts w:hint="eastAsia" w:ascii="Times New Roman" w:hAnsi="Times New Roman" w:eastAsia="宋体" w:cs="Times New Roman"/>
                <w:color w:val="auto"/>
                <w:kern w:val="2"/>
                <w:sz w:val="21"/>
                <w:szCs w:val="24"/>
                <w:u w:val="none"/>
                <w:lang w:val="en-US" w:eastAsia="zh-CN" w:bidi="ar-SA"/>
              </w:rPr>
            </w:pPr>
            <w:r>
              <w:rPr>
                <w:rFonts w:hint="eastAsia"/>
                <w:color w:val="auto"/>
                <w:u w:val="none"/>
                <w:lang w:eastAsia="zh-CN"/>
              </w:rPr>
              <w:t>设备保养</w:t>
            </w:r>
          </w:p>
        </w:tc>
        <w:tc>
          <w:tcPr>
            <w:tcW w:w="2861" w:type="dxa"/>
            <w:vMerge w:val="continue"/>
            <w:noWrap w:val="0"/>
            <w:vAlign w:val="center"/>
          </w:tcPr>
          <w:p w14:paraId="5337958B">
            <w:pPr>
              <w:pStyle w:val="24"/>
              <w:rPr>
                <w:rFonts w:hint="eastAsia"/>
                <w:color w:val="auto"/>
                <w:u w:val="none"/>
                <w:lang w:eastAsia="zh-CN"/>
              </w:rPr>
            </w:pPr>
          </w:p>
        </w:tc>
      </w:tr>
      <w:tr w14:paraId="095FC6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29" w:type="dxa"/>
            <w:vMerge w:val="continue"/>
            <w:noWrap w:val="0"/>
            <w:vAlign w:val="center"/>
          </w:tcPr>
          <w:p w14:paraId="778EA2A2">
            <w:pPr>
              <w:pStyle w:val="24"/>
              <w:rPr>
                <w:color w:val="auto"/>
                <w:u w:val="none"/>
              </w:rPr>
            </w:pPr>
          </w:p>
        </w:tc>
        <w:tc>
          <w:tcPr>
            <w:tcW w:w="1401" w:type="dxa"/>
            <w:noWrap w:val="0"/>
            <w:vAlign w:val="center"/>
          </w:tcPr>
          <w:p w14:paraId="42BC7967">
            <w:pPr>
              <w:pStyle w:val="24"/>
              <w:rPr>
                <w:color w:val="auto"/>
                <w:u w:val="none"/>
              </w:rPr>
            </w:pPr>
            <w:r>
              <w:rPr>
                <w:color w:val="auto"/>
                <w:u w:val="none"/>
              </w:rPr>
              <w:t>生活过程</w:t>
            </w:r>
          </w:p>
        </w:tc>
        <w:tc>
          <w:tcPr>
            <w:tcW w:w="1584" w:type="dxa"/>
            <w:noWrap w:val="0"/>
            <w:vAlign w:val="center"/>
          </w:tcPr>
          <w:p w14:paraId="0E64903C">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生活垃圾</w:t>
            </w:r>
          </w:p>
        </w:tc>
        <w:tc>
          <w:tcPr>
            <w:tcW w:w="1529" w:type="dxa"/>
            <w:noWrap w:val="0"/>
            <w:vAlign w:val="center"/>
          </w:tcPr>
          <w:p w14:paraId="7E5A06B8">
            <w:pPr>
              <w:pStyle w:val="24"/>
              <w:rPr>
                <w:rFonts w:hint="eastAsia" w:eastAsia="宋体"/>
                <w:color w:val="auto"/>
                <w:u w:val="none"/>
                <w:lang w:eastAsia="zh-CN"/>
              </w:rPr>
            </w:pPr>
            <w:r>
              <w:rPr>
                <w:rFonts w:hint="eastAsia"/>
                <w:color w:val="auto"/>
                <w:u w:val="none"/>
                <w:lang w:eastAsia="zh-CN"/>
              </w:rPr>
              <w:t>员工生活</w:t>
            </w:r>
          </w:p>
        </w:tc>
        <w:tc>
          <w:tcPr>
            <w:tcW w:w="2861" w:type="dxa"/>
            <w:noWrap w:val="0"/>
            <w:vAlign w:val="center"/>
          </w:tcPr>
          <w:p w14:paraId="16B77944">
            <w:pPr>
              <w:pStyle w:val="24"/>
              <w:rPr>
                <w:color w:val="auto"/>
                <w:u w:val="none"/>
              </w:rPr>
            </w:pPr>
            <w:r>
              <w:rPr>
                <w:color w:val="auto"/>
                <w:u w:val="none"/>
              </w:rPr>
              <w:t>由环卫部门回收处理</w:t>
            </w:r>
          </w:p>
        </w:tc>
      </w:tr>
    </w:tbl>
    <w:p w14:paraId="2FA4A99C">
      <w:pPr>
        <w:pStyle w:val="3"/>
        <w:bidi w:val="0"/>
        <w:rPr>
          <w:rFonts w:hint="eastAsia"/>
          <w:color w:val="auto"/>
          <w:u w:val="none" w:color="auto"/>
          <w:lang w:val="en-US" w:eastAsia="zh-CN"/>
        </w:rPr>
      </w:pPr>
      <w:bookmarkStart w:id="631" w:name="_Toc18494"/>
      <w:bookmarkStart w:id="632" w:name="_Toc17895"/>
      <w:bookmarkStart w:id="633" w:name="_Toc22581"/>
      <w:r>
        <w:rPr>
          <w:rFonts w:hint="eastAsia"/>
          <w:color w:val="auto"/>
          <w:u w:val="none" w:color="auto"/>
          <w:lang w:val="en-US" w:eastAsia="zh-CN"/>
        </w:rPr>
        <w:t>4.3相关工程平衡</w:t>
      </w:r>
      <w:bookmarkEnd w:id="631"/>
      <w:bookmarkEnd w:id="632"/>
      <w:bookmarkEnd w:id="633"/>
    </w:p>
    <w:p w14:paraId="661396FB">
      <w:pPr>
        <w:pStyle w:val="4"/>
        <w:bidi w:val="0"/>
        <w:rPr>
          <w:rFonts w:hint="eastAsia"/>
          <w:color w:val="auto"/>
          <w:u w:val="none" w:color="auto"/>
          <w:lang w:val="en-US" w:eastAsia="zh-CN"/>
        </w:rPr>
      </w:pPr>
      <w:bookmarkStart w:id="634" w:name="_Toc25819"/>
      <w:bookmarkStart w:id="635" w:name="_Toc19107"/>
      <w:bookmarkStart w:id="636" w:name="_Toc17695"/>
      <w:r>
        <w:rPr>
          <w:rFonts w:hint="eastAsia"/>
          <w:color w:val="auto"/>
          <w:u w:val="none" w:color="auto"/>
          <w:lang w:val="en-US" w:eastAsia="zh-CN"/>
        </w:rPr>
        <w:t>4.3.1水平衡</w:t>
      </w:r>
      <w:bookmarkEnd w:id="634"/>
      <w:bookmarkEnd w:id="635"/>
      <w:bookmarkEnd w:id="636"/>
    </w:p>
    <w:p w14:paraId="5EDB7C46">
      <w:pPr>
        <w:pStyle w:val="20"/>
        <w:bidi w:val="0"/>
        <w:rPr>
          <w:rFonts w:hint="eastAsia"/>
          <w:color w:val="auto"/>
          <w:u w:val="none" w:color="auto"/>
          <w:lang w:val="en-US" w:eastAsia="zh-CN"/>
        </w:rPr>
      </w:pPr>
      <w:r>
        <w:rPr>
          <w:rFonts w:hint="eastAsia"/>
          <w:color w:val="auto"/>
          <w:u w:val="none" w:color="auto"/>
          <w:lang w:val="en-US" w:eastAsia="zh-CN"/>
        </w:rPr>
        <w:t>本项目用水主要来源于生活用水和冷却用水。根据建设方提供的资料，项目地面清洁采用人工清扫的方式，不使用水对地面进行冲洗，故无地面冲洗水的产生。</w:t>
      </w:r>
    </w:p>
    <w:p w14:paraId="420BF3B9">
      <w:pPr>
        <w:pStyle w:val="20"/>
        <w:bidi w:val="0"/>
        <w:rPr>
          <w:rFonts w:hint="eastAsia"/>
          <w:color w:val="auto"/>
          <w:u w:val="none" w:color="auto"/>
          <w:lang w:val="en-US" w:eastAsia="zh-CN"/>
        </w:rPr>
      </w:pPr>
      <w:r>
        <w:rPr>
          <w:rFonts w:hint="eastAsia"/>
          <w:color w:val="auto"/>
          <w:u w:val="none" w:color="auto"/>
          <w:lang w:val="en-US" w:eastAsia="zh-CN"/>
        </w:rPr>
        <w:t>（1）生活用水</w:t>
      </w:r>
    </w:p>
    <w:p w14:paraId="0F711362">
      <w:pPr>
        <w:pStyle w:val="20"/>
        <w:bidi w:val="0"/>
        <w:rPr>
          <w:rFonts w:hint="eastAsia"/>
          <w:color w:val="auto"/>
          <w:u w:val="none" w:color="auto"/>
          <w:lang w:val="en-US" w:eastAsia="zh-CN"/>
        </w:rPr>
      </w:pPr>
      <w:r>
        <w:rPr>
          <w:rFonts w:hint="eastAsia"/>
          <w:color w:val="auto"/>
          <w:u w:val="none" w:color="auto"/>
          <w:lang w:val="en-US" w:eastAsia="zh-CN"/>
        </w:rPr>
        <w:t>本项目职工60人，提供食宿，根据湖南省地方标准《用水定额》（DB43/T388.3-2025）住宿员工每人用水145L/d，年工作日300天。则职工生活用水量2610m</w:t>
      </w:r>
      <w:r>
        <w:rPr>
          <w:rFonts w:hint="eastAsia"/>
          <w:color w:val="auto"/>
          <w:u w:val="none" w:color="auto"/>
          <w:vertAlign w:val="superscript"/>
          <w:lang w:val="en-US" w:eastAsia="zh-CN"/>
        </w:rPr>
        <w:t>3</w:t>
      </w:r>
      <w:r>
        <w:rPr>
          <w:rFonts w:hint="eastAsia"/>
          <w:color w:val="auto"/>
          <w:u w:val="none" w:color="auto"/>
          <w:lang w:val="en-US" w:eastAsia="zh-CN"/>
        </w:rPr>
        <w:t>/a（8.7m</w:t>
      </w:r>
      <w:r>
        <w:rPr>
          <w:rFonts w:hint="eastAsia"/>
          <w:color w:val="auto"/>
          <w:u w:val="none" w:color="auto"/>
          <w:vertAlign w:val="superscript"/>
          <w:lang w:val="en-US" w:eastAsia="zh-CN"/>
        </w:rPr>
        <w:t>3</w:t>
      </w:r>
      <w:r>
        <w:rPr>
          <w:rFonts w:hint="eastAsia"/>
          <w:color w:val="auto"/>
          <w:u w:val="none" w:color="auto"/>
          <w:lang w:val="en-US" w:eastAsia="zh-CN"/>
        </w:rPr>
        <w:t>/d）；污水排放量按用水量的80%计，则污水排放量为2088m</w:t>
      </w:r>
      <w:r>
        <w:rPr>
          <w:rFonts w:hint="eastAsia"/>
          <w:color w:val="auto"/>
          <w:u w:val="none" w:color="auto"/>
          <w:vertAlign w:val="superscript"/>
          <w:lang w:val="en-US" w:eastAsia="zh-CN"/>
        </w:rPr>
        <w:t>3</w:t>
      </w:r>
      <w:r>
        <w:rPr>
          <w:rFonts w:hint="eastAsia"/>
          <w:color w:val="auto"/>
          <w:u w:val="none" w:color="auto"/>
          <w:lang w:val="en-US" w:eastAsia="zh-CN"/>
        </w:rPr>
        <w:t>/a（6.96m</w:t>
      </w:r>
      <w:r>
        <w:rPr>
          <w:rFonts w:hint="eastAsia"/>
          <w:color w:val="auto"/>
          <w:u w:val="none" w:color="auto"/>
          <w:vertAlign w:val="superscript"/>
          <w:lang w:val="en-US" w:eastAsia="zh-CN"/>
        </w:rPr>
        <w:t>3</w:t>
      </w:r>
      <w:r>
        <w:rPr>
          <w:rFonts w:hint="eastAsia"/>
          <w:color w:val="auto"/>
          <w:u w:val="none" w:color="auto"/>
          <w:lang w:val="en-US" w:eastAsia="zh-CN"/>
        </w:rPr>
        <w:t>/d）。本项目车间内不设置生活区，食宿均设置于综合楼，员工生活污水经化粪池处理后进入湖南</w:t>
      </w:r>
      <w:r>
        <w:rPr>
          <w:rFonts w:hint="default" w:ascii="Times New Roman" w:hAnsi="Times New Roman" w:eastAsia="宋体" w:cs="Times New Roman"/>
          <w:color w:val="auto"/>
          <w:u w:val="none" w:color="auto"/>
        </w:rPr>
        <w:t>汨罗高新技术产业开发区（循环园区</w:t>
      </w:r>
      <w:bookmarkStart w:id="1727" w:name="_GoBack"/>
      <w:bookmarkEnd w:id="1727"/>
      <w:r>
        <w:rPr>
          <w:rFonts w:hint="default" w:ascii="Times New Roman" w:hAnsi="Times New Roman" w:eastAsia="宋体" w:cs="Times New Roman"/>
          <w:color w:val="auto"/>
          <w:u w:val="none" w:color="auto"/>
        </w:rPr>
        <w:t>）污水处理厂</w:t>
      </w:r>
      <w:r>
        <w:rPr>
          <w:rFonts w:hint="eastAsia"/>
          <w:color w:val="auto"/>
          <w:u w:val="none" w:color="auto"/>
          <w:lang w:val="en-US" w:eastAsia="zh-CN"/>
        </w:rPr>
        <w:t>处理。</w:t>
      </w:r>
    </w:p>
    <w:p w14:paraId="2C64130C">
      <w:pPr>
        <w:pStyle w:val="20"/>
        <w:bidi w:val="0"/>
        <w:rPr>
          <w:rFonts w:hint="eastAsia"/>
          <w:color w:val="auto"/>
          <w:u w:val="none" w:color="auto"/>
          <w:lang w:val="en-US" w:eastAsia="zh-CN"/>
        </w:rPr>
      </w:pPr>
      <w:r>
        <w:rPr>
          <w:rFonts w:hint="eastAsia"/>
          <w:color w:val="auto"/>
          <w:u w:val="none" w:color="auto"/>
          <w:lang w:val="en-US" w:eastAsia="zh-CN"/>
        </w:rPr>
        <w:t>本项目生产用水主要为冷却用水，主要用于产品冷却及挤出机设备冷却。</w:t>
      </w:r>
    </w:p>
    <w:p w14:paraId="339B5F15">
      <w:pPr>
        <w:pStyle w:val="20"/>
        <w:bidi w:val="0"/>
        <w:rPr>
          <w:rFonts w:hint="eastAsia"/>
          <w:color w:val="auto"/>
          <w:u w:val="none" w:color="auto"/>
          <w:lang w:val="en-US" w:eastAsia="zh-CN"/>
        </w:rPr>
      </w:pPr>
      <w:r>
        <w:rPr>
          <w:rFonts w:hint="eastAsia"/>
          <w:color w:val="auto"/>
          <w:u w:val="none" w:color="auto"/>
          <w:lang w:val="en-US" w:eastAsia="zh-CN"/>
        </w:rPr>
        <w:t>（2）冷却水</w:t>
      </w:r>
    </w:p>
    <w:p w14:paraId="60AFAB4A">
      <w:pPr>
        <w:pStyle w:val="20"/>
        <w:bidi w:val="0"/>
        <w:rPr>
          <w:rFonts w:hint="eastAsia"/>
          <w:color w:val="auto"/>
          <w:u w:val="none" w:color="auto"/>
          <w:lang w:val="en-US" w:eastAsia="zh-CN"/>
        </w:rPr>
      </w:pPr>
      <w:r>
        <w:rPr>
          <w:rFonts w:hint="eastAsia"/>
          <w:color w:val="auto"/>
          <w:u w:val="none" w:color="auto"/>
          <w:lang w:val="en-US" w:eastAsia="zh-CN"/>
        </w:rPr>
        <w:t>项目产品冷却、设备冷却均采用直接热交换冷却的方式，冷却水经循环沉淀池后循环使用，水循环冷却系统会因为水汽的蒸发损失水量，则定期补充损耗水，不外排。本项目有循环沉淀池规格约90m</w:t>
      </w:r>
      <w:r>
        <w:rPr>
          <w:rFonts w:hint="eastAsia"/>
          <w:color w:val="auto"/>
          <w:u w:val="none" w:color="auto"/>
          <w:vertAlign w:val="superscript"/>
          <w:lang w:val="en-US" w:eastAsia="zh-CN"/>
        </w:rPr>
        <w:t>3</w:t>
      </w:r>
      <w:r>
        <w:rPr>
          <w:rFonts w:hint="eastAsia"/>
          <w:color w:val="auto"/>
          <w:u w:val="none" w:color="auto"/>
          <w:lang w:val="en-US" w:eastAsia="zh-CN"/>
        </w:rPr>
        <w:t>，其有效容积为80m</w:t>
      </w:r>
      <w:r>
        <w:rPr>
          <w:rFonts w:hint="eastAsia"/>
          <w:color w:val="auto"/>
          <w:u w:val="none" w:color="auto"/>
          <w:vertAlign w:val="superscript"/>
          <w:lang w:val="en-US" w:eastAsia="zh-CN"/>
        </w:rPr>
        <w:t>3</w:t>
      </w:r>
      <w:r>
        <w:rPr>
          <w:rFonts w:hint="eastAsia"/>
          <w:color w:val="auto"/>
          <w:u w:val="none" w:color="auto"/>
          <w:lang w:val="en-US" w:eastAsia="zh-CN"/>
        </w:rPr>
        <w:t>，故循环量为80m</w:t>
      </w:r>
      <w:r>
        <w:rPr>
          <w:rFonts w:hint="eastAsia"/>
          <w:color w:val="auto"/>
          <w:u w:val="none" w:color="auto"/>
          <w:vertAlign w:val="superscript"/>
          <w:lang w:val="en-US" w:eastAsia="zh-CN"/>
        </w:rPr>
        <w:t>3</w:t>
      </w:r>
      <w:r>
        <w:rPr>
          <w:rFonts w:hint="eastAsia"/>
          <w:color w:val="auto"/>
          <w:u w:val="none" w:color="auto"/>
          <w:lang w:val="en-US" w:eastAsia="zh-CN"/>
        </w:rPr>
        <w:t>/d，每天蒸发量按3%计算，则损耗量为2.4m</w:t>
      </w:r>
      <w:r>
        <w:rPr>
          <w:rFonts w:hint="eastAsia"/>
          <w:color w:val="auto"/>
          <w:u w:val="none" w:color="auto"/>
          <w:vertAlign w:val="superscript"/>
          <w:lang w:val="en-US" w:eastAsia="zh-CN"/>
        </w:rPr>
        <w:t>3</w:t>
      </w:r>
      <w:r>
        <w:rPr>
          <w:rFonts w:hint="eastAsia"/>
          <w:color w:val="auto"/>
          <w:u w:val="none" w:color="auto"/>
          <w:lang w:val="en-US" w:eastAsia="zh-CN"/>
        </w:rPr>
        <w:t>/d，补充水量约为2.4m</w:t>
      </w:r>
      <w:r>
        <w:rPr>
          <w:rFonts w:hint="eastAsia"/>
          <w:color w:val="auto"/>
          <w:u w:val="none" w:color="auto"/>
          <w:vertAlign w:val="superscript"/>
          <w:lang w:val="en-US" w:eastAsia="zh-CN"/>
        </w:rPr>
        <w:t>3</w:t>
      </w:r>
      <w:r>
        <w:rPr>
          <w:rFonts w:hint="eastAsia"/>
          <w:color w:val="auto"/>
          <w:u w:val="none" w:color="auto"/>
          <w:lang w:val="en-US" w:eastAsia="zh-CN"/>
        </w:rPr>
        <w:t>/d（720m</w:t>
      </w:r>
      <w:r>
        <w:rPr>
          <w:rFonts w:hint="eastAsia"/>
          <w:color w:val="auto"/>
          <w:u w:val="none" w:color="auto"/>
          <w:vertAlign w:val="superscript"/>
          <w:lang w:val="en-US" w:eastAsia="zh-CN"/>
        </w:rPr>
        <w:t>3</w:t>
      </w:r>
      <w:r>
        <w:rPr>
          <w:rFonts w:hint="eastAsia"/>
          <w:color w:val="auto"/>
          <w:u w:val="none" w:color="auto"/>
          <w:lang w:val="en-US" w:eastAsia="zh-CN"/>
        </w:rPr>
        <w:t>/a）。</w:t>
      </w:r>
    </w:p>
    <w:p w14:paraId="649761CE">
      <w:pPr>
        <w:pStyle w:val="20"/>
        <w:bidi w:val="0"/>
        <w:rPr>
          <w:rFonts w:hint="eastAsia" w:ascii="Times New Roman" w:hAnsi="Times New Roman" w:eastAsia="宋体" w:cs="Times New Roman"/>
          <w:color w:val="auto"/>
          <w:kern w:val="2"/>
          <w:sz w:val="24"/>
          <w:szCs w:val="24"/>
          <w:highlight w:val="none"/>
          <w:u w:val="none" w:color="auto"/>
          <w:lang w:val="en-US" w:eastAsia="zh-CN" w:bidi="ar-SA"/>
        </w:rPr>
      </w:pPr>
      <w:r>
        <w:rPr>
          <w:rFonts w:hint="eastAsia" w:ascii="Times New Roman" w:hAnsi="Times New Roman" w:eastAsia="宋体" w:cs="Times New Roman"/>
          <w:color w:val="auto"/>
          <w:kern w:val="2"/>
          <w:sz w:val="24"/>
          <w:szCs w:val="24"/>
          <w:highlight w:val="none"/>
          <w:u w:val="none" w:color="auto"/>
          <w:lang w:val="en-US" w:eastAsia="zh-CN" w:bidi="ar-SA"/>
        </w:rPr>
        <w:t>项目水平衡图如下图所示。</w:t>
      </w:r>
    </w:p>
    <w:p w14:paraId="0039D18D">
      <w:pPr>
        <w:pStyle w:val="22"/>
        <w:bidi w:val="0"/>
        <w:rPr>
          <w:rFonts w:hint="eastAsia" w:ascii="Times New Roman" w:hAnsi="Times New Roman" w:cs="Times New Roman"/>
          <w:b/>
          <w:bCs w:val="0"/>
          <w:color w:val="auto"/>
          <w:u w:val="none" w:color="auto"/>
          <w:lang w:val="en-US" w:eastAsia="zh-CN"/>
        </w:rPr>
      </w:pPr>
      <w:r>
        <w:rPr>
          <w:rFonts w:hint="eastAsia" w:ascii="Times New Roman" w:hAnsi="Times New Roman" w:cs="Times New Roman"/>
          <w:b/>
          <w:bCs w:val="0"/>
          <w:color w:val="auto"/>
          <w:u w:val="none" w:color="auto"/>
          <w:lang w:val="en-US" w:eastAsia="zh-CN"/>
        </w:rPr>
        <w:object>
          <v:shape id="_x0000_i1040" o:spt="75" type="#_x0000_t75" style="height:190.2pt;width:414.85pt;" o:ole="t" filled="f" o:preferrelative="t" stroked="f" coordsize="21600,21600">
            <v:path/>
            <v:fill on="f" focussize="0,0"/>
            <v:stroke on="f"/>
            <v:imagedata r:id="rId38" o:title=""/>
            <o:lock v:ext="edit" aspectratio="f"/>
            <w10:wrap type="none"/>
            <w10:anchorlock/>
          </v:shape>
          <o:OLEObject Type="Embed" ProgID="Visio.Drawing.15" ShapeID="_x0000_i1040" DrawAspect="Content" ObjectID="_1468075732" r:id="rId37">
            <o:LockedField>false</o:LockedField>
          </o:OLEObject>
        </w:object>
      </w:r>
      <w:r>
        <w:rPr>
          <w:rFonts w:hint="eastAsia" w:ascii="Times New Roman" w:hAnsi="Times New Roman" w:cs="Times New Roman"/>
          <w:b/>
          <w:bCs w:val="0"/>
          <w:color w:val="auto"/>
          <w:u w:val="none" w:color="auto"/>
          <w:lang w:val="en-US" w:eastAsia="zh-CN"/>
        </w:rPr>
        <w:t>图4.3-1 水平衡图（单位：t/a）</w:t>
      </w:r>
    </w:p>
    <w:p w14:paraId="467BEF96">
      <w:pPr>
        <w:pStyle w:val="4"/>
        <w:bidi w:val="0"/>
        <w:rPr>
          <w:rFonts w:hint="eastAsia"/>
          <w:color w:val="auto"/>
          <w:u w:val="none" w:color="auto"/>
          <w:lang w:val="en-US" w:eastAsia="zh-CN"/>
        </w:rPr>
      </w:pPr>
      <w:bookmarkStart w:id="637" w:name="_Toc10220"/>
      <w:bookmarkStart w:id="638" w:name="_Toc4681"/>
      <w:bookmarkStart w:id="639" w:name="_Toc29289"/>
      <w:r>
        <w:rPr>
          <w:rFonts w:hint="eastAsia"/>
          <w:color w:val="auto"/>
          <w:u w:val="none" w:color="auto"/>
          <w:lang w:val="en-US" w:eastAsia="zh-CN"/>
        </w:rPr>
        <w:t>4.3.2物料平衡</w:t>
      </w:r>
      <w:bookmarkEnd w:id="637"/>
      <w:bookmarkEnd w:id="638"/>
      <w:bookmarkEnd w:id="639"/>
    </w:p>
    <w:p w14:paraId="543A9AC8">
      <w:pPr>
        <w:pStyle w:val="20"/>
        <w:bidi w:val="0"/>
        <w:rPr>
          <w:rFonts w:hint="eastAsia"/>
          <w:color w:val="auto"/>
          <w:u w:val="none" w:color="auto"/>
          <w:lang w:val="en-US" w:eastAsia="zh-CN"/>
        </w:rPr>
      </w:pPr>
      <w:r>
        <w:rPr>
          <w:rFonts w:hint="eastAsia"/>
          <w:color w:val="auto"/>
          <w:u w:val="none" w:color="auto"/>
          <w:lang w:val="en-US" w:eastAsia="zh-CN"/>
        </w:rPr>
        <w:t>项目PVC大板生产线物料平衡表如下图所示。</w:t>
      </w:r>
    </w:p>
    <w:p w14:paraId="14DE7FF8">
      <w:pPr>
        <w:pStyle w:val="22"/>
        <w:bidi w:val="0"/>
        <w:rPr>
          <w:rFonts w:hint="eastAsia"/>
          <w:color w:val="auto"/>
          <w:u w:val="none" w:color="auto"/>
          <w:lang w:val="en-US" w:eastAsia="zh-CN"/>
        </w:rPr>
      </w:pPr>
      <w:r>
        <w:rPr>
          <w:rFonts w:hint="eastAsia"/>
          <w:color w:val="auto"/>
          <w:u w:val="none" w:color="auto"/>
          <w:lang w:val="en-US" w:eastAsia="zh-CN"/>
        </w:rPr>
        <w:t>表4.3-1 PVC大板物料平衡表（单位：t/a）</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2266"/>
        <w:gridCol w:w="1605"/>
        <w:gridCol w:w="2643"/>
        <w:gridCol w:w="1320"/>
      </w:tblGrid>
      <w:tr w14:paraId="53386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vMerge w:val="restart"/>
            <w:noWrap w:val="0"/>
            <w:vAlign w:val="center"/>
          </w:tcPr>
          <w:p w14:paraId="7ECFEF96">
            <w:pPr>
              <w:pStyle w:val="24"/>
              <w:bidi w:val="0"/>
              <w:rPr>
                <w:rFonts w:hint="default"/>
                <w:color w:val="auto"/>
                <w:u w:val="none"/>
              </w:rPr>
            </w:pPr>
            <w:r>
              <w:rPr>
                <w:rFonts w:hint="default"/>
                <w:color w:val="auto"/>
                <w:u w:val="none"/>
              </w:rPr>
              <w:t>序号</w:t>
            </w:r>
          </w:p>
        </w:tc>
        <w:tc>
          <w:tcPr>
            <w:tcW w:w="3871" w:type="dxa"/>
            <w:gridSpan w:val="2"/>
            <w:noWrap w:val="0"/>
            <w:vAlign w:val="center"/>
          </w:tcPr>
          <w:p w14:paraId="695291B1">
            <w:pPr>
              <w:pStyle w:val="24"/>
              <w:bidi w:val="0"/>
              <w:rPr>
                <w:rFonts w:hint="default"/>
                <w:color w:val="auto"/>
                <w:u w:val="none"/>
              </w:rPr>
            </w:pPr>
            <w:r>
              <w:rPr>
                <w:rFonts w:hint="default"/>
                <w:color w:val="auto"/>
                <w:u w:val="none"/>
              </w:rPr>
              <w:t>输入过程</w:t>
            </w:r>
          </w:p>
        </w:tc>
        <w:tc>
          <w:tcPr>
            <w:tcW w:w="3963" w:type="dxa"/>
            <w:gridSpan w:val="2"/>
            <w:noWrap w:val="0"/>
            <w:vAlign w:val="center"/>
          </w:tcPr>
          <w:p w14:paraId="4121ADC5">
            <w:pPr>
              <w:pStyle w:val="24"/>
              <w:bidi w:val="0"/>
              <w:rPr>
                <w:rFonts w:hint="default"/>
                <w:color w:val="auto"/>
                <w:u w:val="none"/>
              </w:rPr>
            </w:pPr>
            <w:r>
              <w:rPr>
                <w:rFonts w:hint="default"/>
                <w:color w:val="auto"/>
                <w:u w:val="none"/>
              </w:rPr>
              <w:t>输出过程</w:t>
            </w:r>
          </w:p>
          <w:p w14:paraId="5D2E78C4">
            <w:pPr>
              <w:pStyle w:val="24"/>
              <w:bidi w:val="0"/>
              <w:rPr>
                <w:rFonts w:hint="default"/>
                <w:color w:val="auto"/>
                <w:u w:val="none"/>
              </w:rPr>
            </w:pPr>
            <w:r>
              <w:rPr>
                <w:rFonts w:hint="default"/>
                <w:color w:val="auto"/>
                <w:u w:val="none"/>
              </w:rPr>
              <w:t>产生量吨/年</w:t>
            </w:r>
          </w:p>
        </w:tc>
      </w:tr>
      <w:tr w14:paraId="3F2BC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vMerge w:val="continue"/>
            <w:noWrap w:val="0"/>
            <w:vAlign w:val="center"/>
          </w:tcPr>
          <w:p w14:paraId="53B3DDCD">
            <w:pPr>
              <w:pStyle w:val="24"/>
              <w:bidi w:val="0"/>
              <w:rPr>
                <w:rFonts w:hint="default"/>
                <w:color w:val="auto"/>
                <w:u w:val="none"/>
              </w:rPr>
            </w:pPr>
          </w:p>
        </w:tc>
        <w:tc>
          <w:tcPr>
            <w:tcW w:w="2266" w:type="dxa"/>
            <w:noWrap w:val="0"/>
            <w:vAlign w:val="center"/>
          </w:tcPr>
          <w:p w14:paraId="3F9797FE">
            <w:pPr>
              <w:pStyle w:val="24"/>
              <w:bidi w:val="0"/>
              <w:rPr>
                <w:rFonts w:hint="default"/>
                <w:color w:val="auto"/>
                <w:u w:val="none"/>
              </w:rPr>
            </w:pPr>
            <w:r>
              <w:rPr>
                <w:rFonts w:hint="default"/>
                <w:color w:val="auto"/>
                <w:u w:val="none"/>
              </w:rPr>
              <w:t>物料名称</w:t>
            </w:r>
          </w:p>
        </w:tc>
        <w:tc>
          <w:tcPr>
            <w:tcW w:w="1605" w:type="dxa"/>
            <w:noWrap w:val="0"/>
            <w:vAlign w:val="center"/>
          </w:tcPr>
          <w:p w14:paraId="696C5FF2">
            <w:pPr>
              <w:pStyle w:val="24"/>
              <w:bidi w:val="0"/>
              <w:rPr>
                <w:rFonts w:hint="default"/>
                <w:color w:val="auto"/>
                <w:u w:val="none"/>
              </w:rPr>
            </w:pPr>
            <w:r>
              <w:rPr>
                <w:rFonts w:hint="default"/>
                <w:color w:val="auto"/>
                <w:u w:val="none"/>
              </w:rPr>
              <w:t>数量</w:t>
            </w:r>
          </w:p>
        </w:tc>
        <w:tc>
          <w:tcPr>
            <w:tcW w:w="2643" w:type="dxa"/>
            <w:noWrap w:val="0"/>
            <w:vAlign w:val="center"/>
          </w:tcPr>
          <w:p w14:paraId="3D8B5378">
            <w:pPr>
              <w:pStyle w:val="24"/>
              <w:bidi w:val="0"/>
              <w:rPr>
                <w:rFonts w:hint="default"/>
                <w:color w:val="auto"/>
                <w:u w:val="none"/>
              </w:rPr>
            </w:pPr>
            <w:r>
              <w:rPr>
                <w:rFonts w:hint="default"/>
                <w:color w:val="auto"/>
                <w:u w:val="none"/>
              </w:rPr>
              <w:t>物料名称</w:t>
            </w:r>
          </w:p>
        </w:tc>
        <w:tc>
          <w:tcPr>
            <w:tcW w:w="1320" w:type="dxa"/>
            <w:noWrap w:val="0"/>
            <w:vAlign w:val="center"/>
          </w:tcPr>
          <w:p w14:paraId="385059F2">
            <w:pPr>
              <w:pStyle w:val="24"/>
              <w:bidi w:val="0"/>
              <w:rPr>
                <w:rFonts w:hint="default"/>
                <w:color w:val="auto"/>
                <w:u w:val="none"/>
              </w:rPr>
            </w:pPr>
            <w:r>
              <w:rPr>
                <w:rFonts w:hint="default"/>
                <w:color w:val="auto"/>
                <w:u w:val="none"/>
              </w:rPr>
              <w:t>数量</w:t>
            </w:r>
          </w:p>
        </w:tc>
      </w:tr>
      <w:tr w14:paraId="6389DE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76A18451">
            <w:pPr>
              <w:pStyle w:val="24"/>
              <w:bidi w:val="0"/>
              <w:rPr>
                <w:rFonts w:hint="default"/>
                <w:color w:val="auto"/>
                <w:u w:val="none"/>
              </w:rPr>
            </w:pPr>
            <w:r>
              <w:rPr>
                <w:rFonts w:hint="default"/>
                <w:color w:val="auto"/>
                <w:u w:val="none"/>
              </w:rPr>
              <w:t>1</w:t>
            </w:r>
          </w:p>
        </w:tc>
        <w:tc>
          <w:tcPr>
            <w:tcW w:w="2266" w:type="dxa"/>
            <w:noWrap w:val="0"/>
            <w:vAlign w:val="center"/>
          </w:tcPr>
          <w:p w14:paraId="62709011">
            <w:pPr>
              <w:pStyle w:val="24"/>
              <w:bidi w:val="0"/>
              <w:rPr>
                <w:rFonts w:hint="default"/>
                <w:color w:val="auto"/>
                <w:u w:val="none"/>
              </w:rPr>
            </w:pPr>
            <w:r>
              <w:rPr>
                <w:rFonts w:hint="default"/>
                <w:color w:val="auto"/>
                <w:u w:val="none"/>
                <w:lang w:val="en-US" w:eastAsia="zh-CN"/>
              </w:rPr>
              <w:t>PVC再生塑料</w:t>
            </w:r>
          </w:p>
        </w:tc>
        <w:tc>
          <w:tcPr>
            <w:tcW w:w="1605" w:type="dxa"/>
            <w:noWrap w:val="0"/>
            <w:vAlign w:val="center"/>
          </w:tcPr>
          <w:p w14:paraId="4CF82B9B">
            <w:pPr>
              <w:pStyle w:val="24"/>
              <w:bidi w:val="0"/>
              <w:rPr>
                <w:rFonts w:hint="default" w:eastAsia="宋体"/>
                <w:color w:val="auto"/>
                <w:u w:val="none"/>
                <w:lang w:val="en-US" w:eastAsia="zh-CN"/>
              </w:rPr>
            </w:pPr>
            <w:r>
              <w:rPr>
                <w:rFonts w:hint="eastAsia"/>
                <w:color w:val="auto"/>
                <w:u w:val="none"/>
                <w:lang w:val="en-US" w:eastAsia="zh-CN"/>
              </w:rPr>
              <w:t>10000</w:t>
            </w:r>
          </w:p>
        </w:tc>
        <w:tc>
          <w:tcPr>
            <w:tcW w:w="2643" w:type="dxa"/>
            <w:noWrap w:val="0"/>
            <w:vAlign w:val="center"/>
          </w:tcPr>
          <w:p w14:paraId="5DBB39EA">
            <w:pPr>
              <w:pStyle w:val="24"/>
              <w:bidi w:val="0"/>
              <w:rPr>
                <w:rFonts w:hint="default" w:ascii="Times New Roman" w:hAnsi="Times New Roman" w:eastAsia="宋体" w:cs="Times New Roman"/>
                <w:color w:val="auto"/>
                <w:kern w:val="2"/>
                <w:sz w:val="21"/>
                <w:szCs w:val="21"/>
                <w:u w:val="none"/>
                <w:lang w:val="en-US" w:eastAsia="zh-CN" w:bidi="ar-SA"/>
              </w:rPr>
            </w:pPr>
            <w:r>
              <w:rPr>
                <w:rFonts w:hint="default"/>
                <w:color w:val="auto"/>
                <w:u w:val="none"/>
                <w:lang w:val="en-US" w:eastAsia="zh-CN"/>
              </w:rPr>
              <w:t>PVC</w:t>
            </w:r>
            <w:r>
              <w:rPr>
                <w:rFonts w:hint="eastAsia"/>
                <w:color w:val="auto"/>
                <w:u w:val="none"/>
                <w:lang w:val="en-US" w:eastAsia="zh-CN"/>
              </w:rPr>
              <w:t>大板</w:t>
            </w:r>
          </w:p>
        </w:tc>
        <w:tc>
          <w:tcPr>
            <w:tcW w:w="1320" w:type="dxa"/>
            <w:noWrap w:val="0"/>
            <w:vAlign w:val="center"/>
          </w:tcPr>
          <w:p w14:paraId="367589B9">
            <w:pPr>
              <w:pStyle w:val="24"/>
              <w:bidi w:val="0"/>
              <w:rPr>
                <w:rFonts w:hint="default" w:eastAsia="宋体"/>
                <w:color w:val="auto"/>
                <w:u w:val="none"/>
                <w:lang w:val="en-US" w:eastAsia="zh-CN"/>
              </w:rPr>
            </w:pPr>
            <w:r>
              <w:rPr>
                <w:rFonts w:hint="eastAsia"/>
                <w:color w:val="auto"/>
                <w:u w:val="none"/>
                <w:lang w:val="en-US" w:eastAsia="zh-CN"/>
              </w:rPr>
              <w:t>30000</w:t>
            </w:r>
          </w:p>
        </w:tc>
      </w:tr>
      <w:tr w14:paraId="5AB408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7FA4E84D">
            <w:pPr>
              <w:pStyle w:val="24"/>
              <w:bidi w:val="0"/>
              <w:rPr>
                <w:rFonts w:hint="default"/>
                <w:color w:val="auto"/>
                <w:u w:val="none"/>
                <w:lang w:val="en-US" w:eastAsia="zh-CN"/>
              </w:rPr>
            </w:pPr>
            <w:r>
              <w:rPr>
                <w:rFonts w:hint="default"/>
                <w:color w:val="auto"/>
                <w:u w:val="none"/>
                <w:lang w:val="en-US" w:eastAsia="zh-CN"/>
              </w:rPr>
              <w:t>2</w:t>
            </w:r>
          </w:p>
        </w:tc>
        <w:tc>
          <w:tcPr>
            <w:tcW w:w="2266" w:type="dxa"/>
            <w:noWrap w:val="0"/>
            <w:vAlign w:val="center"/>
          </w:tcPr>
          <w:p w14:paraId="4DEEA982">
            <w:pPr>
              <w:pStyle w:val="24"/>
              <w:bidi w:val="0"/>
              <w:rPr>
                <w:rFonts w:hint="default"/>
                <w:color w:val="auto"/>
                <w:u w:val="none"/>
              </w:rPr>
            </w:pPr>
            <w:r>
              <w:rPr>
                <w:rFonts w:hint="default"/>
                <w:color w:val="auto"/>
                <w:u w:val="none"/>
                <w:lang w:val="en-US" w:eastAsia="zh-CN"/>
              </w:rPr>
              <w:t>PVC树脂粉</w:t>
            </w:r>
          </w:p>
        </w:tc>
        <w:tc>
          <w:tcPr>
            <w:tcW w:w="1605" w:type="dxa"/>
            <w:noWrap w:val="0"/>
            <w:vAlign w:val="center"/>
          </w:tcPr>
          <w:p w14:paraId="4B1EBDF6">
            <w:pPr>
              <w:pStyle w:val="24"/>
              <w:bidi w:val="0"/>
              <w:rPr>
                <w:rFonts w:hint="default" w:eastAsia="宋体"/>
                <w:color w:val="auto"/>
                <w:u w:val="none"/>
                <w:lang w:val="en-US" w:eastAsia="zh-CN"/>
              </w:rPr>
            </w:pPr>
            <w:r>
              <w:rPr>
                <w:rFonts w:hint="eastAsia"/>
                <w:color w:val="auto"/>
                <w:u w:val="none"/>
                <w:lang w:val="en-US" w:eastAsia="zh-CN"/>
              </w:rPr>
              <w:t>1350</w:t>
            </w:r>
          </w:p>
        </w:tc>
        <w:tc>
          <w:tcPr>
            <w:tcW w:w="2643" w:type="dxa"/>
            <w:noWrap w:val="0"/>
            <w:vAlign w:val="center"/>
          </w:tcPr>
          <w:p w14:paraId="3B020F72">
            <w:pPr>
              <w:pStyle w:val="24"/>
              <w:bidi w:val="0"/>
              <w:rPr>
                <w:rFonts w:hint="default" w:ascii="Times New Roman" w:hAnsi="Times New Roman" w:eastAsia="宋体" w:cs="Times New Roman"/>
                <w:color w:val="auto"/>
                <w:kern w:val="2"/>
                <w:sz w:val="21"/>
                <w:szCs w:val="21"/>
                <w:u w:val="none"/>
                <w:lang w:val="en-US" w:eastAsia="zh-CN" w:bidi="ar-SA"/>
              </w:rPr>
            </w:pPr>
            <w:r>
              <w:rPr>
                <w:rFonts w:hint="eastAsia"/>
                <w:color w:val="auto"/>
                <w:u w:val="none"/>
                <w:lang w:val="en-US" w:eastAsia="zh-CN"/>
              </w:rPr>
              <w:t>非甲烷总烃</w:t>
            </w:r>
          </w:p>
        </w:tc>
        <w:tc>
          <w:tcPr>
            <w:tcW w:w="1320" w:type="dxa"/>
            <w:noWrap w:val="0"/>
            <w:vAlign w:val="center"/>
          </w:tcPr>
          <w:p w14:paraId="79C21D5F">
            <w:pPr>
              <w:pStyle w:val="24"/>
              <w:bidi w:val="0"/>
              <w:rPr>
                <w:rFonts w:hint="default" w:eastAsia="宋体"/>
                <w:color w:val="auto"/>
                <w:u w:val="none"/>
                <w:lang w:val="en-US" w:eastAsia="zh-CN"/>
              </w:rPr>
            </w:pPr>
            <w:r>
              <w:rPr>
                <w:rFonts w:hint="eastAsia"/>
                <w:color w:val="auto"/>
                <w:u w:val="none"/>
                <w:lang w:val="en-US" w:eastAsia="zh-CN"/>
              </w:rPr>
              <w:t>4.68</w:t>
            </w:r>
          </w:p>
        </w:tc>
      </w:tr>
      <w:tr w14:paraId="15B28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3B38ECA3">
            <w:pPr>
              <w:pStyle w:val="24"/>
              <w:bidi w:val="0"/>
              <w:rPr>
                <w:rFonts w:hint="default"/>
                <w:color w:val="auto"/>
                <w:u w:val="none"/>
                <w:lang w:val="en-US" w:eastAsia="zh-CN"/>
              </w:rPr>
            </w:pPr>
            <w:r>
              <w:rPr>
                <w:rFonts w:hint="default"/>
                <w:color w:val="auto"/>
                <w:u w:val="none"/>
                <w:lang w:val="en-US" w:eastAsia="zh-CN"/>
              </w:rPr>
              <w:t>3</w:t>
            </w:r>
          </w:p>
        </w:tc>
        <w:tc>
          <w:tcPr>
            <w:tcW w:w="2266" w:type="dxa"/>
            <w:noWrap w:val="0"/>
            <w:vAlign w:val="center"/>
          </w:tcPr>
          <w:p w14:paraId="6EA95619">
            <w:pPr>
              <w:pStyle w:val="24"/>
              <w:bidi w:val="0"/>
              <w:rPr>
                <w:rFonts w:hint="default"/>
                <w:color w:val="auto"/>
                <w:u w:val="none"/>
              </w:rPr>
            </w:pPr>
            <w:r>
              <w:rPr>
                <w:rFonts w:hint="default"/>
                <w:color w:val="auto"/>
                <w:u w:val="none"/>
                <w:lang w:val="en-US" w:eastAsia="zh-CN"/>
              </w:rPr>
              <w:t>轻质碳酸钙</w:t>
            </w:r>
          </w:p>
        </w:tc>
        <w:tc>
          <w:tcPr>
            <w:tcW w:w="1605" w:type="dxa"/>
            <w:noWrap w:val="0"/>
            <w:vAlign w:val="center"/>
          </w:tcPr>
          <w:p w14:paraId="3490C5C3">
            <w:pPr>
              <w:pStyle w:val="24"/>
              <w:bidi w:val="0"/>
              <w:rPr>
                <w:rFonts w:hint="default" w:eastAsia="宋体"/>
                <w:color w:val="auto"/>
                <w:u w:val="none"/>
                <w:lang w:val="en-US" w:eastAsia="zh-CN"/>
              </w:rPr>
            </w:pPr>
            <w:r>
              <w:rPr>
                <w:rFonts w:hint="eastAsia"/>
                <w:color w:val="auto"/>
                <w:u w:val="none"/>
                <w:lang w:val="en-US" w:eastAsia="zh-CN"/>
              </w:rPr>
              <w:t>15000</w:t>
            </w:r>
          </w:p>
        </w:tc>
        <w:tc>
          <w:tcPr>
            <w:tcW w:w="2643" w:type="dxa"/>
            <w:noWrap w:val="0"/>
            <w:vAlign w:val="center"/>
          </w:tcPr>
          <w:p w14:paraId="491C5119">
            <w:pPr>
              <w:pStyle w:val="24"/>
              <w:bidi w:val="0"/>
              <w:rPr>
                <w:rFonts w:hint="default" w:ascii="Times New Roman" w:hAnsi="Times New Roman" w:eastAsia="宋体" w:cs="Times New Roman"/>
                <w:color w:val="auto"/>
                <w:kern w:val="2"/>
                <w:sz w:val="21"/>
                <w:szCs w:val="21"/>
                <w:u w:val="none"/>
                <w:lang w:val="en-US" w:eastAsia="zh-CN" w:bidi="ar-SA"/>
              </w:rPr>
            </w:pPr>
            <w:r>
              <w:rPr>
                <w:rFonts w:hint="eastAsia" w:cs="Times New Roman"/>
                <w:color w:val="auto"/>
                <w:kern w:val="2"/>
                <w:sz w:val="21"/>
                <w:szCs w:val="21"/>
                <w:u w:val="none"/>
                <w:lang w:val="en-US" w:eastAsia="zh-CN" w:bidi="ar-SA"/>
              </w:rPr>
              <w:t>二甲苯</w:t>
            </w:r>
          </w:p>
        </w:tc>
        <w:tc>
          <w:tcPr>
            <w:tcW w:w="1320" w:type="dxa"/>
            <w:noWrap w:val="0"/>
            <w:vAlign w:val="center"/>
          </w:tcPr>
          <w:p w14:paraId="596724D9">
            <w:pPr>
              <w:pStyle w:val="24"/>
              <w:bidi w:val="0"/>
              <w:rPr>
                <w:rFonts w:hint="default"/>
                <w:color w:val="auto"/>
                <w:u w:val="none"/>
                <w:lang w:val="en-US" w:eastAsia="zh-CN"/>
              </w:rPr>
            </w:pPr>
            <w:r>
              <w:rPr>
                <w:rFonts w:hint="eastAsia"/>
                <w:color w:val="auto"/>
                <w:u w:val="none"/>
                <w:lang w:val="en-US" w:eastAsia="zh-CN"/>
              </w:rPr>
              <w:t>0.606</w:t>
            </w:r>
          </w:p>
        </w:tc>
      </w:tr>
      <w:tr w14:paraId="35B964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29B94C12">
            <w:pPr>
              <w:pStyle w:val="24"/>
              <w:bidi w:val="0"/>
              <w:rPr>
                <w:rFonts w:hint="default"/>
                <w:color w:val="auto"/>
                <w:u w:val="none"/>
                <w:lang w:val="en-US" w:eastAsia="zh-CN"/>
              </w:rPr>
            </w:pPr>
            <w:r>
              <w:rPr>
                <w:rFonts w:hint="default"/>
                <w:color w:val="auto"/>
                <w:u w:val="none"/>
                <w:lang w:val="en-US" w:eastAsia="zh-CN"/>
              </w:rPr>
              <w:t>4</w:t>
            </w:r>
          </w:p>
        </w:tc>
        <w:tc>
          <w:tcPr>
            <w:tcW w:w="2266" w:type="dxa"/>
            <w:noWrap w:val="0"/>
            <w:vAlign w:val="center"/>
          </w:tcPr>
          <w:p w14:paraId="1F4F5953">
            <w:pPr>
              <w:pStyle w:val="24"/>
              <w:bidi w:val="0"/>
              <w:rPr>
                <w:rFonts w:hint="default"/>
                <w:color w:val="auto"/>
                <w:u w:val="none"/>
              </w:rPr>
            </w:pPr>
            <w:r>
              <w:rPr>
                <w:rFonts w:hint="default"/>
                <w:color w:val="auto"/>
                <w:u w:val="none"/>
                <w:lang w:val="en-US" w:eastAsia="zh-CN"/>
              </w:rPr>
              <w:t>CPE塑料增强剂</w:t>
            </w:r>
          </w:p>
        </w:tc>
        <w:tc>
          <w:tcPr>
            <w:tcW w:w="1605" w:type="dxa"/>
            <w:noWrap w:val="0"/>
            <w:vAlign w:val="center"/>
          </w:tcPr>
          <w:p w14:paraId="2E26375B">
            <w:pPr>
              <w:pStyle w:val="24"/>
              <w:bidi w:val="0"/>
              <w:rPr>
                <w:rFonts w:hint="default" w:eastAsia="宋体"/>
                <w:color w:val="auto"/>
                <w:u w:val="none"/>
                <w:lang w:val="en-US" w:eastAsia="zh-CN"/>
              </w:rPr>
            </w:pPr>
            <w:r>
              <w:rPr>
                <w:rFonts w:hint="eastAsia"/>
                <w:color w:val="auto"/>
                <w:u w:val="none"/>
                <w:lang w:val="en-US" w:eastAsia="zh-CN"/>
              </w:rPr>
              <w:t>300</w:t>
            </w:r>
          </w:p>
        </w:tc>
        <w:tc>
          <w:tcPr>
            <w:tcW w:w="2643" w:type="dxa"/>
            <w:noWrap w:val="0"/>
            <w:vAlign w:val="center"/>
          </w:tcPr>
          <w:p w14:paraId="337D931B">
            <w:pPr>
              <w:pStyle w:val="24"/>
              <w:bidi w:val="0"/>
              <w:rPr>
                <w:rFonts w:hint="default" w:ascii="Times New Roman" w:hAnsi="Times New Roman" w:eastAsia="宋体" w:cs="Times New Roman"/>
                <w:color w:val="auto"/>
                <w:kern w:val="2"/>
                <w:sz w:val="21"/>
                <w:szCs w:val="21"/>
                <w:u w:val="none"/>
                <w:lang w:val="en-US" w:eastAsia="zh-CN" w:bidi="ar-SA"/>
              </w:rPr>
            </w:pPr>
            <w:r>
              <w:rPr>
                <w:rFonts w:hint="eastAsia"/>
                <w:color w:val="auto"/>
                <w:u w:val="none"/>
                <w:lang w:val="en-US" w:eastAsia="zh-CN"/>
              </w:rPr>
              <w:t>排放的</w:t>
            </w:r>
            <w:r>
              <w:rPr>
                <w:rFonts w:hint="default"/>
                <w:color w:val="auto"/>
                <w:u w:val="none"/>
                <w:lang w:val="en-US" w:eastAsia="zh-CN"/>
              </w:rPr>
              <w:t>粉尘</w:t>
            </w:r>
          </w:p>
        </w:tc>
        <w:tc>
          <w:tcPr>
            <w:tcW w:w="1320" w:type="dxa"/>
            <w:noWrap w:val="0"/>
            <w:vAlign w:val="center"/>
          </w:tcPr>
          <w:p w14:paraId="71E4A071">
            <w:pPr>
              <w:pStyle w:val="24"/>
              <w:bidi w:val="0"/>
              <w:rPr>
                <w:rFonts w:hint="default" w:ascii="Times New Roman" w:hAnsi="Times New Roman" w:eastAsia="宋体" w:cs="Times New Roman"/>
                <w:color w:val="auto"/>
                <w:kern w:val="2"/>
                <w:sz w:val="21"/>
                <w:szCs w:val="21"/>
                <w:u w:val="none"/>
                <w:lang w:val="en-US" w:eastAsia="zh-CN" w:bidi="ar-SA"/>
              </w:rPr>
            </w:pPr>
            <w:r>
              <w:rPr>
                <w:rFonts w:hint="eastAsia"/>
                <w:color w:val="auto"/>
                <w:u w:val="none"/>
                <w:lang w:val="en-US" w:eastAsia="zh-CN"/>
              </w:rPr>
              <w:t>1.132</w:t>
            </w:r>
          </w:p>
        </w:tc>
      </w:tr>
      <w:tr w14:paraId="4C2CE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6408A0E6">
            <w:pPr>
              <w:pStyle w:val="24"/>
              <w:bidi w:val="0"/>
              <w:rPr>
                <w:rFonts w:hint="default"/>
                <w:color w:val="auto"/>
                <w:u w:val="none"/>
                <w:lang w:val="en-US" w:eastAsia="zh-CN"/>
              </w:rPr>
            </w:pPr>
            <w:r>
              <w:rPr>
                <w:rFonts w:hint="default"/>
                <w:color w:val="auto"/>
                <w:u w:val="none"/>
                <w:lang w:val="en-US" w:eastAsia="zh-CN"/>
              </w:rPr>
              <w:t>5</w:t>
            </w:r>
          </w:p>
        </w:tc>
        <w:tc>
          <w:tcPr>
            <w:tcW w:w="2266" w:type="dxa"/>
            <w:noWrap w:val="0"/>
            <w:vAlign w:val="center"/>
          </w:tcPr>
          <w:p w14:paraId="54D138F2">
            <w:pPr>
              <w:pStyle w:val="24"/>
              <w:bidi w:val="0"/>
              <w:rPr>
                <w:rFonts w:hint="default"/>
                <w:color w:val="auto"/>
                <w:u w:val="none"/>
              </w:rPr>
            </w:pPr>
            <w:r>
              <w:rPr>
                <w:rFonts w:hint="default"/>
                <w:color w:val="auto"/>
                <w:u w:val="none"/>
                <w:lang w:val="en-US" w:eastAsia="zh-CN"/>
              </w:rPr>
              <w:t>硬脂酸</w:t>
            </w:r>
          </w:p>
        </w:tc>
        <w:tc>
          <w:tcPr>
            <w:tcW w:w="1605" w:type="dxa"/>
            <w:noWrap w:val="0"/>
            <w:vAlign w:val="center"/>
          </w:tcPr>
          <w:p w14:paraId="1748CF0B">
            <w:pPr>
              <w:pStyle w:val="24"/>
              <w:bidi w:val="0"/>
              <w:rPr>
                <w:rFonts w:hint="default" w:eastAsia="宋体"/>
                <w:color w:val="auto"/>
                <w:u w:val="none"/>
                <w:lang w:val="en-US" w:eastAsia="zh-CN"/>
              </w:rPr>
            </w:pPr>
            <w:r>
              <w:rPr>
                <w:rFonts w:hint="eastAsia"/>
                <w:color w:val="auto"/>
                <w:u w:val="none"/>
                <w:lang w:val="en-US" w:eastAsia="zh-CN"/>
              </w:rPr>
              <w:t>1140</w:t>
            </w:r>
          </w:p>
        </w:tc>
        <w:tc>
          <w:tcPr>
            <w:tcW w:w="2643" w:type="dxa"/>
            <w:noWrap w:val="0"/>
            <w:vAlign w:val="center"/>
          </w:tcPr>
          <w:p w14:paraId="600233F5">
            <w:pPr>
              <w:pStyle w:val="24"/>
              <w:bidi w:val="0"/>
              <w:rPr>
                <w:rFonts w:hint="default" w:ascii="Times New Roman" w:hAnsi="Times New Roman" w:eastAsia="宋体" w:cs="Times New Roman"/>
                <w:color w:val="auto"/>
                <w:kern w:val="2"/>
                <w:sz w:val="21"/>
                <w:szCs w:val="21"/>
                <w:u w:val="none"/>
                <w:lang w:val="en-US" w:eastAsia="zh-CN" w:bidi="ar-SA"/>
              </w:rPr>
            </w:pPr>
            <w:r>
              <w:rPr>
                <w:rFonts w:hint="default"/>
                <w:color w:val="auto"/>
                <w:u w:val="none"/>
                <w:lang w:val="en-US" w:eastAsia="zh-CN"/>
              </w:rPr>
              <w:t>HCl</w:t>
            </w:r>
          </w:p>
        </w:tc>
        <w:tc>
          <w:tcPr>
            <w:tcW w:w="1320" w:type="dxa"/>
            <w:noWrap w:val="0"/>
            <w:vAlign w:val="center"/>
          </w:tcPr>
          <w:p w14:paraId="7BF58934">
            <w:pPr>
              <w:pStyle w:val="24"/>
              <w:bidi w:val="0"/>
              <w:rPr>
                <w:rFonts w:hint="default" w:ascii="Times New Roman" w:hAnsi="Times New Roman" w:eastAsia="宋体" w:cs="Times New Roman"/>
                <w:color w:val="auto"/>
                <w:kern w:val="2"/>
                <w:sz w:val="21"/>
                <w:szCs w:val="21"/>
                <w:u w:val="none"/>
                <w:lang w:val="en-US" w:eastAsia="zh-CN" w:bidi="ar-SA"/>
              </w:rPr>
            </w:pPr>
            <w:r>
              <w:rPr>
                <w:rFonts w:hint="eastAsia"/>
                <w:color w:val="auto"/>
                <w:u w:val="none"/>
                <w:lang w:val="en-US" w:eastAsia="zh-CN"/>
              </w:rPr>
              <w:t>0.57</w:t>
            </w:r>
          </w:p>
        </w:tc>
      </w:tr>
      <w:tr w14:paraId="494968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55DBDC9C">
            <w:pPr>
              <w:pStyle w:val="24"/>
              <w:bidi w:val="0"/>
              <w:rPr>
                <w:rFonts w:hint="default"/>
                <w:color w:val="auto"/>
                <w:u w:val="none"/>
                <w:lang w:val="en-US" w:eastAsia="zh-CN"/>
              </w:rPr>
            </w:pPr>
            <w:r>
              <w:rPr>
                <w:rFonts w:hint="default"/>
                <w:color w:val="auto"/>
                <w:u w:val="none"/>
                <w:lang w:val="en-US" w:eastAsia="zh-CN"/>
              </w:rPr>
              <w:t>6</w:t>
            </w:r>
          </w:p>
        </w:tc>
        <w:tc>
          <w:tcPr>
            <w:tcW w:w="2266" w:type="dxa"/>
            <w:noWrap w:val="0"/>
            <w:vAlign w:val="center"/>
          </w:tcPr>
          <w:p w14:paraId="154D9A96">
            <w:pPr>
              <w:pStyle w:val="24"/>
              <w:bidi w:val="0"/>
              <w:rPr>
                <w:rFonts w:hint="default"/>
                <w:color w:val="auto"/>
                <w:u w:val="none"/>
              </w:rPr>
            </w:pPr>
            <w:r>
              <w:rPr>
                <w:rFonts w:hint="default"/>
                <w:color w:val="auto"/>
                <w:u w:val="none"/>
                <w:lang w:val="en-US" w:eastAsia="zh-CN"/>
              </w:rPr>
              <w:t>发泡剂</w:t>
            </w:r>
          </w:p>
        </w:tc>
        <w:tc>
          <w:tcPr>
            <w:tcW w:w="1605" w:type="dxa"/>
            <w:noWrap w:val="0"/>
            <w:vAlign w:val="center"/>
          </w:tcPr>
          <w:p w14:paraId="6A9CB007">
            <w:pPr>
              <w:pStyle w:val="24"/>
              <w:bidi w:val="0"/>
              <w:rPr>
                <w:rFonts w:hint="default" w:eastAsia="宋体"/>
                <w:color w:val="auto"/>
                <w:u w:val="none"/>
                <w:lang w:val="en-US" w:eastAsia="zh-CN"/>
              </w:rPr>
            </w:pPr>
            <w:r>
              <w:rPr>
                <w:rFonts w:hint="eastAsia"/>
                <w:color w:val="auto"/>
                <w:u w:val="none"/>
                <w:lang w:val="en-US" w:eastAsia="zh-CN"/>
              </w:rPr>
              <w:t>300</w:t>
            </w:r>
          </w:p>
        </w:tc>
        <w:tc>
          <w:tcPr>
            <w:tcW w:w="2643" w:type="dxa"/>
            <w:noWrap w:val="0"/>
            <w:vAlign w:val="center"/>
          </w:tcPr>
          <w:p w14:paraId="56D07E13">
            <w:pPr>
              <w:pStyle w:val="24"/>
              <w:bidi w:val="0"/>
              <w:rPr>
                <w:rFonts w:hint="eastAsia"/>
                <w:color w:val="auto"/>
                <w:u w:val="none"/>
                <w:lang w:eastAsia="zh-CN"/>
              </w:rPr>
            </w:pPr>
          </w:p>
        </w:tc>
        <w:tc>
          <w:tcPr>
            <w:tcW w:w="1320" w:type="dxa"/>
            <w:noWrap w:val="0"/>
            <w:vAlign w:val="center"/>
          </w:tcPr>
          <w:p w14:paraId="6BD7DF3F">
            <w:pPr>
              <w:pStyle w:val="24"/>
              <w:bidi w:val="0"/>
              <w:rPr>
                <w:rFonts w:hint="default"/>
                <w:color w:val="auto"/>
                <w:u w:val="none"/>
                <w:lang w:val="en-US" w:eastAsia="zh-CN"/>
              </w:rPr>
            </w:pPr>
          </w:p>
        </w:tc>
      </w:tr>
      <w:tr w14:paraId="5B47B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0CA08B3A">
            <w:pPr>
              <w:pStyle w:val="24"/>
              <w:bidi w:val="0"/>
              <w:rPr>
                <w:rFonts w:hint="default"/>
                <w:color w:val="auto"/>
                <w:u w:val="none"/>
                <w:lang w:val="en-US" w:eastAsia="zh-CN"/>
              </w:rPr>
            </w:pPr>
            <w:r>
              <w:rPr>
                <w:rFonts w:hint="default"/>
                <w:color w:val="auto"/>
                <w:u w:val="none"/>
                <w:lang w:val="en-US" w:eastAsia="zh-CN"/>
              </w:rPr>
              <w:t>7</w:t>
            </w:r>
          </w:p>
        </w:tc>
        <w:tc>
          <w:tcPr>
            <w:tcW w:w="2266" w:type="dxa"/>
            <w:noWrap w:val="0"/>
            <w:vAlign w:val="center"/>
          </w:tcPr>
          <w:p w14:paraId="2F6C858B">
            <w:pPr>
              <w:pStyle w:val="24"/>
              <w:bidi w:val="0"/>
              <w:rPr>
                <w:rFonts w:hint="default"/>
                <w:color w:val="auto"/>
                <w:u w:val="none"/>
              </w:rPr>
            </w:pPr>
            <w:r>
              <w:rPr>
                <w:rFonts w:hint="default"/>
                <w:color w:val="auto"/>
                <w:u w:val="none"/>
                <w:lang w:val="en-US" w:eastAsia="zh-CN"/>
              </w:rPr>
              <w:t>复合稳定剂</w:t>
            </w:r>
          </w:p>
        </w:tc>
        <w:tc>
          <w:tcPr>
            <w:tcW w:w="1605" w:type="dxa"/>
            <w:noWrap w:val="0"/>
            <w:vAlign w:val="center"/>
          </w:tcPr>
          <w:p w14:paraId="32C6DC91">
            <w:pPr>
              <w:pStyle w:val="24"/>
              <w:bidi w:val="0"/>
              <w:rPr>
                <w:rFonts w:hint="default" w:eastAsia="宋体"/>
                <w:color w:val="auto"/>
                <w:u w:val="none"/>
                <w:lang w:val="en-US" w:eastAsia="zh-CN"/>
              </w:rPr>
            </w:pPr>
            <w:r>
              <w:rPr>
                <w:rFonts w:hint="eastAsia"/>
                <w:color w:val="auto"/>
                <w:u w:val="none"/>
                <w:lang w:val="en-US" w:eastAsia="zh-CN"/>
              </w:rPr>
              <w:t>1200</w:t>
            </w:r>
          </w:p>
        </w:tc>
        <w:tc>
          <w:tcPr>
            <w:tcW w:w="2643" w:type="dxa"/>
            <w:noWrap w:val="0"/>
            <w:vAlign w:val="center"/>
          </w:tcPr>
          <w:p w14:paraId="6B52391B">
            <w:pPr>
              <w:pStyle w:val="24"/>
              <w:bidi w:val="0"/>
              <w:rPr>
                <w:rFonts w:hint="eastAsia"/>
                <w:color w:val="auto"/>
                <w:u w:val="none"/>
                <w:lang w:eastAsia="zh-CN"/>
              </w:rPr>
            </w:pPr>
          </w:p>
        </w:tc>
        <w:tc>
          <w:tcPr>
            <w:tcW w:w="1320" w:type="dxa"/>
            <w:noWrap w:val="0"/>
            <w:vAlign w:val="center"/>
          </w:tcPr>
          <w:p w14:paraId="491746B1">
            <w:pPr>
              <w:pStyle w:val="24"/>
              <w:bidi w:val="0"/>
              <w:rPr>
                <w:rFonts w:hint="default"/>
                <w:color w:val="auto"/>
                <w:u w:val="none"/>
                <w:lang w:val="en-US" w:eastAsia="zh-CN"/>
              </w:rPr>
            </w:pPr>
          </w:p>
        </w:tc>
      </w:tr>
      <w:tr w14:paraId="42990F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05F1D928">
            <w:pPr>
              <w:pStyle w:val="24"/>
              <w:bidi w:val="0"/>
              <w:rPr>
                <w:rFonts w:hint="default"/>
                <w:color w:val="auto"/>
                <w:u w:val="none"/>
                <w:lang w:val="en-US" w:eastAsia="zh-CN"/>
              </w:rPr>
            </w:pPr>
            <w:r>
              <w:rPr>
                <w:rFonts w:hint="default"/>
                <w:color w:val="auto"/>
                <w:u w:val="none"/>
                <w:lang w:val="en-US" w:eastAsia="zh-CN"/>
              </w:rPr>
              <w:t>8</w:t>
            </w:r>
          </w:p>
        </w:tc>
        <w:tc>
          <w:tcPr>
            <w:tcW w:w="2266" w:type="dxa"/>
            <w:noWrap w:val="0"/>
            <w:vAlign w:val="center"/>
          </w:tcPr>
          <w:p w14:paraId="0101C266">
            <w:pPr>
              <w:pStyle w:val="24"/>
              <w:bidi w:val="0"/>
              <w:rPr>
                <w:rFonts w:hint="default"/>
                <w:color w:val="auto"/>
                <w:u w:val="none"/>
              </w:rPr>
            </w:pPr>
            <w:r>
              <w:rPr>
                <w:rFonts w:hint="default"/>
                <w:color w:val="auto"/>
                <w:u w:val="none"/>
                <w:lang w:val="en-US" w:eastAsia="zh-CN"/>
              </w:rPr>
              <w:t>色母</w:t>
            </w:r>
          </w:p>
        </w:tc>
        <w:tc>
          <w:tcPr>
            <w:tcW w:w="1605" w:type="dxa"/>
            <w:noWrap w:val="0"/>
            <w:vAlign w:val="center"/>
          </w:tcPr>
          <w:p w14:paraId="3B56DC40">
            <w:pPr>
              <w:pStyle w:val="24"/>
              <w:bidi w:val="0"/>
              <w:rPr>
                <w:rFonts w:hint="default" w:eastAsia="宋体"/>
                <w:color w:val="auto"/>
                <w:u w:val="none"/>
                <w:lang w:val="en-US" w:eastAsia="zh-CN"/>
              </w:rPr>
            </w:pPr>
            <w:r>
              <w:rPr>
                <w:rFonts w:hint="eastAsia"/>
                <w:color w:val="auto"/>
                <w:u w:val="none"/>
                <w:lang w:val="en-US" w:eastAsia="zh-CN"/>
              </w:rPr>
              <w:t>42.773</w:t>
            </w:r>
          </w:p>
        </w:tc>
        <w:tc>
          <w:tcPr>
            <w:tcW w:w="2643" w:type="dxa"/>
            <w:noWrap w:val="0"/>
            <w:vAlign w:val="center"/>
          </w:tcPr>
          <w:p w14:paraId="79EDE9C4">
            <w:pPr>
              <w:pStyle w:val="24"/>
              <w:bidi w:val="0"/>
              <w:rPr>
                <w:rFonts w:hint="default"/>
                <w:color w:val="auto"/>
                <w:u w:val="none"/>
              </w:rPr>
            </w:pPr>
          </w:p>
        </w:tc>
        <w:tc>
          <w:tcPr>
            <w:tcW w:w="1320" w:type="dxa"/>
            <w:noWrap w:val="0"/>
            <w:vAlign w:val="center"/>
          </w:tcPr>
          <w:p w14:paraId="02BEA7B1">
            <w:pPr>
              <w:pStyle w:val="24"/>
              <w:bidi w:val="0"/>
              <w:rPr>
                <w:rFonts w:hint="default"/>
                <w:color w:val="auto"/>
                <w:u w:val="none"/>
              </w:rPr>
            </w:pPr>
          </w:p>
        </w:tc>
      </w:tr>
      <w:tr w14:paraId="19C00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30BDA20E">
            <w:pPr>
              <w:pStyle w:val="24"/>
              <w:bidi w:val="0"/>
              <w:rPr>
                <w:rFonts w:hint="default"/>
                <w:color w:val="auto"/>
                <w:u w:val="none"/>
                <w:lang w:val="en-US" w:eastAsia="zh-CN"/>
              </w:rPr>
            </w:pPr>
            <w:r>
              <w:rPr>
                <w:rFonts w:hint="default"/>
                <w:color w:val="auto"/>
                <w:u w:val="none"/>
                <w:lang w:val="en-US" w:eastAsia="zh-CN"/>
              </w:rPr>
              <w:t>9</w:t>
            </w:r>
          </w:p>
        </w:tc>
        <w:tc>
          <w:tcPr>
            <w:tcW w:w="2266" w:type="dxa"/>
            <w:noWrap w:val="0"/>
            <w:vAlign w:val="center"/>
          </w:tcPr>
          <w:p w14:paraId="50E097E3">
            <w:pPr>
              <w:pStyle w:val="24"/>
              <w:bidi w:val="0"/>
              <w:rPr>
                <w:rFonts w:hint="default"/>
                <w:color w:val="auto"/>
                <w:u w:val="none"/>
              </w:rPr>
            </w:pPr>
            <w:r>
              <w:rPr>
                <w:rFonts w:hint="default"/>
                <w:color w:val="auto"/>
                <w:u w:val="none"/>
                <w:lang w:val="en-US" w:eastAsia="zh-CN"/>
              </w:rPr>
              <w:t>PVC膜</w:t>
            </w:r>
          </w:p>
        </w:tc>
        <w:tc>
          <w:tcPr>
            <w:tcW w:w="1605" w:type="dxa"/>
            <w:noWrap w:val="0"/>
            <w:vAlign w:val="center"/>
          </w:tcPr>
          <w:p w14:paraId="295B5308">
            <w:pPr>
              <w:pStyle w:val="24"/>
              <w:bidi w:val="0"/>
              <w:rPr>
                <w:rFonts w:hint="default" w:eastAsia="宋体"/>
                <w:color w:val="auto"/>
                <w:u w:val="none"/>
                <w:lang w:val="en-US" w:eastAsia="zh-CN"/>
              </w:rPr>
            </w:pPr>
            <w:r>
              <w:rPr>
                <w:rFonts w:hint="eastAsia"/>
                <w:color w:val="auto"/>
                <w:u w:val="none"/>
                <w:lang w:val="en-US" w:eastAsia="zh-CN"/>
              </w:rPr>
              <w:t>550</w:t>
            </w:r>
          </w:p>
        </w:tc>
        <w:tc>
          <w:tcPr>
            <w:tcW w:w="2643" w:type="dxa"/>
            <w:noWrap w:val="0"/>
            <w:vAlign w:val="center"/>
          </w:tcPr>
          <w:p w14:paraId="71B30131">
            <w:pPr>
              <w:pStyle w:val="24"/>
              <w:bidi w:val="0"/>
              <w:rPr>
                <w:rFonts w:hint="default"/>
                <w:color w:val="auto"/>
                <w:u w:val="none"/>
              </w:rPr>
            </w:pPr>
          </w:p>
        </w:tc>
        <w:tc>
          <w:tcPr>
            <w:tcW w:w="1320" w:type="dxa"/>
            <w:noWrap w:val="0"/>
            <w:vAlign w:val="center"/>
          </w:tcPr>
          <w:p w14:paraId="4C380F62">
            <w:pPr>
              <w:pStyle w:val="24"/>
              <w:bidi w:val="0"/>
              <w:rPr>
                <w:rFonts w:hint="default"/>
                <w:color w:val="auto"/>
                <w:u w:val="none"/>
              </w:rPr>
            </w:pPr>
          </w:p>
        </w:tc>
      </w:tr>
      <w:tr w14:paraId="3FD47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5B5B18C0">
            <w:pPr>
              <w:pStyle w:val="24"/>
              <w:bidi w:val="0"/>
              <w:rPr>
                <w:rFonts w:hint="default"/>
                <w:color w:val="auto"/>
                <w:u w:val="none"/>
                <w:lang w:val="en-US" w:eastAsia="zh-CN"/>
              </w:rPr>
            </w:pPr>
            <w:r>
              <w:rPr>
                <w:rFonts w:hint="default"/>
                <w:color w:val="auto"/>
                <w:u w:val="none"/>
                <w:lang w:val="en-US" w:eastAsia="zh-CN"/>
              </w:rPr>
              <w:t>10</w:t>
            </w:r>
          </w:p>
        </w:tc>
        <w:tc>
          <w:tcPr>
            <w:tcW w:w="2266" w:type="dxa"/>
            <w:noWrap w:val="0"/>
            <w:vAlign w:val="center"/>
          </w:tcPr>
          <w:p w14:paraId="037A075C">
            <w:pPr>
              <w:pStyle w:val="24"/>
              <w:bidi w:val="0"/>
              <w:rPr>
                <w:rFonts w:hint="default" w:eastAsia="宋体"/>
                <w:color w:val="auto"/>
                <w:u w:val="none"/>
                <w:lang w:val="en-US" w:eastAsia="zh-CN"/>
              </w:rPr>
            </w:pPr>
            <w:r>
              <w:rPr>
                <w:rFonts w:hint="eastAsia"/>
                <w:color w:val="auto"/>
                <w:u w:val="none"/>
                <w:lang w:val="en-US" w:eastAsia="zh-CN"/>
              </w:rPr>
              <w:t>溶剂型聚氨酯包覆胶</w:t>
            </w:r>
          </w:p>
        </w:tc>
        <w:tc>
          <w:tcPr>
            <w:tcW w:w="1605" w:type="dxa"/>
            <w:noWrap w:val="0"/>
            <w:vAlign w:val="center"/>
          </w:tcPr>
          <w:p w14:paraId="18ECC9AC">
            <w:pPr>
              <w:pStyle w:val="24"/>
              <w:bidi w:val="0"/>
              <w:rPr>
                <w:rFonts w:hint="default" w:eastAsia="宋体"/>
                <w:color w:val="auto"/>
                <w:u w:val="none"/>
                <w:lang w:val="en-US" w:eastAsia="zh-CN"/>
              </w:rPr>
            </w:pPr>
            <w:r>
              <w:rPr>
                <w:rFonts w:hint="eastAsia"/>
                <w:color w:val="auto"/>
                <w:u w:val="none"/>
                <w:lang w:val="en-US" w:eastAsia="zh-CN"/>
              </w:rPr>
              <w:t>6.06</w:t>
            </w:r>
          </w:p>
        </w:tc>
        <w:tc>
          <w:tcPr>
            <w:tcW w:w="2643" w:type="dxa"/>
            <w:noWrap w:val="0"/>
            <w:vAlign w:val="center"/>
          </w:tcPr>
          <w:p w14:paraId="2F65764B">
            <w:pPr>
              <w:pStyle w:val="24"/>
              <w:bidi w:val="0"/>
              <w:rPr>
                <w:rFonts w:hint="default"/>
                <w:color w:val="auto"/>
                <w:u w:val="none"/>
                <w:lang w:val="en-US" w:eastAsia="zh-CN"/>
              </w:rPr>
            </w:pPr>
          </w:p>
        </w:tc>
        <w:tc>
          <w:tcPr>
            <w:tcW w:w="1320" w:type="dxa"/>
            <w:noWrap w:val="0"/>
            <w:vAlign w:val="center"/>
          </w:tcPr>
          <w:p w14:paraId="37CDF461">
            <w:pPr>
              <w:pStyle w:val="24"/>
              <w:bidi w:val="0"/>
              <w:rPr>
                <w:rFonts w:hint="default"/>
                <w:color w:val="auto"/>
                <w:u w:val="none"/>
                <w:lang w:val="en-US" w:eastAsia="zh-CN"/>
              </w:rPr>
            </w:pPr>
          </w:p>
        </w:tc>
      </w:tr>
      <w:tr w14:paraId="577AB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0DB1CDE9">
            <w:pPr>
              <w:pStyle w:val="24"/>
              <w:bidi w:val="0"/>
              <w:rPr>
                <w:rFonts w:hint="default"/>
                <w:color w:val="auto"/>
                <w:u w:val="none"/>
                <w:lang w:val="en-US" w:eastAsia="zh-CN"/>
              </w:rPr>
            </w:pPr>
            <w:r>
              <w:rPr>
                <w:rFonts w:hint="eastAsia"/>
                <w:color w:val="auto"/>
                <w:u w:val="none"/>
                <w:lang w:val="en-US" w:eastAsia="zh-CN"/>
              </w:rPr>
              <w:t>11</w:t>
            </w:r>
          </w:p>
        </w:tc>
        <w:tc>
          <w:tcPr>
            <w:tcW w:w="2266" w:type="dxa"/>
            <w:noWrap w:val="0"/>
            <w:vAlign w:val="center"/>
          </w:tcPr>
          <w:p w14:paraId="20B56C94">
            <w:pPr>
              <w:pStyle w:val="24"/>
              <w:bidi w:val="0"/>
              <w:rPr>
                <w:rFonts w:hint="default"/>
                <w:color w:val="auto"/>
                <w:u w:val="none"/>
                <w:lang w:val="en-US" w:eastAsia="zh-CN"/>
              </w:rPr>
            </w:pPr>
            <w:r>
              <w:rPr>
                <w:rFonts w:hint="eastAsia"/>
                <w:color w:val="auto"/>
                <w:u w:val="none"/>
                <w:lang w:val="en-US" w:eastAsia="zh-CN"/>
              </w:rPr>
              <w:t>水性聚氨酯热熔胶</w:t>
            </w:r>
          </w:p>
        </w:tc>
        <w:tc>
          <w:tcPr>
            <w:tcW w:w="1605" w:type="dxa"/>
            <w:noWrap w:val="0"/>
            <w:vAlign w:val="center"/>
          </w:tcPr>
          <w:p w14:paraId="457A5DA9">
            <w:pPr>
              <w:pStyle w:val="24"/>
              <w:bidi w:val="0"/>
              <w:rPr>
                <w:rFonts w:hint="default" w:eastAsia="宋体"/>
                <w:color w:val="auto"/>
                <w:u w:val="none"/>
                <w:lang w:val="en-US" w:eastAsia="zh-CN"/>
              </w:rPr>
            </w:pPr>
            <w:r>
              <w:rPr>
                <w:rFonts w:hint="eastAsia"/>
                <w:color w:val="auto"/>
                <w:u w:val="none"/>
                <w:lang w:val="en-US" w:eastAsia="zh-CN"/>
              </w:rPr>
              <w:t>66.06</w:t>
            </w:r>
          </w:p>
        </w:tc>
        <w:tc>
          <w:tcPr>
            <w:tcW w:w="2643" w:type="dxa"/>
            <w:noWrap w:val="0"/>
            <w:vAlign w:val="center"/>
          </w:tcPr>
          <w:p w14:paraId="1CAE36AC">
            <w:pPr>
              <w:pStyle w:val="24"/>
              <w:bidi w:val="0"/>
              <w:rPr>
                <w:rFonts w:hint="default"/>
                <w:color w:val="auto"/>
                <w:u w:val="none"/>
                <w:lang w:val="en-US" w:eastAsia="zh-CN"/>
              </w:rPr>
            </w:pPr>
          </w:p>
        </w:tc>
        <w:tc>
          <w:tcPr>
            <w:tcW w:w="1320" w:type="dxa"/>
            <w:noWrap w:val="0"/>
            <w:vAlign w:val="center"/>
          </w:tcPr>
          <w:p w14:paraId="3FAAEC70">
            <w:pPr>
              <w:pStyle w:val="24"/>
              <w:bidi w:val="0"/>
              <w:rPr>
                <w:rFonts w:hint="default"/>
                <w:color w:val="auto"/>
                <w:u w:val="none"/>
                <w:lang w:val="en-US" w:eastAsia="zh-CN"/>
              </w:rPr>
            </w:pPr>
          </w:p>
        </w:tc>
      </w:tr>
      <w:tr w14:paraId="102C6A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55B2BD08">
            <w:pPr>
              <w:pStyle w:val="24"/>
              <w:bidi w:val="0"/>
              <w:rPr>
                <w:rFonts w:hint="default"/>
                <w:color w:val="auto"/>
                <w:u w:val="none"/>
                <w:lang w:val="en-US" w:eastAsia="zh-CN"/>
              </w:rPr>
            </w:pPr>
            <w:r>
              <w:rPr>
                <w:rFonts w:hint="eastAsia"/>
                <w:color w:val="auto"/>
                <w:u w:val="none"/>
                <w:lang w:val="en-US" w:eastAsia="zh-CN"/>
              </w:rPr>
              <w:t>12</w:t>
            </w:r>
          </w:p>
        </w:tc>
        <w:tc>
          <w:tcPr>
            <w:tcW w:w="2266" w:type="dxa"/>
            <w:noWrap w:val="0"/>
            <w:vAlign w:val="center"/>
          </w:tcPr>
          <w:p w14:paraId="01B2B453">
            <w:pPr>
              <w:pStyle w:val="24"/>
              <w:bidi w:val="0"/>
              <w:rPr>
                <w:rFonts w:hint="default"/>
                <w:color w:val="auto"/>
                <w:u w:val="none"/>
                <w:lang w:val="en-US" w:eastAsia="zh-CN"/>
              </w:rPr>
            </w:pPr>
            <w:r>
              <w:rPr>
                <w:rFonts w:hint="eastAsia"/>
                <w:color w:val="auto"/>
                <w:u w:val="none"/>
                <w:lang w:val="en-US" w:eastAsia="zh-CN"/>
              </w:rPr>
              <w:t>PVC装饰线条加工线不合格产品及边角料</w:t>
            </w:r>
          </w:p>
        </w:tc>
        <w:tc>
          <w:tcPr>
            <w:tcW w:w="1605" w:type="dxa"/>
            <w:noWrap w:val="0"/>
            <w:vAlign w:val="center"/>
          </w:tcPr>
          <w:p w14:paraId="58FE84F4">
            <w:pPr>
              <w:pStyle w:val="24"/>
              <w:bidi w:val="0"/>
              <w:rPr>
                <w:rFonts w:hint="default"/>
                <w:color w:val="auto"/>
                <w:u w:val="none"/>
                <w:lang w:val="en-US" w:eastAsia="zh-CN"/>
              </w:rPr>
            </w:pPr>
            <w:r>
              <w:rPr>
                <w:rFonts w:hint="eastAsia"/>
                <w:color w:val="auto"/>
                <w:u w:val="none"/>
                <w:lang w:val="en-US" w:eastAsia="zh-CN"/>
              </w:rPr>
              <w:t>50</w:t>
            </w:r>
          </w:p>
        </w:tc>
        <w:tc>
          <w:tcPr>
            <w:tcW w:w="2643" w:type="dxa"/>
            <w:noWrap w:val="0"/>
            <w:vAlign w:val="center"/>
          </w:tcPr>
          <w:p w14:paraId="34083D59">
            <w:pPr>
              <w:pStyle w:val="24"/>
              <w:bidi w:val="0"/>
              <w:rPr>
                <w:rFonts w:hint="default"/>
                <w:color w:val="auto"/>
                <w:u w:val="none"/>
                <w:lang w:val="en-US" w:eastAsia="zh-CN"/>
              </w:rPr>
            </w:pPr>
          </w:p>
        </w:tc>
        <w:tc>
          <w:tcPr>
            <w:tcW w:w="1320" w:type="dxa"/>
            <w:noWrap w:val="0"/>
            <w:vAlign w:val="center"/>
          </w:tcPr>
          <w:p w14:paraId="60A6719D">
            <w:pPr>
              <w:pStyle w:val="24"/>
              <w:bidi w:val="0"/>
              <w:rPr>
                <w:rFonts w:hint="default"/>
                <w:color w:val="auto"/>
                <w:u w:val="none"/>
                <w:lang w:val="en-US" w:eastAsia="zh-CN"/>
              </w:rPr>
            </w:pPr>
          </w:p>
        </w:tc>
      </w:tr>
      <w:tr w14:paraId="47B4D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670" w:type="dxa"/>
            <w:noWrap w:val="0"/>
            <w:vAlign w:val="center"/>
          </w:tcPr>
          <w:p w14:paraId="74BA8EEF">
            <w:pPr>
              <w:pStyle w:val="24"/>
              <w:bidi w:val="0"/>
              <w:rPr>
                <w:rFonts w:hint="default"/>
                <w:color w:val="auto"/>
                <w:u w:val="none"/>
                <w:lang w:val="en-US" w:eastAsia="zh-CN"/>
              </w:rPr>
            </w:pPr>
            <w:r>
              <w:rPr>
                <w:rFonts w:hint="eastAsia"/>
                <w:color w:val="auto"/>
                <w:u w:val="none"/>
                <w:lang w:val="en-US" w:eastAsia="zh-CN"/>
              </w:rPr>
              <w:t>13</w:t>
            </w:r>
          </w:p>
        </w:tc>
        <w:tc>
          <w:tcPr>
            <w:tcW w:w="2266" w:type="dxa"/>
            <w:noWrap w:val="0"/>
            <w:vAlign w:val="center"/>
          </w:tcPr>
          <w:p w14:paraId="21788BFC">
            <w:pPr>
              <w:pStyle w:val="24"/>
              <w:bidi w:val="0"/>
              <w:rPr>
                <w:rFonts w:hint="default"/>
                <w:color w:val="auto"/>
                <w:u w:val="none"/>
                <w:lang w:val="en-US" w:eastAsia="zh-CN"/>
              </w:rPr>
            </w:pPr>
            <w:r>
              <w:rPr>
                <w:rFonts w:hint="eastAsia"/>
                <w:color w:val="auto"/>
                <w:u w:val="none"/>
                <w:lang w:val="en-US" w:eastAsia="zh-CN"/>
              </w:rPr>
              <w:t>PVC装饰线条加工线废膜</w:t>
            </w:r>
          </w:p>
        </w:tc>
        <w:tc>
          <w:tcPr>
            <w:tcW w:w="1605" w:type="dxa"/>
            <w:noWrap w:val="0"/>
            <w:vAlign w:val="center"/>
          </w:tcPr>
          <w:p w14:paraId="6746EDA5">
            <w:pPr>
              <w:pStyle w:val="24"/>
              <w:bidi w:val="0"/>
              <w:rPr>
                <w:rFonts w:hint="default"/>
                <w:color w:val="auto"/>
                <w:u w:val="none"/>
                <w:lang w:val="en-US" w:eastAsia="zh-CN"/>
              </w:rPr>
            </w:pPr>
            <w:r>
              <w:rPr>
                <w:rFonts w:hint="eastAsia"/>
                <w:color w:val="auto"/>
                <w:u w:val="none"/>
                <w:lang w:val="en-US" w:eastAsia="zh-CN"/>
              </w:rPr>
              <w:t>2.095</w:t>
            </w:r>
          </w:p>
        </w:tc>
        <w:tc>
          <w:tcPr>
            <w:tcW w:w="2643" w:type="dxa"/>
            <w:noWrap w:val="0"/>
            <w:vAlign w:val="center"/>
          </w:tcPr>
          <w:p w14:paraId="319B49FB">
            <w:pPr>
              <w:pStyle w:val="24"/>
              <w:bidi w:val="0"/>
              <w:rPr>
                <w:rFonts w:hint="default"/>
                <w:color w:val="auto"/>
                <w:u w:val="none"/>
                <w:lang w:val="en-US" w:eastAsia="zh-CN"/>
              </w:rPr>
            </w:pPr>
          </w:p>
        </w:tc>
        <w:tc>
          <w:tcPr>
            <w:tcW w:w="1320" w:type="dxa"/>
            <w:noWrap w:val="0"/>
            <w:vAlign w:val="center"/>
          </w:tcPr>
          <w:p w14:paraId="5D812DBE">
            <w:pPr>
              <w:pStyle w:val="24"/>
              <w:bidi w:val="0"/>
              <w:rPr>
                <w:rFonts w:hint="default"/>
                <w:color w:val="auto"/>
                <w:u w:val="none"/>
                <w:lang w:val="en-US" w:eastAsia="zh-CN"/>
              </w:rPr>
            </w:pPr>
          </w:p>
        </w:tc>
      </w:tr>
      <w:tr w14:paraId="0DAD00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40" w:hRule="atLeast"/>
          <w:jc w:val="center"/>
        </w:trPr>
        <w:tc>
          <w:tcPr>
            <w:tcW w:w="2936" w:type="dxa"/>
            <w:gridSpan w:val="2"/>
            <w:noWrap w:val="0"/>
            <w:vAlign w:val="center"/>
          </w:tcPr>
          <w:p w14:paraId="1E5694A1">
            <w:pPr>
              <w:pStyle w:val="24"/>
              <w:bidi w:val="0"/>
              <w:rPr>
                <w:rFonts w:hint="default"/>
                <w:color w:val="auto"/>
                <w:u w:val="none"/>
              </w:rPr>
            </w:pPr>
            <w:r>
              <w:rPr>
                <w:rFonts w:hint="default"/>
                <w:color w:val="auto"/>
                <w:u w:val="none"/>
              </w:rPr>
              <w:t>总计</w:t>
            </w:r>
          </w:p>
        </w:tc>
        <w:tc>
          <w:tcPr>
            <w:tcW w:w="1605" w:type="dxa"/>
            <w:noWrap w:val="0"/>
            <w:vAlign w:val="center"/>
          </w:tcPr>
          <w:p w14:paraId="6A042F8C">
            <w:pPr>
              <w:pStyle w:val="24"/>
              <w:bidi w:val="0"/>
              <w:rPr>
                <w:rFonts w:hint="default"/>
                <w:color w:val="auto"/>
                <w:u w:val="none"/>
                <w:lang w:val="en-US" w:eastAsia="zh-CN"/>
              </w:rPr>
            </w:pPr>
            <w:r>
              <w:rPr>
                <w:rFonts w:hint="eastAsia"/>
                <w:color w:val="auto"/>
                <w:u w:val="none"/>
                <w:lang w:val="en-US" w:eastAsia="zh-CN"/>
              </w:rPr>
              <w:t>30006.988</w:t>
            </w:r>
          </w:p>
        </w:tc>
        <w:tc>
          <w:tcPr>
            <w:tcW w:w="2643" w:type="dxa"/>
            <w:noWrap w:val="0"/>
            <w:vAlign w:val="center"/>
          </w:tcPr>
          <w:p w14:paraId="25EFA1A4">
            <w:pPr>
              <w:pStyle w:val="24"/>
              <w:bidi w:val="0"/>
              <w:rPr>
                <w:rFonts w:hint="default"/>
                <w:color w:val="auto"/>
                <w:u w:val="none"/>
              </w:rPr>
            </w:pPr>
            <w:r>
              <w:rPr>
                <w:rFonts w:hint="default"/>
                <w:color w:val="auto"/>
                <w:u w:val="none"/>
              </w:rPr>
              <w:t>总计</w:t>
            </w:r>
          </w:p>
        </w:tc>
        <w:tc>
          <w:tcPr>
            <w:tcW w:w="1320" w:type="dxa"/>
            <w:noWrap w:val="0"/>
            <w:vAlign w:val="center"/>
          </w:tcPr>
          <w:p w14:paraId="6CDDD396">
            <w:pPr>
              <w:pStyle w:val="24"/>
              <w:bidi w:val="0"/>
              <w:rPr>
                <w:rFonts w:hint="default"/>
                <w:color w:val="auto"/>
                <w:u w:val="none"/>
                <w:lang w:val="en-US" w:eastAsia="zh-CN"/>
              </w:rPr>
            </w:pPr>
            <w:r>
              <w:rPr>
                <w:rFonts w:hint="eastAsia"/>
                <w:color w:val="auto"/>
                <w:u w:val="none"/>
                <w:lang w:val="en-US" w:eastAsia="zh-CN"/>
              </w:rPr>
              <w:t>30006.988</w:t>
            </w:r>
          </w:p>
        </w:tc>
      </w:tr>
    </w:tbl>
    <w:p w14:paraId="226C308A">
      <w:pPr>
        <w:pStyle w:val="20"/>
        <w:bidi w:val="0"/>
        <w:ind w:left="0" w:leftChars="0" w:firstLine="0" w:firstLineChars="0"/>
        <w:rPr>
          <w:rFonts w:hint="eastAsia"/>
          <w:color w:val="auto"/>
          <w:highlight w:val="none"/>
          <w:u w:val="none" w:color="auto"/>
          <w:lang w:val="en-US" w:eastAsia="zh-CN"/>
        </w:rPr>
      </w:pPr>
      <w:r>
        <w:rPr>
          <w:rFonts w:hint="eastAsia"/>
          <w:color w:val="auto"/>
          <w:highlight w:val="none"/>
          <w:u w:val="none" w:color="auto"/>
          <w:lang w:val="en-US" w:eastAsia="zh-CN"/>
        </w:rPr>
        <w:object>
          <v:shape id="_x0000_i1041" o:spt="75" type="#_x0000_t75" style="height:285.9pt;width:415.2pt;" o:ole="t" filled="f" o:preferrelative="t" stroked="f" coordsize="21600,21600">
            <v:path/>
            <v:fill on="f" focussize="0,0"/>
            <v:stroke on="f"/>
            <v:imagedata r:id="rId40" o:title=""/>
            <o:lock v:ext="edit" aspectratio="f"/>
            <w10:wrap type="none"/>
            <w10:anchorlock/>
          </v:shape>
          <o:OLEObject Type="Embed" ProgID="Visio.Drawing.15" ShapeID="_x0000_i1041" DrawAspect="Content" ObjectID="_1468075733" r:id="rId39">
            <o:LockedField>false</o:LockedField>
          </o:OLEObject>
        </w:object>
      </w:r>
    </w:p>
    <w:p w14:paraId="723041EC">
      <w:pPr>
        <w:pStyle w:val="22"/>
        <w:bidi w:val="0"/>
        <w:rPr>
          <w:rFonts w:hint="eastAsia"/>
          <w:color w:val="auto"/>
          <w:u w:val="none" w:color="auto"/>
          <w:lang w:val="en-US" w:eastAsia="zh-CN"/>
        </w:rPr>
      </w:pPr>
      <w:r>
        <w:rPr>
          <w:rFonts w:hint="eastAsia"/>
          <w:color w:val="auto"/>
          <w:u w:val="none" w:color="auto"/>
          <w:lang w:val="en-US" w:eastAsia="zh-CN"/>
        </w:rPr>
        <w:t>图4.3-2 物料平衡图（单位：t/a）</w:t>
      </w:r>
    </w:p>
    <w:p w14:paraId="17FD5CFC">
      <w:pPr>
        <w:pStyle w:val="20"/>
        <w:bidi w:val="0"/>
        <w:rPr>
          <w:rFonts w:hint="eastAsia"/>
          <w:color w:val="auto"/>
          <w:u w:val="none" w:color="auto"/>
          <w:lang w:val="en-US" w:eastAsia="zh-CN"/>
        </w:rPr>
      </w:pPr>
      <w:r>
        <w:rPr>
          <w:rFonts w:hint="eastAsia"/>
          <w:color w:val="auto"/>
          <w:u w:val="none" w:color="auto"/>
          <w:lang w:val="en-US" w:eastAsia="zh-CN"/>
        </w:rPr>
        <w:t>项目PVC装饰线条加工线物料平衡表如下图所示。</w:t>
      </w:r>
    </w:p>
    <w:p w14:paraId="336C2B0E">
      <w:pPr>
        <w:pStyle w:val="22"/>
        <w:bidi w:val="0"/>
        <w:rPr>
          <w:rFonts w:hint="eastAsia"/>
          <w:color w:val="auto"/>
          <w:u w:val="none" w:color="auto"/>
          <w:lang w:val="en-US" w:eastAsia="zh-CN"/>
        </w:rPr>
      </w:pPr>
      <w:r>
        <w:rPr>
          <w:rFonts w:hint="eastAsia"/>
          <w:color w:val="auto"/>
          <w:u w:val="none" w:color="auto"/>
          <w:lang w:val="en-US" w:eastAsia="zh-CN"/>
        </w:rPr>
        <w:t>表4.3-1 PVC装饰线条物料平衡表（单位：t/a）</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7"/>
        <w:gridCol w:w="2694"/>
        <w:gridCol w:w="1185"/>
        <w:gridCol w:w="2937"/>
        <w:gridCol w:w="1251"/>
      </w:tblGrid>
      <w:tr w14:paraId="557F1F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437" w:type="dxa"/>
            <w:vMerge w:val="restart"/>
            <w:noWrap w:val="0"/>
            <w:vAlign w:val="center"/>
          </w:tcPr>
          <w:p w14:paraId="6EE97478">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序号</w:t>
            </w:r>
          </w:p>
        </w:tc>
        <w:tc>
          <w:tcPr>
            <w:tcW w:w="3879" w:type="dxa"/>
            <w:gridSpan w:val="2"/>
            <w:noWrap w:val="0"/>
            <w:vAlign w:val="center"/>
          </w:tcPr>
          <w:p w14:paraId="6B13A56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输入过程</w:t>
            </w:r>
          </w:p>
        </w:tc>
        <w:tc>
          <w:tcPr>
            <w:tcW w:w="4188" w:type="dxa"/>
            <w:gridSpan w:val="2"/>
            <w:noWrap w:val="0"/>
            <w:vAlign w:val="center"/>
          </w:tcPr>
          <w:p w14:paraId="22243C6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输出过程</w:t>
            </w:r>
          </w:p>
        </w:tc>
      </w:tr>
      <w:tr w14:paraId="6EF95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437" w:type="dxa"/>
            <w:vMerge w:val="continue"/>
            <w:noWrap w:val="0"/>
            <w:vAlign w:val="center"/>
          </w:tcPr>
          <w:p w14:paraId="43F8A8D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p>
        </w:tc>
        <w:tc>
          <w:tcPr>
            <w:tcW w:w="3879" w:type="dxa"/>
            <w:gridSpan w:val="2"/>
            <w:noWrap w:val="0"/>
            <w:vAlign w:val="center"/>
          </w:tcPr>
          <w:p w14:paraId="10558C8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吨/年</w:t>
            </w:r>
          </w:p>
        </w:tc>
        <w:tc>
          <w:tcPr>
            <w:tcW w:w="4188" w:type="dxa"/>
            <w:gridSpan w:val="2"/>
            <w:noWrap w:val="0"/>
            <w:vAlign w:val="center"/>
          </w:tcPr>
          <w:p w14:paraId="59D066E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吨/年</w:t>
            </w:r>
          </w:p>
        </w:tc>
      </w:tr>
      <w:tr w14:paraId="37EFB6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7" w:type="dxa"/>
            <w:vMerge w:val="continue"/>
            <w:noWrap w:val="0"/>
            <w:vAlign w:val="center"/>
          </w:tcPr>
          <w:p w14:paraId="4CA08980">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p>
        </w:tc>
        <w:tc>
          <w:tcPr>
            <w:tcW w:w="2694" w:type="dxa"/>
            <w:noWrap w:val="0"/>
            <w:vAlign w:val="center"/>
          </w:tcPr>
          <w:p w14:paraId="684C70D5">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物料名称</w:t>
            </w:r>
          </w:p>
        </w:tc>
        <w:tc>
          <w:tcPr>
            <w:tcW w:w="1185" w:type="dxa"/>
            <w:noWrap w:val="0"/>
            <w:vAlign w:val="center"/>
          </w:tcPr>
          <w:p w14:paraId="62313BC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数量</w:t>
            </w:r>
          </w:p>
        </w:tc>
        <w:tc>
          <w:tcPr>
            <w:tcW w:w="2937" w:type="dxa"/>
            <w:noWrap w:val="0"/>
            <w:vAlign w:val="center"/>
          </w:tcPr>
          <w:p w14:paraId="06191BD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物料名称</w:t>
            </w:r>
          </w:p>
        </w:tc>
        <w:tc>
          <w:tcPr>
            <w:tcW w:w="1251" w:type="dxa"/>
            <w:noWrap w:val="0"/>
            <w:vAlign w:val="center"/>
          </w:tcPr>
          <w:p w14:paraId="06410C2C">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数量</w:t>
            </w:r>
          </w:p>
        </w:tc>
      </w:tr>
      <w:tr w14:paraId="19D12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7" w:type="dxa"/>
            <w:noWrap w:val="0"/>
            <w:vAlign w:val="center"/>
          </w:tcPr>
          <w:p w14:paraId="3A9CD2D0">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1</w:t>
            </w:r>
          </w:p>
        </w:tc>
        <w:tc>
          <w:tcPr>
            <w:tcW w:w="2694" w:type="dxa"/>
            <w:noWrap w:val="0"/>
            <w:vAlign w:val="center"/>
          </w:tcPr>
          <w:p w14:paraId="352307F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highlight w:val="none"/>
                <w:u w:val="none" w:color="auto"/>
                <w:lang w:val="en-US" w:eastAsia="zh-CN"/>
              </w:rPr>
              <w:t>PVC装饰线条半成品</w:t>
            </w:r>
          </w:p>
        </w:tc>
        <w:tc>
          <w:tcPr>
            <w:tcW w:w="1185" w:type="dxa"/>
            <w:noWrap w:val="0"/>
            <w:vAlign w:val="center"/>
          </w:tcPr>
          <w:p w14:paraId="189EE62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highlight w:val="none"/>
                <w:u w:val="none" w:color="auto"/>
                <w:lang w:val="en-US" w:eastAsia="zh-CN"/>
              </w:rPr>
              <w:t>4930</w:t>
            </w:r>
          </w:p>
        </w:tc>
        <w:tc>
          <w:tcPr>
            <w:tcW w:w="2937" w:type="dxa"/>
            <w:noWrap w:val="0"/>
            <w:vAlign w:val="center"/>
          </w:tcPr>
          <w:p w14:paraId="0552A1A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highlight w:val="none"/>
                <w:u w:val="none" w:color="auto"/>
                <w:lang w:val="en-US" w:eastAsia="zh-CN"/>
              </w:rPr>
              <w:t>PVC装饰线条</w:t>
            </w:r>
          </w:p>
        </w:tc>
        <w:tc>
          <w:tcPr>
            <w:tcW w:w="1251" w:type="dxa"/>
            <w:noWrap w:val="0"/>
            <w:vAlign w:val="center"/>
          </w:tcPr>
          <w:p w14:paraId="01374426">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华康简宋" w:cs="Times New Roman"/>
                <w:color w:val="auto"/>
                <w:spacing w:val="6"/>
                <w:kern w:val="24"/>
                <w:sz w:val="21"/>
                <w:szCs w:val="21"/>
                <w:highlight w:val="none"/>
                <w:u w:val="none" w:color="auto"/>
                <w:lang w:val="en-US" w:eastAsia="zh-CN" w:bidi="ar-SA"/>
              </w:rPr>
            </w:pPr>
            <w:r>
              <w:rPr>
                <w:rFonts w:hint="eastAsia" w:eastAsia="华康简宋"/>
                <w:color w:val="auto"/>
                <w:highlight w:val="none"/>
                <w:u w:val="none" w:color="auto"/>
                <w:lang w:val="en-US" w:eastAsia="zh-CN"/>
              </w:rPr>
              <w:t>5000</w:t>
            </w:r>
          </w:p>
        </w:tc>
      </w:tr>
      <w:tr w14:paraId="4D3628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7" w:type="dxa"/>
            <w:noWrap w:val="0"/>
            <w:vAlign w:val="center"/>
          </w:tcPr>
          <w:p w14:paraId="2EC3EFA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2</w:t>
            </w:r>
          </w:p>
        </w:tc>
        <w:tc>
          <w:tcPr>
            <w:tcW w:w="2694" w:type="dxa"/>
            <w:noWrap w:val="0"/>
            <w:vAlign w:val="center"/>
          </w:tcPr>
          <w:p w14:paraId="79E1DC54">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eastAsia="宋体" w:cs="Times New Roman"/>
                <w:color w:val="auto"/>
                <w:sz w:val="21"/>
                <w:highlight w:val="none"/>
                <w:u w:val="none" w:color="auto"/>
                <w:lang w:val="en-US" w:eastAsia="zh-CN" w:bidi="ar-SA"/>
              </w:rPr>
              <w:t>PVC膜</w:t>
            </w:r>
          </w:p>
        </w:tc>
        <w:tc>
          <w:tcPr>
            <w:tcW w:w="1185" w:type="dxa"/>
            <w:noWrap w:val="0"/>
            <w:vAlign w:val="center"/>
          </w:tcPr>
          <w:p w14:paraId="37433F6A">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ascii="Times New Roman" w:hAnsi="Times New Roman" w:eastAsia="宋体" w:cs="Times New Roman"/>
                <w:color w:val="auto"/>
                <w:spacing w:val="6"/>
                <w:kern w:val="24"/>
                <w:sz w:val="21"/>
                <w:szCs w:val="21"/>
                <w:highlight w:val="none"/>
                <w:u w:val="none" w:color="auto"/>
                <w:lang w:val="en-US" w:eastAsia="zh-CN" w:bidi="ar-SA"/>
              </w:rPr>
              <w:t>104.742</w:t>
            </w:r>
          </w:p>
        </w:tc>
        <w:tc>
          <w:tcPr>
            <w:tcW w:w="2937" w:type="dxa"/>
            <w:noWrap w:val="0"/>
            <w:vAlign w:val="center"/>
          </w:tcPr>
          <w:p w14:paraId="7E9D2502">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highlight w:val="none"/>
                <w:u w:val="none" w:color="auto"/>
              </w:rPr>
              <w:t>非甲烷总烃</w:t>
            </w:r>
          </w:p>
        </w:tc>
        <w:tc>
          <w:tcPr>
            <w:tcW w:w="1251" w:type="dxa"/>
            <w:noWrap w:val="0"/>
            <w:vAlign w:val="center"/>
          </w:tcPr>
          <w:p w14:paraId="382F8940">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highlight w:val="none"/>
                <w:u w:val="none" w:color="auto"/>
                <w:lang w:val="en-US" w:eastAsia="zh-CN"/>
              </w:rPr>
              <w:t>0.827</w:t>
            </w:r>
          </w:p>
        </w:tc>
      </w:tr>
      <w:tr w14:paraId="5027D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7" w:type="dxa"/>
            <w:noWrap w:val="0"/>
            <w:vAlign w:val="center"/>
          </w:tcPr>
          <w:p w14:paraId="7B43190A">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color w:val="auto"/>
                <w:highlight w:val="none"/>
                <w:u w:val="none" w:color="auto"/>
              </w:rPr>
              <w:t>3</w:t>
            </w:r>
          </w:p>
        </w:tc>
        <w:tc>
          <w:tcPr>
            <w:tcW w:w="2694" w:type="dxa"/>
            <w:noWrap w:val="0"/>
            <w:vAlign w:val="center"/>
          </w:tcPr>
          <w:p w14:paraId="0C14EFC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ascii="Times New Roman" w:hAnsi="Times New Roman" w:eastAsia="宋体" w:cs="Times New Roman"/>
                <w:color w:val="auto"/>
                <w:sz w:val="21"/>
                <w:highlight w:val="none"/>
                <w:u w:val="none" w:color="auto"/>
                <w:lang w:val="en-US" w:eastAsia="zh-CN" w:bidi="ar-SA"/>
              </w:rPr>
              <w:t>水性聚氨酯墙板专用胶</w:t>
            </w:r>
          </w:p>
        </w:tc>
        <w:tc>
          <w:tcPr>
            <w:tcW w:w="1185" w:type="dxa"/>
            <w:noWrap w:val="0"/>
            <w:vAlign w:val="center"/>
          </w:tcPr>
          <w:p w14:paraId="4F6055D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highlight w:val="none"/>
                <w:u w:val="none" w:color="auto"/>
                <w:lang w:val="en-US" w:eastAsia="zh-CN"/>
              </w:rPr>
              <w:t>18.18</w:t>
            </w:r>
          </w:p>
        </w:tc>
        <w:tc>
          <w:tcPr>
            <w:tcW w:w="2937" w:type="dxa"/>
            <w:noWrap w:val="0"/>
            <w:vAlign w:val="center"/>
          </w:tcPr>
          <w:p w14:paraId="1EB7A938">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华康简宋" w:cs="Times New Roman"/>
                <w:color w:val="auto"/>
                <w:spacing w:val="6"/>
                <w:kern w:val="24"/>
                <w:sz w:val="21"/>
                <w:szCs w:val="21"/>
                <w:highlight w:val="none"/>
                <w:u w:val="none" w:color="auto"/>
                <w:lang w:val="en-US" w:eastAsia="zh-CN" w:bidi="ar-SA"/>
              </w:rPr>
            </w:pPr>
            <w:r>
              <w:rPr>
                <w:rFonts w:hint="eastAsia" w:eastAsia="华康简宋" w:cs="Times New Roman"/>
                <w:color w:val="auto"/>
                <w:sz w:val="21"/>
                <w:highlight w:val="none"/>
                <w:u w:val="none" w:color="auto"/>
                <w:lang w:val="en-US" w:eastAsia="zh-CN" w:bidi="ar-SA"/>
              </w:rPr>
              <w:t>不合格产品及边角料</w:t>
            </w:r>
          </w:p>
        </w:tc>
        <w:tc>
          <w:tcPr>
            <w:tcW w:w="1251" w:type="dxa"/>
            <w:noWrap w:val="0"/>
            <w:vAlign w:val="center"/>
          </w:tcPr>
          <w:p w14:paraId="5E10D31E">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color w:val="auto"/>
                <w:highlight w:val="none"/>
                <w:u w:val="none" w:color="auto"/>
                <w:lang w:val="en-US" w:eastAsia="zh-CN"/>
              </w:rPr>
              <w:t>50</w:t>
            </w:r>
          </w:p>
        </w:tc>
      </w:tr>
      <w:tr w14:paraId="1B616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7" w:type="dxa"/>
            <w:noWrap w:val="0"/>
            <w:vAlign w:val="center"/>
          </w:tcPr>
          <w:p w14:paraId="763907F4">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highlight w:val="none"/>
                <w:u w:val="none" w:color="auto"/>
              </w:rPr>
            </w:pPr>
            <w:r>
              <w:rPr>
                <w:rFonts w:hint="eastAsia"/>
                <w:color w:val="auto"/>
                <w:highlight w:val="none"/>
                <w:u w:val="none" w:color="auto"/>
              </w:rPr>
              <w:t>4</w:t>
            </w:r>
          </w:p>
        </w:tc>
        <w:tc>
          <w:tcPr>
            <w:tcW w:w="2694" w:type="dxa"/>
            <w:noWrap w:val="0"/>
            <w:vAlign w:val="center"/>
          </w:tcPr>
          <w:p w14:paraId="0B914821">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p>
        </w:tc>
        <w:tc>
          <w:tcPr>
            <w:tcW w:w="1185" w:type="dxa"/>
            <w:noWrap w:val="0"/>
            <w:vAlign w:val="center"/>
          </w:tcPr>
          <w:p w14:paraId="0D5C42CC">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p>
        </w:tc>
        <w:tc>
          <w:tcPr>
            <w:tcW w:w="2937" w:type="dxa"/>
            <w:noWrap w:val="0"/>
            <w:vAlign w:val="center"/>
          </w:tcPr>
          <w:p w14:paraId="4278632F">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华康简宋" w:cs="Times New Roman"/>
                <w:color w:val="auto"/>
                <w:spacing w:val="6"/>
                <w:kern w:val="24"/>
                <w:sz w:val="21"/>
                <w:szCs w:val="21"/>
                <w:highlight w:val="none"/>
                <w:u w:val="none" w:color="auto"/>
                <w:lang w:val="en-US" w:eastAsia="zh-CN" w:bidi="ar-SA"/>
              </w:rPr>
            </w:pPr>
            <w:r>
              <w:rPr>
                <w:rFonts w:hint="eastAsia" w:ascii="Times New Roman" w:hAnsi="Times New Roman" w:eastAsia="华康简宋" w:cs="Times New Roman"/>
                <w:color w:val="auto"/>
                <w:spacing w:val="6"/>
                <w:kern w:val="24"/>
                <w:sz w:val="21"/>
                <w:szCs w:val="21"/>
                <w:highlight w:val="none"/>
                <w:u w:val="none" w:color="auto"/>
                <w:lang w:val="en-US" w:eastAsia="zh-CN" w:bidi="ar-SA"/>
              </w:rPr>
              <w:t>废膜</w:t>
            </w:r>
          </w:p>
        </w:tc>
        <w:tc>
          <w:tcPr>
            <w:tcW w:w="1251" w:type="dxa"/>
            <w:noWrap w:val="0"/>
            <w:vAlign w:val="center"/>
          </w:tcPr>
          <w:p w14:paraId="7A0F7E3A">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pacing w:val="6"/>
                <w:kern w:val="24"/>
                <w:sz w:val="21"/>
                <w:szCs w:val="21"/>
                <w:highlight w:val="none"/>
                <w:u w:val="none" w:color="auto"/>
                <w:lang w:val="en-US" w:eastAsia="zh-CN" w:bidi="ar-SA"/>
              </w:rPr>
            </w:pPr>
            <w:r>
              <w:rPr>
                <w:rFonts w:hint="eastAsia" w:ascii="Times New Roman" w:hAnsi="Times New Roman" w:eastAsia="宋体" w:cs="Times New Roman"/>
                <w:color w:val="auto"/>
                <w:spacing w:val="6"/>
                <w:kern w:val="24"/>
                <w:sz w:val="21"/>
                <w:szCs w:val="21"/>
                <w:highlight w:val="none"/>
                <w:u w:val="none" w:color="auto"/>
                <w:lang w:val="en-US" w:eastAsia="zh-CN" w:bidi="ar-SA"/>
              </w:rPr>
              <w:t>2.095</w:t>
            </w:r>
          </w:p>
        </w:tc>
      </w:tr>
      <w:tr w14:paraId="46501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3131" w:type="dxa"/>
            <w:gridSpan w:val="2"/>
            <w:noWrap w:val="0"/>
            <w:vAlign w:val="center"/>
          </w:tcPr>
          <w:p w14:paraId="4EB4C76D">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color w:val="auto"/>
                <w:highlight w:val="none"/>
                <w:u w:val="none" w:color="auto"/>
              </w:rPr>
            </w:pPr>
            <w:r>
              <w:rPr>
                <w:rFonts w:hint="eastAsia"/>
                <w:color w:val="auto"/>
                <w:highlight w:val="none"/>
                <w:u w:val="none" w:color="auto"/>
              </w:rPr>
              <w:t>总计</w:t>
            </w:r>
          </w:p>
        </w:tc>
        <w:tc>
          <w:tcPr>
            <w:tcW w:w="1185" w:type="dxa"/>
            <w:noWrap w:val="0"/>
            <w:vAlign w:val="center"/>
          </w:tcPr>
          <w:p w14:paraId="2F6C75C9">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华康简宋"/>
                <w:color w:val="auto"/>
                <w:highlight w:val="none"/>
                <w:u w:val="none" w:color="auto"/>
                <w:lang w:val="en-US" w:eastAsia="zh-CN"/>
              </w:rPr>
            </w:pPr>
            <w:r>
              <w:rPr>
                <w:rFonts w:hint="eastAsia" w:eastAsia="华康简宋"/>
                <w:color w:val="auto"/>
                <w:highlight w:val="none"/>
                <w:u w:val="none" w:color="auto"/>
                <w:lang w:val="en-US" w:eastAsia="zh-CN"/>
              </w:rPr>
              <w:t>5052.922</w:t>
            </w:r>
          </w:p>
        </w:tc>
        <w:tc>
          <w:tcPr>
            <w:tcW w:w="2937" w:type="dxa"/>
            <w:noWrap w:val="0"/>
            <w:vAlign w:val="center"/>
          </w:tcPr>
          <w:p w14:paraId="4D26B62C">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highlight w:val="none"/>
                <w:u w:val="none" w:color="auto"/>
              </w:rPr>
            </w:pPr>
            <w:r>
              <w:rPr>
                <w:rFonts w:hint="eastAsia"/>
                <w:color w:val="auto"/>
                <w:highlight w:val="none"/>
                <w:u w:val="none" w:color="auto"/>
              </w:rPr>
              <w:t>总计</w:t>
            </w:r>
          </w:p>
        </w:tc>
        <w:tc>
          <w:tcPr>
            <w:tcW w:w="1251" w:type="dxa"/>
            <w:noWrap w:val="0"/>
            <w:vAlign w:val="center"/>
          </w:tcPr>
          <w:p w14:paraId="7EAEA806">
            <w:pPr>
              <w:pStyle w:val="2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eastAsia="华康简宋"/>
                <w:color w:val="auto"/>
                <w:highlight w:val="none"/>
                <w:u w:val="none" w:color="auto"/>
                <w:lang w:val="en-US" w:eastAsia="zh-CN"/>
              </w:rPr>
            </w:pPr>
            <w:r>
              <w:rPr>
                <w:rFonts w:hint="eastAsia" w:eastAsia="华康简宋"/>
                <w:color w:val="auto"/>
                <w:highlight w:val="none"/>
                <w:u w:val="none" w:color="auto"/>
                <w:lang w:val="en-US" w:eastAsia="zh-CN"/>
              </w:rPr>
              <w:t>5052.922</w:t>
            </w:r>
          </w:p>
        </w:tc>
      </w:tr>
    </w:tbl>
    <w:p w14:paraId="0E644039">
      <w:pPr>
        <w:pStyle w:val="20"/>
        <w:bidi w:val="0"/>
        <w:ind w:left="0" w:leftChars="0" w:firstLine="0" w:firstLineChars="0"/>
        <w:rPr>
          <w:rFonts w:hint="eastAsia"/>
          <w:color w:val="auto"/>
          <w:highlight w:val="none"/>
          <w:u w:val="none" w:color="auto"/>
          <w:lang w:val="en-US" w:eastAsia="zh-CN"/>
        </w:rPr>
      </w:pPr>
      <w:r>
        <w:rPr>
          <w:color w:val="auto"/>
          <w:u w:val="single" w:color="auto"/>
        </w:rPr>
        <w:object>
          <v:shape id="_x0000_i1042" o:spt="75" type="#_x0000_t75" style="height:268.85pt;width:414.75pt;" o:ole="t" filled="f" o:preferrelative="t" stroked="f" coordsize="21600,21600">
            <v:path/>
            <v:fill on="f" focussize="0,0"/>
            <v:stroke on="f"/>
            <v:imagedata r:id="rId42" o:title=""/>
            <o:lock v:ext="edit" aspectratio="f"/>
            <w10:wrap type="none"/>
            <w10:anchorlock/>
          </v:shape>
          <o:OLEObject Type="Embed" ProgID="Visio.Drawing.15" ShapeID="_x0000_i1042" DrawAspect="Content" ObjectID="_1468075734" r:id="rId41">
            <o:LockedField>false</o:LockedField>
          </o:OLEObject>
        </w:object>
      </w:r>
    </w:p>
    <w:p w14:paraId="0E82DEB8">
      <w:pPr>
        <w:pStyle w:val="22"/>
        <w:bidi w:val="0"/>
        <w:rPr>
          <w:rFonts w:hint="eastAsia"/>
          <w:color w:val="auto"/>
          <w:u w:val="none" w:color="auto"/>
          <w:lang w:val="en-US" w:eastAsia="zh-CN"/>
        </w:rPr>
      </w:pPr>
      <w:r>
        <w:rPr>
          <w:rFonts w:hint="eastAsia"/>
          <w:color w:val="auto"/>
          <w:u w:val="none" w:color="auto"/>
          <w:lang w:val="en-US" w:eastAsia="zh-CN"/>
        </w:rPr>
        <w:t>图4.3-2 物料平衡图（单位：t/a）</w:t>
      </w:r>
    </w:p>
    <w:p w14:paraId="6199BF98">
      <w:pPr>
        <w:pStyle w:val="3"/>
        <w:bidi w:val="0"/>
        <w:rPr>
          <w:rFonts w:hint="eastAsia"/>
          <w:color w:val="auto"/>
          <w:u w:val="none" w:color="auto"/>
          <w:lang w:val="en-US" w:eastAsia="zh-CN"/>
        </w:rPr>
      </w:pPr>
      <w:bookmarkStart w:id="640" w:name="_Toc20754"/>
      <w:bookmarkStart w:id="641" w:name="_Toc345"/>
      <w:bookmarkStart w:id="642" w:name="_Toc14056"/>
      <w:r>
        <w:rPr>
          <w:rFonts w:hint="eastAsia"/>
          <w:color w:val="auto"/>
          <w:u w:val="none" w:color="auto"/>
          <w:lang w:val="en-US" w:eastAsia="zh-CN"/>
        </w:rPr>
        <w:t>4.4工程污染源分析</w:t>
      </w:r>
      <w:bookmarkEnd w:id="640"/>
      <w:bookmarkEnd w:id="641"/>
      <w:bookmarkEnd w:id="642"/>
    </w:p>
    <w:p w14:paraId="6117C05E">
      <w:pPr>
        <w:pStyle w:val="4"/>
        <w:bidi w:val="0"/>
        <w:rPr>
          <w:rFonts w:hint="eastAsia"/>
          <w:color w:val="auto"/>
          <w:u w:val="none" w:color="auto"/>
          <w:lang w:val="en-US" w:eastAsia="zh-CN"/>
        </w:rPr>
      </w:pPr>
      <w:bookmarkStart w:id="643" w:name="_Toc23752"/>
      <w:bookmarkStart w:id="644" w:name="_Toc15339"/>
      <w:bookmarkStart w:id="645" w:name="_Toc1320"/>
      <w:r>
        <w:rPr>
          <w:rFonts w:hint="eastAsia"/>
          <w:color w:val="auto"/>
          <w:u w:val="none" w:color="auto"/>
          <w:lang w:val="en-US" w:eastAsia="zh-CN"/>
        </w:rPr>
        <w:t>4.4.1施工期污染源分析</w:t>
      </w:r>
      <w:bookmarkEnd w:id="643"/>
      <w:bookmarkEnd w:id="644"/>
      <w:bookmarkEnd w:id="645"/>
    </w:p>
    <w:p w14:paraId="1E9F2C08">
      <w:pPr>
        <w:pStyle w:val="20"/>
        <w:rPr>
          <w:rFonts w:hint="eastAsia"/>
          <w:color w:val="auto"/>
          <w:u w:val="none" w:color="auto"/>
          <w:lang w:val="en-US" w:eastAsia="zh-CN"/>
        </w:rPr>
      </w:pPr>
      <w:r>
        <w:rPr>
          <w:rFonts w:hint="eastAsia"/>
          <w:color w:val="auto"/>
          <w:u w:val="none" w:color="auto"/>
          <w:lang w:val="en-US" w:eastAsia="zh-CN"/>
        </w:rPr>
        <w:t>本项目选址于湖南省岳阳市汨罗市新市镇汨罗高新技术产业开发区新市片区西片区龙舟路东侧合心路北侧。项目计划总工期12个月。施工期环境影响主要是建设施工活动产生的噪声、废水、废气及废渣等造成的环境影响。</w:t>
      </w:r>
    </w:p>
    <w:p w14:paraId="3B63ECD2">
      <w:pPr>
        <w:pStyle w:val="20"/>
        <w:rPr>
          <w:rFonts w:hint="eastAsia"/>
          <w:color w:val="auto"/>
          <w:u w:val="none" w:color="auto"/>
          <w:lang w:val="en-US" w:eastAsia="zh-CN"/>
        </w:rPr>
      </w:pPr>
      <w:r>
        <w:rPr>
          <w:rFonts w:hint="eastAsia"/>
          <w:color w:val="auto"/>
          <w:u w:val="none" w:color="auto"/>
          <w:lang w:val="en-US" w:eastAsia="zh-CN"/>
        </w:rPr>
        <w:t>（1）大气污染源及污染物</w:t>
      </w:r>
    </w:p>
    <w:p w14:paraId="6DD41B8B">
      <w:pPr>
        <w:pStyle w:val="20"/>
        <w:rPr>
          <w:rFonts w:hint="eastAsia"/>
          <w:color w:val="auto"/>
          <w:u w:val="none" w:color="auto"/>
          <w:lang w:val="en-US" w:eastAsia="zh-CN"/>
        </w:rPr>
      </w:pPr>
      <w:r>
        <w:rPr>
          <w:rFonts w:hint="eastAsia"/>
          <w:color w:val="auto"/>
          <w:u w:val="none" w:color="auto"/>
          <w:lang w:val="en-US" w:eastAsia="zh-CN"/>
        </w:rPr>
        <w:t>施工期大气污染源主要为施工区扬尘和燃油机械产生的尾气。</w:t>
      </w:r>
    </w:p>
    <w:p w14:paraId="435B8D36">
      <w:pPr>
        <w:pStyle w:val="20"/>
        <w:rPr>
          <w:rFonts w:hint="eastAsia"/>
          <w:color w:val="auto"/>
          <w:u w:val="none" w:color="auto"/>
          <w:lang w:val="en-US" w:eastAsia="zh-CN"/>
        </w:rPr>
      </w:pPr>
      <w:r>
        <w:rPr>
          <w:rFonts w:hint="eastAsia"/>
          <w:color w:val="auto"/>
          <w:u w:val="none" w:color="auto"/>
          <w:lang w:val="en-US" w:eastAsia="zh-CN"/>
        </w:rPr>
        <w:t>①施工扬尘</w:t>
      </w:r>
    </w:p>
    <w:p w14:paraId="0E9B7B60">
      <w:pPr>
        <w:pStyle w:val="20"/>
        <w:rPr>
          <w:rFonts w:hint="eastAsia"/>
          <w:color w:val="auto"/>
          <w:u w:val="none" w:color="auto"/>
          <w:lang w:val="en-US" w:eastAsia="zh-CN"/>
        </w:rPr>
      </w:pPr>
      <w:r>
        <w:rPr>
          <w:rFonts w:hint="eastAsia"/>
          <w:color w:val="auto"/>
          <w:u w:val="none" w:color="auto"/>
          <w:lang w:val="en-US" w:eastAsia="zh-CN"/>
        </w:rPr>
        <w:t>项目施工扬尘产生的途径主要为：主体工程基础开挖、地基处理、平整土地等和水泥、砂石、混凝土等建筑材料，在运输、装卸、储存等环节易造成的扬尘；根据本项目的特征，施工过程中产生的扬尘大多是粒径较大的尘土，多数沉降于施工现场，少数形成飘尘，主要影响范围局限在施工场地下风向 150m 范围内。</w:t>
      </w:r>
    </w:p>
    <w:p w14:paraId="0BD32A98">
      <w:pPr>
        <w:pStyle w:val="20"/>
        <w:rPr>
          <w:rFonts w:hint="eastAsia"/>
          <w:color w:val="auto"/>
          <w:u w:val="none" w:color="auto"/>
          <w:lang w:val="en-US" w:eastAsia="zh-CN"/>
        </w:rPr>
      </w:pPr>
      <w:r>
        <w:rPr>
          <w:rFonts w:hint="eastAsia"/>
          <w:color w:val="auto"/>
          <w:u w:val="none" w:color="auto"/>
          <w:lang w:val="en-US" w:eastAsia="zh-CN"/>
        </w:rPr>
        <w:t>根据有关实测资料，在施工现场近地面的粉尘浓度为 0.5～12mg/m</w:t>
      </w:r>
      <w:r>
        <w:rPr>
          <w:rFonts w:hint="eastAsia"/>
          <w:color w:val="auto"/>
          <w:u w:val="none" w:color="auto"/>
          <w:vertAlign w:val="superscript"/>
          <w:lang w:val="en-US" w:eastAsia="zh-CN"/>
        </w:rPr>
        <w:t>3</w:t>
      </w:r>
      <w:r>
        <w:rPr>
          <w:rFonts w:hint="eastAsia"/>
          <w:color w:val="auto"/>
          <w:u w:val="none" w:color="auto"/>
          <w:lang w:val="en-US" w:eastAsia="zh-CN"/>
        </w:rPr>
        <w:t>，环境空气的影响范围较小，且程度较轻。但在风大的季节，颗粒物将随风飘散，施工近地面粉尘浓度超过《环境空气质量标准》（GB3096-2012）及其修改单中的二级标准中日平均值，超标范围在 l～40 倍之间。</w:t>
      </w:r>
    </w:p>
    <w:p w14:paraId="37C9D4F9">
      <w:pPr>
        <w:pStyle w:val="20"/>
        <w:rPr>
          <w:rFonts w:hint="eastAsia"/>
          <w:color w:val="auto"/>
          <w:u w:val="none" w:color="auto"/>
          <w:lang w:val="en-US" w:eastAsia="zh-CN"/>
        </w:rPr>
      </w:pPr>
      <w:r>
        <w:rPr>
          <w:rFonts w:hint="eastAsia"/>
          <w:color w:val="auto"/>
          <w:u w:val="none" w:color="auto"/>
          <w:lang w:val="en-US" w:eastAsia="zh-CN"/>
        </w:rPr>
        <w:t>②燃油机械废气</w:t>
      </w:r>
    </w:p>
    <w:p w14:paraId="559D79D0">
      <w:pPr>
        <w:pStyle w:val="20"/>
        <w:rPr>
          <w:rFonts w:hint="eastAsia"/>
          <w:color w:val="auto"/>
          <w:u w:val="none" w:color="auto"/>
          <w:lang w:val="en-US" w:eastAsia="zh-CN"/>
        </w:rPr>
      </w:pPr>
      <w:r>
        <w:rPr>
          <w:rFonts w:hint="eastAsia"/>
          <w:color w:val="auto"/>
          <w:u w:val="none" w:color="auto"/>
          <w:lang w:val="en-US" w:eastAsia="zh-CN"/>
        </w:rPr>
        <w:t>运输车辆行驶将产生汽车尾气、施工机械运行时将产生废气，主要含有THC、CO、NOx 等污染物质。由于本项目施工区地形较为开阔，施工期尾气排放对区域大气环境的影响相对较小。</w:t>
      </w:r>
    </w:p>
    <w:p w14:paraId="4729B9FE">
      <w:pPr>
        <w:pStyle w:val="20"/>
        <w:rPr>
          <w:rFonts w:hint="eastAsia"/>
          <w:color w:val="auto"/>
          <w:u w:val="none" w:color="auto"/>
          <w:lang w:val="en-US" w:eastAsia="zh-CN"/>
        </w:rPr>
      </w:pPr>
      <w:r>
        <w:rPr>
          <w:rFonts w:hint="eastAsia"/>
          <w:color w:val="auto"/>
          <w:u w:val="none" w:color="auto"/>
          <w:lang w:val="en-US" w:eastAsia="zh-CN"/>
        </w:rPr>
        <w:t>（2）水污染源及污染物</w:t>
      </w:r>
    </w:p>
    <w:p w14:paraId="5B9B1F6D">
      <w:pPr>
        <w:pStyle w:val="20"/>
        <w:rPr>
          <w:rFonts w:hint="eastAsia"/>
          <w:color w:val="auto"/>
          <w:u w:val="none" w:color="auto"/>
          <w:lang w:val="en-US" w:eastAsia="zh-CN"/>
        </w:rPr>
      </w:pPr>
      <w:r>
        <w:rPr>
          <w:rFonts w:hint="eastAsia"/>
          <w:color w:val="auto"/>
          <w:u w:val="none" w:color="auto"/>
          <w:lang w:val="en-US" w:eastAsia="zh-CN"/>
        </w:rPr>
        <w:t>施工期污水主要包括施工作业废水和施工人员生活污水。</w:t>
      </w:r>
    </w:p>
    <w:p w14:paraId="5093B581">
      <w:pPr>
        <w:pStyle w:val="20"/>
        <w:rPr>
          <w:rFonts w:hint="eastAsia"/>
          <w:color w:val="auto"/>
          <w:u w:val="none" w:color="auto"/>
          <w:lang w:val="en-US" w:eastAsia="zh-CN"/>
        </w:rPr>
      </w:pPr>
      <w:r>
        <w:rPr>
          <w:rFonts w:hint="eastAsia"/>
          <w:color w:val="auto"/>
          <w:u w:val="none" w:color="auto"/>
          <w:lang w:val="en-US" w:eastAsia="zh-CN"/>
        </w:rPr>
        <w:t>①施工废水</w:t>
      </w:r>
    </w:p>
    <w:p w14:paraId="1A538F5C">
      <w:pPr>
        <w:pStyle w:val="20"/>
        <w:rPr>
          <w:rFonts w:hint="eastAsia"/>
          <w:color w:val="auto"/>
          <w:u w:val="none" w:color="auto"/>
          <w:lang w:val="en-US" w:eastAsia="zh-CN"/>
        </w:rPr>
      </w:pPr>
      <w:r>
        <w:rPr>
          <w:rFonts w:hint="eastAsia"/>
          <w:color w:val="auto"/>
          <w:u w:val="none" w:color="auto"/>
          <w:lang w:val="en-US" w:eastAsia="zh-CN"/>
        </w:rPr>
        <w:t>施工废水有基坑排水、暴雨径流、混凝土养护排水、施工设备冲洗水、建（构）筑物的冲洗、打磨等作业产生的废水等。</w:t>
      </w:r>
    </w:p>
    <w:p w14:paraId="7AD87BA9">
      <w:pPr>
        <w:pStyle w:val="20"/>
        <w:rPr>
          <w:rFonts w:hint="eastAsia"/>
          <w:color w:val="auto"/>
          <w:u w:val="none" w:color="auto"/>
          <w:lang w:val="en-US" w:eastAsia="zh-CN"/>
        </w:rPr>
      </w:pPr>
      <w:r>
        <w:rPr>
          <w:rFonts w:hint="eastAsia"/>
          <w:color w:val="auto"/>
          <w:u w:val="none" w:color="auto"/>
          <w:lang w:val="en-US" w:eastAsia="zh-CN"/>
        </w:rPr>
        <w:t>暴雨径流：雨季降雨对裸露地表的冲刷，形成地表冲刷水，也是施工期废水的来源之一，雨天暴雨径流含有大量泥沙，直接外排会使周围水体的悬浮物含量增加。项目拟设雨水沉淀池，收集暴雨径流使其经沉淀池处理后，回用于施工过程或施工现场洒水降尘。</w:t>
      </w:r>
    </w:p>
    <w:p w14:paraId="3635085E">
      <w:pPr>
        <w:pStyle w:val="20"/>
        <w:rPr>
          <w:rFonts w:hint="eastAsia"/>
          <w:color w:val="auto"/>
          <w:u w:val="none" w:color="auto"/>
          <w:lang w:val="en-US" w:eastAsia="zh-CN"/>
        </w:rPr>
      </w:pPr>
      <w:r>
        <w:rPr>
          <w:rFonts w:hint="eastAsia"/>
          <w:color w:val="auto"/>
          <w:u w:val="none" w:color="auto"/>
          <w:lang w:val="en-US" w:eastAsia="zh-CN"/>
        </w:rPr>
        <w:t>其它施工废水：包括混凝土养护用水、施工设备冲洗水、建（构）筑物的冲洗、打磨等作业产生的废水等。结构阶段混凝土养护水、各种设备及车辆等冲洗水的悬浮物浓度较高，但产生量较小，经施工方设置的临时沉淀池处理后用于项目区洒水降尘，可就地消纳，不外排。</w:t>
      </w:r>
    </w:p>
    <w:p w14:paraId="2F67453D">
      <w:pPr>
        <w:pStyle w:val="20"/>
        <w:rPr>
          <w:rFonts w:hint="eastAsia"/>
          <w:color w:val="auto"/>
          <w:u w:val="none" w:color="auto"/>
          <w:lang w:val="en-US" w:eastAsia="zh-CN"/>
        </w:rPr>
      </w:pPr>
      <w:r>
        <w:rPr>
          <w:rFonts w:hint="eastAsia"/>
          <w:color w:val="auto"/>
          <w:u w:val="none" w:color="auto"/>
          <w:lang w:val="en-US" w:eastAsia="zh-CN"/>
        </w:rPr>
        <w:t>②生活污水</w:t>
      </w:r>
    </w:p>
    <w:p w14:paraId="653BDEEF">
      <w:pPr>
        <w:pStyle w:val="20"/>
        <w:rPr>
          <w:rFonts w:hint="eastAsia"/>
          <w:color w:val="auto"/>
          <w:u w:val="none" w:color="auto"/>
          <w:lang w:val="en-US" w:eastAsia="zh-CN"/>
        </w:rPr>
      </w:pPr>
      <w:r>
        <w:rPr>
          <w:rFonts w:hint="eastAsia"/>
          <w:color w:val="auto"/>
          <w:u w:val="none" w:color="auto"/>
          <w:lang w:val="en-US" w:eastAsia="zh-CN"/>
        </w:rPr>
        <w:t>项目施工人员为本地人，因此施工期间不设施工场地，生活污水中的污染物主要为 CODcr、BOD</w:t>
      </w:r>
      <w:r>
        <w:rPr>
          <w:rFonts w:hint="eastAsia"/>
          <w:color w:val="auto"/>
          <w:u w:val="none" w:color="auto"/>
          <w:vertAlign w:val="subscript"/>
          <w:lang w:val="en-US" w:eastAsia="zh-CN"/>
        </w:rPr>
        <w:t>5</w:t>
      </w:r>
      <w:r>
        <w:rPr>
          <w:rFonts w:hint="eastAsia"/>
          <w:color w:val="auto"/>
          <w:u w:val="none" w:color="auto"/>
          <w:lang w:val="en-US" w:eastAsia="zh-CN"/>
        </w:rPr>
        <w:t>、SS 和 NH</w:t>
      </w:r>
      <w:r>
        <w:rPr>
          <w:rFonts w:hint="eastAsia"/>
          <w:color w:val="auto"/>
          <w:u w:val="none" w:color="auto"/>
          <w:vertAlign w:val="subscript"/>
          <w:lang w:val="en-US" w:eastAsia="zh-CN"/>
        </w:rPr>
        <w:t>3</w:t>
      </w:r>
      <w:r>
        <w:rPr>
          <w:rFonts w:hint="eastAsia"/>
          <w:color w:val="auto"/>
          <w:u w:val="none" w:color="auto"/>
          <w:lang w:val="en-US" w:eastAsia="zh-CN"/>
        </w:rPr>
        <w:t>-N。工程施工期平均施工人数约40人，生活用水量按 100L/人.d 计，则施工人员生活用水量为4m</w:t>
      </w:r>
      <w:r>
        <w:rPr>
          <w:rFonts w:hint="eastAsia"/>
          <w:color w:val="auto"/>
          <w:u w:val="none" w:color="auto"/>
          <w:vertAlign w:val="superscript"/>
          <w:lang w:val="en-US" w:eastAsia="zh-CN"/>
        </w:rPr>
        <w:t>3</w:t>
      </w:r>
      <w:r>
        <w:rPr>
          <w:rFonts w:hint="eastAsia"/>
          <w:color w:val="auto"/>
          <w:u w:val="none" w:color="auto"/>
          <w:lang w:val="en-US" w:eastAsia="zh-CN"/>
        </w:rPr>
        <w:t>/d，生活污水产污系数按0.8计，则生活污水产生量约3.2m</w:t>
      </w:r>
      <w:r>
        <w:rPr>
          <w:rFonts w:hint="eastAsia"/>
          <w:color w:val="auto"/>
          <w:u w:val="none" w:color="auto"/>
          <w:vertAlign w:val="superscript"/>
          <w:lang w:val="en-US" w:eastAsia="zh-CN"/>
        </w:rPr>
        <w:t>3</w:t>
      </w:r>
      <w:r>
        <w:rPr>
          <w:rFonts w:hint="eastAsia"/>
          <w:color w:val="auto"/>
          <w:u w:val="none" w:color="auto"/>
          <w:lang w:val="en-US" w:eastAsia="zh-CN"/>
        </w:rPr>
        <w:t>/d。建筑施工人员均为附近村庄居住人员，在自家食宿，生活污水按现有处理方式对水环境影响较小。</w:t>
      </w:r>
    </w:p>
    <w:p w14:paraId="01D69F1E">
      <w:pPr>
        <w:pStyle w:val="20"/>
        <w:rPr>
          <w:rFonts w:hint="eastAsia"/>
          <w:color w:val="auto"/>
          <w:u w:val="none" w:color="auto"/>
          <w:lang w:val="en-US" w:eastAsia="zh-CN"/>
        </w:rPr>
      </w:pPr>
      <w:r>
        <w:rPr>
          <w:rFonts w:hint="eastAsia"/>
          <w:color w:val="auto"/>
          <w:u w:val="none" w:color="auto"/>
          <w:lang w:val="en-US" w:eastAsia="zh-CN"/>
        </w:rPr>
        <w:t>（3）噪声源及源强</w:t>
      </w:r>
    </w:p>
    <w:p w14:paraId="4F87CC30">
      <w:pPr>
        <w:pStyle w:val="20"/>
        <w:rPr>
          <w:rFonts w:hint="default" w:ascii="Times New Roman" w:hAnsi="Times New Roman" w:cs="Times New Roman"/>
          <w:color w:val="auto"/>
          <w:u w:val="none" w:color="auto"/>
        </w:rPr>
      </w:pPr>
      <w:r>
        <w:rPr>
          <w:rFonts w:hint="eastAsia"/>
          <w:color w:val="auto"/>
          <w:u w:val="none" w:color="auto"/>
          <w:lang w:val="en-US" w:eastAsia="zh-CN"/>
        </w:rPr>
        <w:t>施工期的主要噪声源是各类施工机械产生的噪声，以及原材料运输时车辆引起的交通噪声。主要设备有：挖掘机、破碎锤、推土机、发电机、压缩机、电锯等，施工机械具有噪声高、无规律、突发性强等特点。根据项目特点，类比同类工程施工期间的主要噪声源及源强状况见下表</w:t>
      </w:r>
      <w:r>
        <w:rPr>
          <w:rFonts w:hint="default" w:ascii="Times New Roman" w:hAnsi="Times New Roman" w:cs="Times New Roman"/>
          <w:color w:val="auto"/>
          <w:u w:val="none" w:color="auto"/>
        </w:rPr>
        <w:t>。</w:t>
      </w:r>
    </w:p>
    <w:p w14:paraId="00B14B90">
      <w:pPr>
        <w:pStyle w:val="22"/>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表4.4-</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eastAsia="zh-CN"/>
        </w:rPr>
        <w:t xml:space="preserve"> 几种主要施工机械的噪声源强表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3"/>
        <w:gridCol w:w="2953"/>
        <w:gridCol w:w="2856"/>
      </w:tblGrid>
      <w:tr w14:paraId="554F2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13" w:type="dxa"/>
            <w:tcBorders>
              <w:tl2br w:val="nil"/>
              <w:tr2bl w:val="nil"/>
            </w:tcBorders>
            <w:noWrap w:val="0"/>
            <w:vAlign w:val="center"/>
          </w:tcPr>
          <w:p w14:paraId="0FF837E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施工阶段</w:t>
            </w:r>
          </w:p>
        </w:tc>
        <w:tc>
          <w:tcPr>
            <w:tcW w:w="2953" w:type="dxa"/>
            <w:tcBorders>
              <w:tl2br w:val="nil"/>
              <w:tr2bl w:val="nil"/>
            </w:tcBorders>
            <w:noWrap w:val="0"/>
            <w:vAlign w:val="center"/>
          </w:tcPr>
          <w:p w14:paraId="616EC29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施工机械</w:t>
            </w:r>
          </w:p>
        </w:tc>
        <w:tc>
          <w:tcPr>
            <w:tcW w:w="2856" w:type="dxa"/>
            <w:tcBorders>
              <w:tl2br w:val="nil"/>
              <w:tr2bl w:val="nil"/>
            </w:tcBorders>
            <w:noWrap w:val="0"/>
            <w:vAlign w:val="center"/>
          </w:tcPr>
          <w:p w14:paraId="5595901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噪声源强度（dB（A））</w:t>
            </w:r>
          </w:p>
        </w:tc>
      </w:tr>
      <w:tr w14:paraId="57D61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13" w:type="dxa"/>
            <w:tcBorders>
              <w:tl2br w:val="nil"/>
              <w:tr2bl w:val="nil"/>
            </w:tcBorders>
            <w:noWrap w:val="0"/>
            <w:vAlign w:val="center"/>
          </w:tcPr>
          <w:p w14:paraId="4AA30D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土石方</w:t>
            </w:r>
          </w:p>
        </w:tc>
        <w:tc>
          <w:tcPr>
            <w:tcW w:w="2953" w:type="dxa"/>
            <w:tcBorders>
              <w:tl2br w:val="nil"/>
              <w:tr2bl w:val="nil"/>
            </w:tcBorders>
            <w:noWrap w:val="0"/>
            <w:vAlign w:val="center"/>
          </w:tcPr>
          <w:p w14:paraId="042DA3A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风镐</w:t>
            </w:r>
          </w:p>
        </w:tc>
        <w:tc>
          <w:tcPr>
            <w:tcW w:w="2856" w:type="dxa"/>
            <w:tcBorders>
              <w:tl2br w:val="nil"/>
              <w:tr2bl w:val="nil"/>
            </w:tcBorders>
            <w:noWrap w:val="0"/>
            <w:vAlign w:val="center"/>
          </w:tcPr>
          <w:p w14:paraId="1D0694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95</w:t>
            </w:r>
          </w:p>
        </w:tc>
      </w:tr>
      <w:tr w14:paraId="376E4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13" w:type="dxa"/>
            <w:tcBorders>
              <w:tl2br w:val="nil"/>
              <w:tr2bl w:val="nil"/>
            </w:tcBorders>
            <w:noWrap w:val="0"/>
            <w:vAlign w:val="center"/>
          </w:tcPr>
          <w:p w14:paraId="2CF000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土石方</w:t>
            </w:r>
          </w:p>
        </w:tc>
        <w:tc>
          <w:tcPr>
            <w:tcW w:w="2953" w:type="dxa"/>
            <w:tcBorders>
              <w:tl2br w:val="nil"/>
              <w:tr2bl w:val="nil"/>
            </w:tcBorders>
            <w:noWrap w:val="0"/>
            <w:vAlign w:val="center"/>
          </w:tcPr>
          <w:p w14:paraId="309F92C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压缩机</w:t>
            </w:r>
          </w:p>
        </w:tc>
        <w:tc>
          <w:tcPr>
            <w:tcW w:w="2856" w:type="dxa"/>
            <w:tcBorders>
              <w:tl2br w:val="nil"/>
              <w:tr2bl w:val="nil"/>
            </w:tcBorders>
            <w:noWrap w:val="0"/>
            <w:vAlign w:val="center"/>
          </w:tcPr>
          <w:p w14:paraId="149AF6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99</w:t>
            </w:r>
          </w:p>
        </w:tc>
      </w:tr>
      <w:tr w14:paraId="72ED0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13" w:type="dxa"/>
            <w:tcBorders>
              <w:tl2br w:val="nil"/>
              <w:tr2bl w:val="nil"/>
            </w:tcBorders>
            <w:noWrap w:val="0"/>
            <w:vAlign w:val="center"/>
          </w:tcPr>
          <w:p w14:paraId="699A22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土石方、结构</w:t>
            </w:r>
          </w:p>
        </w:tc>
        <w:tc>
          <w:tcPr>
            <w:tcW w:w="2953" w:type="dxa"/>
            <w:tcBorders>
              <w:tl2br w:val="nil"/>
              <w:tr2bl w:val="nil"/>
            </w:tcBorders>
            <w:noWrap w:val="0"/>
            <w:vAlign w:val="center"/>
          </w:tcPr>
          <w:p w14:paraId="5A9F8B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发电机</w:t>
            </w:r>
          </w:p>
        </w:tc>
        <w:tc>
          <w:tcPr>
            <w:tcW w:w="2856" w:type="dxa"/>
            <w:tcBorders>
              <w:tl2br w:val="nil"/>
              <w:tr2bl w:val="nil"/>
            </w:tcBorders>
            <w:noWrap w:val="0"/>
            <w:vAlign w:val="center"/>
          </w:tcPr>
          <w:p w14:paraId="7B1FF59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101</w:t>
            </w:r>
          </w:p>
        </w:tc>
      </w:tr>
      <w:tr w14:paraId="31CD06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13" w:type="dxa"/>
            <w:tcBorders>
              <w:tl2br w:val="nil"/>
              <w:tr2bl w:val="nil"/>
            </w:tcBorders>
            <w:noWrap w:val="0"/>
            <w:vAlign w:val="center"/>
          </w:tcPr>
          <w:p w14:paraId="5295C51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土石方</w:t>
            </w:r>
          </w:p>
        </w:tc>
        <w:tc>
          <w:tcPr>
            <w:tcW w:w="2953" w:type="dxa"/>
            <w:tcBorders>
              <w:tl2br w:val="nil"/>
              <w:tr2bl w:val="nil"/>
            </w:tcBorders>
            <w:noWrap w:val="0"/>
            <w:vAlign w:val="center"/>
          </w:tcPr>
          <w:p w14:paraId="5E478B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推土机</w:t>
            </w:r>
          </w:p>
        </w:tc>
        <w:tc>
          <w:tcPr>
            <w:tcW w:w="2856" w:type="dxa"/>
            <w:tcBorders>
              <w:tl2br w:val="nil"/>
              <w:tr2bl w:val="nil"/>
            </w:tcBorders>
            <w:noWrap w:val="0"/>
            <w:vAlign w:val="center"/>
          </w:tcPr>
          <w:p w14:paraId="6BBCDF7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91</w:t>
            </w:r>
          </w:p>
        </w:tc>
      </w:tr>
      <w:tr w14:paraId="77435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13" w:type="dxa"/>
            <w:tcBorders>
              <w:tl2br w:val="nil"/>
              <w:tr2bl w:val="nil"/>
            </w:tcBorders>
            <w:noWrap w:val="0"/>
            <w:vAlign w:val="center"/>
          </w:tcPr>
          <w:p w14:paraId="40084EF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结构、装修</w:t>
            </w:r>
          </w:p>
        </w:tc>
        <w:tc>
          <w:tcPr>
            <w:tcW w:w="2953" w:type="dxa"/>
            <w:tcBorders>
              <w:tl2br w:val="nil"/>
              <w:tr2bl w:val="nil"/>
            </w:tcBorders>
            <w:noWrap w:val="0"/>
            <w:vAlign w:val="center"/>
          </w:tcPr>
          <w:p w14:paraId="5C591EF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电刨</w:t>
            </w:r>
          </w:p>
        </w:tc>
        <w:tc>
          <w:tcPr>
            <w:tcW w:w="2856" w:type="dxa"/>
            <w:tcBorders>
              <w:tl2br w:val="nil"/>
              <w:tr2bl w:val="nil"/>
            </w:tcBorders>
            <w:noWrap w:val="0"/>
            <w:vAlign w:val="center"/>
          </w:tcPr>
          <w:p w14:paraId="0D97160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94</w:t>
            </w:r>
          </w:p>
        </w:tc>
      </w:tr>
      <w:tr w14:paraId="5F1A32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13" w:type="dxa"/>
            <w:tcBorders>
              <w:tl2br w:val="nil"/>
              <w:tr2bl w:val="nil"/>
            </w:tcBorders>
            <w:noWrap w:val="0"/>
            <w:vAlign w:val="center"/>
          </w:tcPr>
          <w:p w14:paraId="47DB3D6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结构、装修</w:t>
            </w:r>
          </w:p>
        </w:tc>
        <w:tc>
          <w:tcPr>
            <w:tcW w:w="2953" w:type="dxa"/>
            <w:tcBorders>
              <w:tl2br w:val="nil"/>
              <w:tr2bl w:val="nil"/>
            </w:tcBorders>
            <w:noWrap w:val="0"/>
            <w:vAlign w:val="center"/>
          </w:tcPr>
          <w:p w14:paraId="19D7EA4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电锯</w:t>
            </w:r>
          </w:p>
        </w:tc>
        <w:tc>
          <w:tcPr>
            <w:tcW w:w="2856" w:type="dxa"/>
            <w:tcBorders>
              <w:tl2br w:val="nil"/>
              <w:tr2bl w:val="nil"/>
            </w:tcBorders>
            <w:noWrap w:val="0"/>
            <w:vAlign w:val="center"/>
          </w:tcPr>
          <w:p w14:paraId="5A5D30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99</w:t>
            </w:r>
          </w:p>
        </w:tc>
      </w:tr>
      <w:tr w14:paraId="22C241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13" w:type="dxa"/>
            <w:tcBorders>
              <w:tl2br w:val="nil"/>
              <w:tr2bl w:val="nil"/>
            </w:tcBorders>
            <w:noWrap w:val="0"/>
            <w:vAlign w:val="center"/>
          </w:tcPr>
          <w:p w14:paraId="651355B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结构、装修</w:t>
            </w:r>
          </w:p>
        </w:tc>
        <w:tc>
          <w:tcPr>
            <w:tcW w:w="2953" w:type="dxa"/>
            <w:tcBorders>
              <w:tl2br w:val="nil"/>
              <w:tr2bl w:val="nil"/>
            </w:tcBorders>
            <w:noWrap w:val="0"/>
            <w:vAlign w:val="center"/>
          </w:tcPr>
          <w:p w14:paraId="364341A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砂浆机</w:t>
            </w:r>
          </w:p>
        </w:tc>
        <w:tc>
          <w:tcPr>
            <w:tcW w:w="2856" w:type="dxa"/>
            <w:tcBorders>
              <w:tl2br w:val="nil"/>
              <w:tr2bl w:val="nil"/>
            </w:tcBorders>
            <w:noWrap w:val="0"/>
            <w:vAlign w:val="center"/>
          </w:tcPr>
          <w:p w14:paraId="474CE85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87</w:t>
            </w:r>
          </w:p>
        </w:tc>
      </w:tr>
      <w:tr w14:paraId="3F297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13" w:type="dxa"/>
            <w:tcBorders>
              <w:tl2br w:val="nil"/>
              <w:tr2bl w:val="nil"/>
            </w:tcBorders>
            <w:noWrap w:val="0"/>
            <w:vAlign w:val="center"/>
          </w:tcPr>
          <w:p w14:paraId="76F234E5">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结构、装修</w:t>
            </w:r>
          </w:p>
        </w:tc>
        <w:tc>
          <w:tcPr>
            <w:tcW w:w="2953" w:type="dxa"/>
            <w:tcBorders>
              <w:tl2br w:val="nil"/>
              <w:tr2bl w:val="nil"/>
            </w:tcBorders>
            <w:noWrap w:val="0"/>
            <w:vAlign w:val="center"/>
          </w:tcPr>
          <w:p w14:paraId="75C425C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卷扬机</w:t>
            </w:r>
          </w:p>
        </w:tc>
        <w:tc>
          <w:tcPr>
            <w:tcW w:w="2856" w:type="dxa"/>
            <w:tcBorders>
              <w:tl2br w:val="nil"/>
              <w:tr2bl w:val="nil"/>
            </w:tcBorders>
            <w:noWrap w:val="0"/>
            <w:vAlign w:val="center"/>
          </w:tcPr>
          <w:p w14:paraId="4F09681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87</w:t>
            </w:r>
          </w:p>
        </w:tc>
      </w:tr>
    </w:tbl>
    <w:p w14:paraId="29464886">
      <w:pPr>
        <w:pStyle w:val="20"/>
        <w:rPr>
          <w:rFonts w:hint="eastAsia" w:ascii="Times New Roman" w:hAnsi="Times New Roman" w:cs="Times New Roman"/>
          <w:color w:val="auto"/>
          <w:u w:val="none" w:color="auto"/>
          <w:lang w:eastAsia="zh-CN"/>
        </w:rPr>
      </w:pPr>
      <w:r>
        <w:rPr>
          <w:rFonts w:hint="eastAsia" w:ascii="Times New Roman" w:hAnsi="Times New Roman" w:cs="Times New Roman"/>
          <w:color w:val="auto"/>
          <w:u w:val="none" w:color="auto"/>
          <w:lang w:eastAsia="zh-CN"/>
        </w:rPr>
        <w:t>物料运输的交通噪声主要是施工阶段物料运输车辆引起的噪声，各阶段的</w:t>
      </w:r>
      <w:r>
        <w:rPr>
          <w:rFonts w:hint="eastAsia" w:ascii="Times New Roman" w:hAnsi="Times New Roman" w:cs="Times New Roman"/>
          <w:color w:val="auto"/>
          <w:u w:val="none" w:color="auto"/>
          <w:lang w:val="en-US" w:eastAsia="zh-CN"/>
        </w:rPr>
        <w:t>车</w:t>
      </w:r>
      <w:r>
        <w:rPr>
          <w:rFonts w:hint="eastAsia" w:ascii="Times New Roman" w:hAnsi="Times New Roman" w:cs="Times New Roman"/>
          <w:color w:val="auto"/>
          <w:u w:val="none" w:color="auto"/>
          <w:lang w:eastAsia="zh-CN"/>
        </w:rPr>
        <w:t>辆类型与声级见下表。</w:t>
      </w:r>
    </w:p>
    <w:p w14:paraId="45ABAFCB">
      <w:pPr>
        <w:pStyle w:val="22"/>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表4.4-</w:t>
      </w:r>
      <w:r>
        <w:rPr>
          <w:rFonts w:hint="eastAsia"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lang w:val="en-US" w:eastAsia="zh-CN"/>
        </w:rPr>
        <w:t xml:space="preserve"> 几种主要施工机械的噪声源强表</w:t>
      </w:r>
    </w:p>
    <w:tbl>
      <w:tblPr>
        <w:tblStyle w:val="17"/>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2550"/>
        <w:gridCol w:w="2055"/>
        <w:gridCol w:w="1941"/>
      </w:tblGrid>
      <w:tr w14:paraId="0EA46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6" w:type="dxa"/>
            <w:tcBorders>
              <w:tl2br w:val="nil"/>
              <w:tr2bl w:val="nil"/>
            </w:tcBorders>
            <w:noWrap w:val="0"/>
            <w:vAlign w:val="center"/>
          </w:tcPr>
          <w:p w14:paraId="133687E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施工阶段</w:t>
            </w:r>
          </w:p>
        </w:tc>
        <w:tc>
          <w:tcPr>
            <w:tcW w:w="2550" w:type="dxa"/>
            <w:tcBorders>
              <w:tl2br w:val="nil"/>
              <w:tr2bl w:val="nil"/>
            </w:tcBorders>
            <w:noWrap w:val="0"/>
            <w:vAlign w:val="center"/>
          </w:tcPr>
          <w:p w14:paraId="40259CB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运输内容</w:t>
            </w:r>
          </w:p>
        </w:tc>
        <w:tc>
          <w:tcPr>
            <w:tcW w:w="2055" w:type="dxa"/>
            <w:tcBorders>
              <w:tl2br w:val="nil"/>
              <w:tr2bl w:val="nil"/>
            </w:tcBorders>
            <w:noWrap w:val="0"/>
            <w:vAlign w:val="center"/>
          </w:tcPr>
          <w:p w14:paraId="763B431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车辆类型</w:t>
            </w:r>
          </w:p>
        </w:tc>
        <w:tc>
          <w:tcPr>
            <w:tcW w:w="1941" w:type="dxa"/>
            <w:tcBorders>
              <w:tl2br w:val="nil"/>
              <w:tr2bl w:val="nil"/>
            </w:tcBorders>
            <w:noWrap w:val="0"/>
            <w:vAlign w:val="center"/>
          </w:tcPr>
          <w:p w14:paraId="14A48D0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auto"/>
                <w:sz w:val="21"/>
                <w:szCs w:val="21"/>
                <w:u w:val="none" w:color="auto"/>
                <w:lang w:val="en-US" w:eastAsia="zh-CN"/>
              </w:rPr>
            </w:pPr>
            <w:r>
              <w:rPr>
                <w:rFonts w:hint="eastAsia" w:ascii="Times New Roman" w:hAnsi="Times New Roman" w:eastAsia="宋体" w:cs="Times New Roman"/>
                <w:b/>
                <w:bCs/>
                <w:color w:val="auto"/>
                <w:sz w:val="21"/>
                <w:szCs w:val="21"/>
                <w:u w:val="none" w:color="auto"/>
                <w:lang w:val="en-US" w:eastAsia="zh-CN"/>
              </w:rPr>
              <w:t>声级（dB（A））</w:t>
            </w:r>
          </w:p>
        </w:tc>
      </w:tr>
      <w:tr w14:paraId="622641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6" w:type="dxa"/>
            <w:tcBorders>
              <w:tl2br w:val="nil"/>
              <w:tr2bl w:val="nil"/>
            </w:tcBorders>
            <w:noWrap w:val="0"/>
            <w:vAlign w:val="center"/>
          </w:tcPr>
          <w:p w14:paraId="1E57135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土方阶段</w:t>
            </w:r>
          </w:p>
        </w:tc>
        <w:tc>
          <w:tcPr>
            <w:tcW w:w="2550" w:type="dxa"/>
            <w:tcBorders>
              <w:tl2br w:val="nil"/>
              <w:tr2bl w:val="nil"/>
            </w:tcBorders>
            <w:noWrap w:val="0"/>
            <w:vAlign w:val="center"/>
          </w:tcPr>
          <w:p w14:paraId="198BF3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土方外运</w:t>
            </w:r>
          </w:p>
        </w:tc>
        <w:tc>
          <w:tcPr>
            <w:tcW w:w="2055" w:type="dxa"/>
            <w:tcBorders>
              <w:tl2br w:val="nil"/>
              <w:tr2bl w:val="nil"/>
            </w:tcBorders>
            <w:noWrap w:val="0"/>
            <w:vAlign w:val="center"/>
          </w:tcPr>
          <w:p w14:paraId="42AA8F7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大型载重车</w:t>
            </w:r>
          </w:p>
        </w:tc>
        <w:tc>
          <w:tcPr>
            <w:tcW w:w="1941" w:type="dxa"/>
            <w:tcBorders>
              <w:tl2br w:val="nil"/>
              <w:tr2bl w:val="nil"/>
            </w:tcBorders>
            <w:noWrap w:val="0"/>
            <w:vAlign w:val="center"/>
          </w:tcPr>
          <w:p w14:paraId="1AE0395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90</w:t>
            </w:r>
          </w:p>
        </w:tc>
      </w:tr>
      <w:tr w14:paraId="5D812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6" w:type="dxa"/>
            <w:tcBorders>
              <w:tl2br w:val="nil"/>
              <w:tr2bl w:val="nil"/>
            </w:tcBorders>
            <w:noWrap w:val="0"/>
            <w:vAlign w:val="center"/>
          </w:tcPr>
          <w:p w14:paraId="516316E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底板及结构阶段</w:t>
            </w:r>
          </w:p>
        </w:tc>
        <w:tc>
          <w:tcPr>
            <w:tcW w:w="2550" w:type="dxa"/>
            <w:tcBorders>
              <w:tl2br w:val="nil"/>
              <w:tr2bl w:val="nil"/>
            </w:tcBorders>
            <w:noWrap w:val="0"/>
            <w:vAlign w:val="center"/>
          </w:tcPr>
          <w:p w14:paraId="4B31F92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钢筋、商品混凝土</w:t>
            </w:r>
          </w:p>
        </w:tc>
        <w:tc>
          <w:tcPr>
            <w:tcW w:w="2055" w:type="dxa"/>
            <w:tcBorders>
              <w:tl2br w:val="nil"/>
              <w:tr2bl w:val="nil"/>
            </w:tcBorders>
            <w:noWrap w:val="0"/>
            <w:vAlign w:val="center"/>
          </w:tcPr>
          <w:p w14:paraId="4BEAFCC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混凝土罐车、载重车</w:t>
            </w:r>
          </w:p>
        </w:tc>
        <w:tc>
          <w:tcPr>
            <w:tcW w:w="1941" w:type="dxa"/>
            <w:tcBorders>
              <w:tl2br w:val="nil"/>
              <w:tr2bl w:val="nil"/>
            </w:tcBorders>
            <w:noWrap w:val="0"/>
            <w:vAlign w:val="center"/>
          </w:tcPr>
          <w:p w14:paraId="4133BD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80~85</w:t>
            </w:r>
          </w:p>
        </w:tc>
      </w:tr>
      <w:tr w14:paraId="1A3D47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976" w:type="dxa"/>
            <w:tcBorders>
              <w:tl2br w:val="nil"/>
              <w:tr2bl w:val="nil"/>
            </w:tcBorders>
            <w:noWrap w:val="0"/>
            <w:vAlign w:val="center"/>
          </w:tcPr>
          <w:p w14:paraId="44BB4F2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装修阶段</w:t>
            </w:r>
          </w:p>
        </w:tc>
        <w:tc>
          <w:tcPr>
            <w:tcW w:w="2550" w:type="dxa"/>
            <w:tcBorders>
              <w:tl2br w:val="nil"/>
              <w:tr2bl w:val="nil"/>
            </w:tcBorders>
            <w:noWrap w:val="0"/>
            <w:vAlign w:val="center"/>
          </w:tcPr>
          <w:p w14:paraId="4C7114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各种装修材料及必要设备</w:t>
            </w:r>
          </w:p>
        </w:tc>
        <w:tc>
          <w:tcPr>
            <w:tcW w:w="2055" w:type="dxa"/>
            <w:tcBorders>
              <w:tl2br w:val="nil"/>
              <w:tr2bl w:val="nil"/>
            </w:tcBorders>
            <w:noWrap w:val="0"/>
            <w:vAlign w:val="center"/>
          </w:tcPr>
          <w:p w14:paraId="6055FB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轻型载重卡车</w:t>
            </w:r>
          </w:p>
        </w:tc>
        <w:tc>
          <w:tcPr>
            <w:tcW w:w="1941" w:type="dxa"/>
            <w:tcBorders>
              <w:tl2br w:val="nil"/>
              <w:tr2bl w:val="nil"/>
            </w:tcBorders>
            <w:noWrap w:val="0"/>
            <w:vAlign w:val="center"/>
          </w:tcPr>
          <w:p w14:paraId="4B569A7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75</w:t>
            </w:r>
          </w:p>
        </w:tc>
      </w:tr>
    </w:tbl>
    <w:p w14:paraId="24D92036">
      <w:pPr>
        <w:pStyle w:val="20"/>
        <w:rPr>
          <w:rFonts w:hint="default" w:ascii="Times New Roman" w:hAnsi="Times New Roman" w:cs="Times New Roman"/>
          <w:color w:val="auto"/>
          <w:u w:val="none" w:color="auto"/>
        </w:rPr>
      </w:pP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4）固体废物</w:t>
      </w:r>
    </w:p>
    <w:p w14:paraId="583D5901">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施工期固体废物主要包括施工人员生活垃圾、开挖产生的建筑垃圾及设备的包装废料。</w:t>
      </w:r>
    </w:p>
    <w:p w14:paraId="4A3728AA">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土石方：根据现场调查，目前项目拟建地块已由园区进行开发平整完毕，本项目建设不涉及大规模的开挖和平整，项目涉及的土石方工程主要为基础开挖、进场道路填筑、厂区建筑物基础梯级开挖平整等建设。项目挖方产生土石方主要用于场区地基平整，进场道路填方等，整个项目基本保持土石方平衡。</w:t>
      </w:r>
    </w:p>
    <w:p w14:paraId="7448CAE0">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施工建筑垃圾：根据建筑有关资料，施工期建筑垃圾产生系数为20-40kg/m</w:t>
      </w:r>
      <w:r>
        <w:rPr>
          <w:rFonts w:hint="default" w:ascii="Times New Roman" w:hAnsi="Times New Roman" w:cs="Times New Roman"/>
          <w:color w:val="auto"/>
          <w:u w:val="none" w:color="auto"/>
          <w:vertAlign w:val="superscript"/>
        </w:rPr>
        <w:t>2</w:t>
      </w:r>
      <w:r>
        <w:rPr>
          <w:rFonts w:hint="default" w:ascii="Times New Roman" w:hAnsi="Times New Roman" w:cs="Times New Roman"/>
          <w:color w:val="auto"/>
          <w:u w:val="none" w:color="auto"/>
        </w:rPr>
        <w:t>，项目建筑垃圾产生量取中间值30kg/m</w:t>
      </w:r>
      <w:r>
        <w:rPr>
          <w:rFonts w:hint="default" w:ascii="Times New Roman" w:hAnsi="Times New Roman" w:cs="Times New Roman"/>
          <w:color w:val="auto"/>
          <w:u w:val="none" w:color="auto"/>
          <w:vertAlign w:val="superscript"/>
        </w:rPr>
        <w:t>2</w:t>
      </w:r>
      <w:r>
        <w:rPr>
          <w:rFonts w:hint="default" w:ascii="Times New Roman" w:hAnsi="Times New Roman" w:cs="Times New Roman"/>
          <w:color w:val="auto"/>
          <w:u w:val="none" w:color="auto"/>
        </w:rPr>
        <w:t>，项目总建筑面积为</w:t>
      </w:r>
      <w:r>
        <w:rPr>
          <w:rFonts w:hint="eastAsia" w:ascii="Times New Roman" w:hAnsi="Times New Roman" w:cs="Times New Roman"/>
          <w:color w:val="auto"/>
          <w:u w:val="none" w:color="auto"/>
          <w:lang w:val="en-US" w:eastAsia="zh-CN"/>
        </w:rPr>
        <w:t>22578.96</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2</w:t>
      </w:r>
      <w:r>
        <w:rPr>
          <w:rFonts w:hint="default" w:ascii="Times New Roman" w:hAnsi="Times New Roman" w:cs="Times New Roman"/>
          <w:color w:val="auto"/>
          <w:u w:val="none" w:color="auto"/>
        </w:rPr>
        <w:t>，施工阶段建筑垃圾产生总量约为</w:t>
      </w:r>
      <w:r>
        <w:rPr>
          <w:rFonts w:hint="eastAsia" w:ascii="Times New Roman" w:hAnsi="Times New Roman" w:cs="Times New Roman"/>
          <w:color w:val="auto"/>
          <w:u w:val="none" w:color="auto"/>
          <w:lang w:val="en-US" w:eastAsia="zh-CN"/>
        </w:rPr>
        <w:t>677.369</w:t>
      </w:r>
      <w:r>
        <w:rPr>
          <w:rFonts w:hint="default" w:ascii="Times New Roman" w:hAnsi="Times New Roman" w:cs="Times New Roman"/>
          <w:color w:val="auto"/>
          <w:u w:val="none" w:color="auto"/>
        </w:rPr>
        <w:t>t。</w:t>
      </w:r>
    </w:p>
    <w:p w14:paraId="7D2FCA5A">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施工人员垃圾：项目施工期工人数平均约40人/d，施工期约</w:t>
      </w:r>
      <w:r>
        <w:rPr>
          <w:rFonts w:hint="eastAsia" w:ascii="Times New Roman" w:hAnsi="Times New Roman" w:cs="Times New Roman"/>
          <w:color w:val="auto"/>
          <w:u w:val="none" w:color="auto"/>
          <w:lang w:val="en-US" w:eastAsia="zh-CN"/>
        </w:rPr>
        <w:t>12</w:t>
      </w:r>
      <w:r>
        <w:rPr>
          <w:rFonts w:hint="default" w:ascii="Times New Roman" w:hAnsi="Times New Roman" w:cs="Times New Roman"/>
          <w:color w:val="auto"/>
          <w:u w:val="none" w:color="auto"/>
        </w:rPr>
        <w:t>个月，生活垃圾产生量按每人0.5kg/d计，则施工人员生活垃圾产生量为20kg/d（共</w:t>
      </w:r>
      <w:r>
        <w:rPr>
          <w:rFonts w:hint="eastAsia" w:ascii="Times New Roman" w:hAnsi="Times New Roman" w:cs="Times New Roman"/>
          <w:color w:val="auto"/>
          <w:u w:val="none" w:color="auto"/>
          <w:lang w:val="en-US" w:eastAsia="zh-CN"/>
        </w:rPr>
        <w:t>7.2</w:t>
      </w:r>
      <w:r>
        <w:rPr>
          <w:rFonts w:hint="default" w:ascii="Times New Roman" w:hAnsi="Times New Roman" w:cs="Times New Roman"/>
          <w:color w:val="auto"/>
          <w:u w:val="none" w:color="auto"/>
        </w:rPr>
        <w:t>t）。</w:t>
      </w:r>
    </w:p>
    <w:p w14:paraId="7E660B34">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（5）生态影响</w:t>
      </w:r>
    </w:p>
    <w:p w14:paraId="4A01554F">
      <w:pPr>
        <w:pStyle w:val="20"/>
        <w:bidi w:val="0"/>
        <w:rPr>
          <w:rFonts w:hint="default"/>
          <w:color w:val="auto"/>
          <w:u w:val="none" w:color="auto"/>
        </w:rPr>
      </w:pPr>
      <w:r>
        <w:rPr>
          <w:rFonts w:hint="default" w:ascii="Times New Roman" w:hAnsi="Times New Roman" w:cs="Times New Roman"/>
          <w:color w:val="auto"/>
          <w:u w:val="none" w:color="auto"/>
        </w:rPr>
        <w:t>施工期作业类型较多，工程活动有基础土石方工程；设备、材料及土石方运输；房屋建筑施工等，这些施工活动将不同程度地产生地表扰动、植被破坏、土壤侵蚀，将不可避免的造成工程范围内水土流失</w:t>
      </w:r>
      <w:r>
        <w:rPr>
          <w:rFonts w:hint="default"/>
          <w:color w:val="auto"/>
          <w:u w:val="none" w:color="auto"/>
        </w:rPr>
        <w:t>。</w:t>
      </w:r>
    </w:p>
    <w:p w14:paraId="7D500BC4">
      <w:pPr>
        <w:pStyle w:val="4"/>
        <w:bidi w:val="0"/>
        <w:rPr>
          <w:rFonts w:hint="eastAsia"/>
          <w:color w:val="auto"/>
          <w:u w:val="none" w:color="auto"/>
          <w:lang w:val="en-US" w:eastAsia="zh-CN"/>
        </w:rPr>
      </w:pPr>
      <w:bookmarkStart w:id="646" w:name="_Toc23975"/>
      <w:bookmarkStart w:id="647" w:name="_Toc20598"/>
      <w:bookmarkStart w:id="648" w:name="_Toc18368"/>
      <w:r>
        <w:rPr>
          <w:rFonts w:hint="eastAsia"/>
          <w:color w:val="auto"/>
          <w:u w:val="none" w:color="auto"/>
          <w:lang w:val="en-US" w:eastAsia="zh-CN"/>
        </w:rPr>
        <w:t>4.4.2营运期污染源分析</w:t>
      </w:r>
      <w:bookmarkEnd w:id="646"/>
      <w:bookmarkEnd w:id="647"/>
      <w:bookmarkEnd w:id="648"/>
    </w:p>
    <w:p w14:paraId="523243DF">
      <w:pPr>
        <w:pStyle w:val="20"/>
        <w:bidi w:val="0"/>
        <w:rPr>
          <w:rFonts w:hint="default" w:ascii="Times New Roman" w:hAnsi="Times New Roman" w:eastAsia="宋体" w:cs="Times New Roman"/>
          <w:b/>
          <w:bCs/>
          <w:color w:val="auto"/>
          <w:u w:val="none" w:color="auto"/>
          <w:lang w:val="en-US" w:eastAsia="zh-CN"/>
        </w:rPr>
      </w:pPr>
      <w:r>
        <w:rPr>
          <w:rFonts w:hint="eastAsia" w:ascii="Times New Roman" w:hAnsi="Times New Roman" w:eastAsia="宋体" w:cs="Times New Roman"/>
          <w:b/>
          <w:bCs/>
          <w:color w:val="auto"/>
          <w:u w:val="none" w:color="auto"/>
          <w:lang w:val="en-US" w:eastAsia="zh-CN"/>
        </w:rPr>
        <w:t>1、</w:t>
      </w:r>
      <w:r>
        <w:rPr>
          <w:rFonts w:hint="default" w:ascii="Times New Roman" w:hAnsi="Times New Roman" w:eastAsia="宋体" w:cs="Times New Roman"/>
          <w:b/>
          <w:bCs/>
          <w:color w:val="auto"/>
          <w:u w:val="none" w:color="auto"/>
          <w:lang w:val="en-US" w:eastAsia="zh-CN"/>
        </w:rPr>
        <w:t>废水污染源</w:t>
      </w:r>
    </w:p>
    <w:p w14:paraId="302E7AA3">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rPr>
        <w:t>本项目</w:t>
      </w:r>
      <w:r>
        <w:rPr>
          <w:rFonts w:hint="eastAsia" w:cs="Times New Roman"/>
          <w:color w:val="auto"/>
          <w:u w:val="none"/>
          <w:lang w:eastAsia="zh-CN"/>
        </w:rPr>
        <w:t>产品冷却水及设备冷却水定时补充损耗，不外排。</w:t>
      </w:r>
      <w:r>
        <w:rPr>
          <w:rFonts w:hint="default" w:ascii="Times New Roman" w:hAnsi="Times New Roman" w:cs="Times New Roman"/>
          <w:color w:val="auto"/>
          <w:u w:val="none"/>
        </w:rPr>
        <w:t>废水主要来源于</w:t>
      </w:r>
      <w:bookmarkStart w:id="649" w:name="OLE_LINK18"/>
      <w:r>
        <w:rPr>
          <w:rFonts w:hint="default" w:ascii="Times New Roman" w:hAnsi="Times New Roman" w:cs="Times New Roman"/>
          <w:color w:val="auto"/>
          <w:u w:val="none"/>
        </w:rPr>
        <w:t>生活污水</w:t>
      </w:r>
      <w:bookmarkEnd w:id="649"/>
      <w:r>
        <w:rPr>
          <w:rFonts w:hint="eastAsia" w:cs="Times New Roman"/>
          <w:color w:val="auto"/>
          <w:u w:val="none"/>
          <w:lang w:eastAsia="zh-CN"/>
        </w:rPr>
        <w:t>，</w:t>
      </w:r>
      <w:r>
        <w:rPr>
          <w:rFonts w:hint="default" w:ascii="Times New Roman" w:hAnsi="Times New Roman" w:cs="Times New Roman"/>
          <w:color w:val="auto"/>
          <w:u w:val="none"/>
        </w:rPr>
        <w:t>根据建设方提供的资料，项目地面清洁采用人工清扫方式</w:t>
      </w:r>
      <w:r>
        <w:rPr>
          <w:rFonts w:hint="eastAsia" w:cs="Times New Roman"/>
          <w:color w:val="auto"/>
          <w:u w:val="none"/>
          <w:lang w:eastAsia="zh-CN"/>
        </w:rPr>
        <w:t>，</w:t>
      </w:r>
      <w:r>
        <w:rPr>
          <w:rFonts w:hint="default" w:ascii="Times New Roman" w:hAnsi="Times New Roman" w:cs="Times New Roman"/>
          <w:color w:val="auto"/>
          <w:u w:val="none"/>
        </w:rPr>
        <w:t>不使用水对地面进行冲洗，故无地面冲洗水的产生</w:t>
      </w:r>
      <w:r>
        <w:rPr>
          <w:rFonts w:hint="default" w:ascii="Times New Roman" w:hAnsi="Times New Roman" w:eastAsia="宋体" w:cs="Times New Roman"/>
          <w:color w:val="auto"/>
          <w:u w:val="none" w:color="auto"/>
          <w:lang w:val="en-US" w:eastAsia="zh-CN"/>
        </w:rPr>
        <w:t>。</w:t>
      </w:r>
    </w:p>
    <w:p w14:paraId="589D30F5">
      <w:pPr>
        <w:pStyle w:val="20"/>
        <w:bidi w:val="0"/>
        <w:rPr>
          <w:rFonts w:hint="default" w:ascii="Times New Roman" w:hAnsi="Times New Roman" w:eastAsia="宋体" w:cs="Times New Roman"/>
          <w:color w:val="auto"/>
          <w:u w:val="none" w:color="auto"/>
        </w:rPr>
      </w:pPr>
      <w:r>
        <w:rPr>
          <w:rFonts w:hint="eastAsia"/>
          <w:color w:val="auto"/>
          <w:u w:val="none" w:color="auto"/>
          <w:lang w:val="en-US" w:eastAsia="zh-CN"/>
        </w:rPr>
        <w:t>本项目职工60人，提供食宿，根据《湖南省用水定额》（DB43/T388-2014）住宿员工每人用水145L/d，年工作日300天。则职工生活用水量2610m</w:t>
      </w:r>
      <w:r>
        <w:rPr>
          <w:rFonts w:hint="eastAsia"/>
          <w:color w:val="auto"/>
          <w:u w:val="none" w:color="auto"/>
          <w:vertAlign w:val="superscript"/>
          <w:lang w:val="en-US" w:eastAsia="zh-CN"/>
        </w:rPr>
        <w:t>3</w:t>
      </w:r>
      <w:r>
        <w:rPr>
          <w:rFonts w:hint="eastAsia"/>
          <w:color w:val="auto"/>
          <w:u w:val="none" w:color="auto"/>
          <w:lang w:val="en-US" w:eastAsia="zh-CN"/>
        </w:rPr>
        <w:t>/a（8.7m</w:t>
      </w:r>
      <w:r>
        <w:rPr>
          <w:rFonts w:hint="eastAsia"/>
          <w:color w:val="auto"/>
          <w:u w:val="none" w:color="auto"/>
          <w:vertAlign w:val="superscript"/>
          <w:lang w:val="en-US" w:eastAsia="zh-CN"/>
        </w:rPr>
        <w:t>3</w:t>
      </w:r>
      <w:r>
        <w:rPr>
          <w:rFonts w:hint="eastAsia"/>
          <w:color w:val="auto"/>
          <w:u w:val="none" w:color="auto"/>
          <w:lang w:val="en-US" w:eastAsia="zh-CN"/>
        </w:rPr>
        <w:t>/d）；污水排放量按用水量的80%计，则污水排放量为2088m</w:t>
      </w:r>
      <w:r>
        <w:rPr>
          <w:rFonts w:hint="eastAsia"/>
          <w:color w:val="auto"/>
          <w:u w:val="none" w:color="auto"/>
          <w:vertAlign w:val="superscript"/>
          <w:lang w:val="en-US" w:eastAsia="zh-CN"/>
        </w:rPr>
        <w:t>3</w:t>
      </w:r>
      <w:r>
        <w:rPr>
          <w:rFonts w:hint="eastAsia"/>
          <w:color w:val="auto"/>
          <w:u w:val="none" w:color="auto"/>
          <w:lang w:val="en-US" w:eastAsia="zh-CN"/>
        </w:rPr>
        <w:t>/a（6.96m</w:t>
      </w:r>
      <w:r>
        <w:rPr>
          <w:rFonts w:hint="eastAsia"/>
          <w:color w:val="auto"/>
          <w:u w:val="none" w:color="auto"/>
          <w:vertAlign w:val="superscript"/>
          <w:lang w:val="en-US" w:eastAsia="zh-CN"/>
        </w:rPr>
        <w:t>3</w:t>
      </w:r>
      <w:r>
        <w:rPr>
          <w:rFonts w:hint="eastAsia"/>
          <w:color w:val="auto"/>
          <w:u w:val="none" w:color="auto"/>
          <w:lang w:val="en-US" w:eastAsia="zh-CN"/>
        </w:rPr>
        <w:t>/d）。本项目车间内不设置生活区，食宿均设置于综合楼，员工生活污水经化粪池处理后进入湖南</w:t>
      </w:r>
      <w:r>
        <w:rPr>
          <w:rFonts w:hint="default" w:ascii="Times New Roman" w:hAnsi="Times New Roman" w:eastAsia="宋体" w:cs="Times New Roman"/>
          <w:color w:val="auto"/>
          <w:u w:val="none" w:color="auto"/>
        </w:rPr>
        <w:t>汨罗高新技术产业开发区（循环园区）污水处理厂</w:t>
      </w:r>
      <w:r>
        <w:rPr>
          <w:rFonts w:hint="eastAsia"/>
          <w:color w:val="auto"/>
          <w:u w:val="none" w:color="auto"/>
          <w:lang w:val="en-US" w:eastAsia="zh-CN"/>
        </w:rPr>
        <w:t>处理</w:t>
      </w:r>
      <w:r>
        <w:rPr>
          <w:rFonts w:hint="default" w:ascii="Times New Roman" w:hAnsi="Times New Roman" w:eastAsia="宋体" w:cs="Times New Roman"/>
          <w:color w:val="auto"/>
          <w:u w:val="none" w:color="auto"/>
        </w:rPr>
        <w:t>。据类比，项目生活污水</w:t>
      </w:r>
      <w:r>
        <w:rPr>
          <w:rFonts w:hint="eastAsia" w:ascii="Times New Roman" w:hAnsi="Times New Roman" w:eastAsia="宋体" w:cs="Times New Roman"/>
          <w:color w:val="auto"/>
          <w:u w:val="none" w:color="auto"/>
          <w:lang w:val="en-US" w:eastAsia="zh-CN"/>
        </w:rPr>
        <w:t>排放</w:t>
      </w:r>
      <w:r>
        <w:rPr>
          <w:rFonts w:hint="default" w:ascii="Times New Roman" w:hAnsi="Times New Roman" w:eastAsia="宋体" w:cs="Times New Roman"/>
          <w:color w:val="auto"/>
          <w:u w:val="none" w:color="auto"/>
        </w:rPr>
        <w:t>水质情况为：COD</w:t>
      </w:r>
      <w:r>
        <w:rPr>
          <w:rFonts w:hint="default" w:ascii="Times New Roman" w:hAnsi="Times New Roman" w:eastAsia="宋体" w:cs="Times New Roman"/>
          <w:color w:val="auto"/>
          <w:u w:val="none" w:color="auto"/>
          <w:lang w:val="en-US" w:eastAsia="zh-CN"/>
        </w:rPr>
        <w:t>cr</w:t>
      </w:r>
      <w:r>
        <w:rPr>
          <w:rFonts w:hint="eastAsia" w:ascii="Times New Roman" w:hAnsi="Times New Roman" w:eastAsia="宋体" w:cs="Times New Roman"/>
          <w:color w:val="auto"/>
          <w:u w:val="none" w:color="auto"/>
          <w:lang w:val="en-US" w:eastAsia="zh-CN"/>
        </w:rPr>
        <w:t>255</w:t>
      </w:r>
      <w:r>
        <w:rPr>
          <w:rFonts w:hint="default" w:ascii="Times New Roman" w:hAnsi="Times New Roman" w:eastAsia="宋体" w:cs="Times New Roman"/>
          <w:color w:val="auto"/>
          <w:u w:val="none" w:color="auto"/>
        </w:rPr>
        <w:t>mg/L，BOD</w:t>
      </w:r>
      <w:r>
        <w:rPr>
          <w:rFonts w:hint="default" w:ascii="Times New Roman" w:hAnsi="Times New Roman" w:eastAsia="宋体" w:cs="Times New Roman"/>
          <w:color w:val="auto"/>
          <w:u w:val="none" w:color="auto"/>
          <w:vertAlign w:val="subscript"/>
        </w:rPr>
        <w:t>5</w:t>
      </w:r>
      <w:r>
        <w:rPr>
          <w:rFonts w:hint="eastAsia" w:ascii="Times New Roman" w:hAnsi="Times New Roman" w:eastAsia="宋体" w:cs="Times New Roman"/>
          <w:color w:val="auto"/>
          <w:u w:val="none" w:color="auto"/>
          <w:lang w:val="en-US" w:eastAsia="zh-CN"/>
        </w:rPr>
        <w:t>160</w:t>
      </w:r>
      <w:r>
        <w:rPr>
          <w:rFonts w:hint="default" w:ascii="Times New Roman" w:hAnsi="Times New Roman" w:eastAsia="宋体" w:cs="Times New Roman"/>
          <w:color w:val="auto"/>
          <w:u w:val="none" w:color="auto"/>
        </w:rPr>
        <w:t>mg/L，SS</w:t>
      </w:r>
      <w:r>
        <w:rPr>
          <w:rFonts w:hint="eastAsia" w:ascii="Times New Roman" w:hAnsi="Times New Roman" w:eastAsia="宋体" w:cs="Times New Roman"/>
          <w:color w:val="auto"/>
          <w:u w:val="none" w:color="auto"/>
          <w:lang w:val="en-US" w:eastAsia="zh-CN"/>
        </w:rPr>
        <w:t>150</w:t>
      </w:r>
      <w:r>
        <w:rPr>
          <w:rFonts w:hint="default" w:ascii="Times New Roman" w:hAnsi="Times New Roman" w:eastAsia="宋体" w:cs="Times New Roman"/>
          <w:color w:val="auto"/>
          <w:u w:val="none" w:color="auto"/>
        </w:rPr>
        <w:t>mg/L、氨氮</w:t>
      </w:r>
      <w:r>
        <w:rPr>
          <w:rFonts w:hint="eastAsia" w:ascii="Times New Roman" w:hAnsi="Times New Roman" w:eastAsia="宋体" w:cs="Times New Roman"/>
          <w:color w:val="auto"/>
          <w:u w:val="none" w:color="auto"/>
          <w:lang w:val="en-US" w:eastAsia="zh-CN"/>
        </w:rPr>
        <w:t>10</w:t>
      </w:r>
      <w:r>
        <w:rPr>
          <w:rFonts w:hint="default" w:ascii="Times New Roman" w:hAnsi="Times New Roman" w:eastAsia="宋体" w:cs="Times New Roman"/>
          <w:color w:val="auto"/>
          <w:u w:val="none" w:color="auto"/>
        </w:rPr>
        <w:t>mg/L、动植物油</w:t>
      </w:r>
      <w:r>
        <w:rPr>
          <w:rFonts w:hint="eastAsia" w:ascii="Times New Roman" w:hAnsi="Times New Roman" w:eastAsia="宋体" w:cs="Times New Roman"/>
          <w:color w:val="auto"/>
          <w:u w:val="none" w:color="auto"/>
          <w:lang w:val="en-US" w:eastAsia="zh-CN"/>
        </w:rPr>
        <w:t>20</w:t>
      </w:r>
      <w:r>
        <w:rPr>
          <w:rFonts w:hint="default" w:ascii="Times New Roman" w:hAnsi="Times New Roman" w:eastAsia="宋体" w:cs="Times New Roman"/>
          <w:color w:val="auto"/>
          <w:u w:val="none" w:color="auto"/>
        </w:rPr>
        <w:t>mg/L</w:t>
      </w:r>
      <w:r>
        <w:rPr>
          <w:rFonts w:hint="default" w:ascii="Times New Roman" w:hAnsi="Times New Roman" w:eastAsia="宋体" w:cs="Times New Roman"/>
          <w:color w:val="auto"/>
          <w:u w:val="none" w:color="auto"/>
          <w:lang w:eastAsia="zh-CN"/>
        </w:rPr>
        <w:t>。</w:t>
      </w:r>
    </w:p>
    <w:p w14:paraId="3F02BB42">
      <w:pPr>
        <w:pStyle w:val="20"/>
        <w:bidi w:val="0"/>
        <w:rPr>
          <w:rFonts w:hint="eastAsia"/>
          <w:b/>
          <w:bCs/>
          <w:color w:val="auto"/>
          <w:u w:val="none" w:color="auto"/>
          <w:lang w:val="en-US" w:eastAsia="zh-CN"/>
        </w:rPr>
      </w:pPr>
      <w:r>
        <w:rPr>
          <w:rFonts w:hint="eastAsia"/>
          <w:b/>
          <w:bCs/>
          <w:color w:val="auto"/>
          <w:u w:val="none" w:color="auto"/>
          <w:lang w:val="en-US" w:eastAsia="zh-CN"/>
        </w:rPr>
        <w:t>2、废气污染源</w:t>
      </w:r>
    </w:p>
    <w:p w14:paraId="3F867097">
      <w:pPr>
        <w:pStyle w:val="20"/>
        <w:bidi w:val="0"/>
        <w:rPr>
          <w:rFonts w:hint="default" w:ascii="Times New Roman" w:hAnsi="Times New Roman" w:eastAsia="宋体" w:cs="Times New Roman"/>
          <w:b w:val="0"/>
          <w:bCs w:val="0"/>
          <w:color w:val="auto"/>
          <w:u w:val="none" w:color="auto"/>
          <w:lang w:val="en-US" w:eastAsia="zh-CN"/>
        </w:rPr>
      </w:pPr>
      <w:r>
        <w:rPr>
          <w:rFonts w:hint="default" w:ascii="Times New Roman" w:hAnsi="Times New Roman" w:eastAsia="宋体" w:cs="Times New Roman"/>
          <w:b w:val="0"/>
          <w:bCs w:val="0"/>
          <w:color w:val="auto"/>
          <w:u w:val="none" w:color="auto"/>
          <w:lang w:val="en-US" w:eastAsia="zh-CN"/>
        </w:rPr>
        <w:t>项目生产过程中使用的生产设备均使用电作为能源，不产生燃料废气，主要废气为破碎工段、磨粉工段、投料</w:t>
      </w:r>
      <w:r>
        <w:rPr>
          <w:rFonts w:hint="eastAsia" w:ascii="Times New Roman" w:hAnsi="Times New Roman" w:eastAsia="宋体" w:cs="Times New Roman"/>
          <w:b w:val="0"/>
          <w:bCs w:val="0"/>
          <w:color w:val="auto"/>
          <w:u w:val="none" w:color="auto"/>
          <w:lang w:val="en-US" w:eastAsia="zh-CN"/>
        </w:rPr>
        <w:t>工段、混料</w:t>
      </w:r>
      <w:r>
        <w:rPr>
          <w:rFonts w:hint="default" w:ascii="Times New Roman" w:hAnsi="Times New Roman" w:eastAsia="宋体" w:cs="Times New Roman"/>
          <w:b w:val="0"/>
          <w:bCs w:val="0"/>
          <w:color w:val="auto"/>
          <w:u w:val="none" w:color="auto"/>
          <w:lang w:val="en-US" w:eastAsia="zh-CN"/>
        </w:rPr>
        <w:t>工段产生的粉尘，挤出</w:t>
      </w:r>
      <w:r>
        <w:rPr>
          <w:rFonts w:hint="eastAsia" w:ascii="Times New Roman" w:hAnsi="Times New Roman" w:eastAsia="宋体" w:cs="Times New Roman"/>
          <w:b w:val="0"/>
          <w:bCs w:val="0"/>
          <w:color w:val="auto"/>
          <w:u w:val="none" w:color="auto"/>
          <w:lang w:val="en-US" w:eastAsia="zh-CN"/>
        </w:rPr>
        <w:t>工段</w:t>
      </w:r>
      <w:r>
        <w:rPr>
          <w:rFonts w:hint="default" w:ascii="Times New Roman" w:hAnsi="Times New Roman" w:eastAsia="宋体" w:cs="Times New Roman"/>
          <w:b w:val="0"/>
          <w:bCs w:val="0"/>
          <w:color w:val="auto"/>
          <w:u w:val="none" w:color="auto"/>
          <w:lang w:val="en-US" w:eastAsia="zh-CN"/>
        </w:rPr>
        <w:t>、覆膜工段产生的非甲烷总烃</w:t>
      </w:r>
      <w:r>
        <w:rPr>
          <w:rFonts w:hint="eastAsia" w:ascii="Times New Roman" w:hAnsi="Times New Roman" w:eastAsia="宋体" w:cs="Times New Roman"/>
          <w:b w:val="0"/>
          <w:bCs w:val="0"/>
          <w:color w:val="auto"/>
          <w:u w:val="none" w:color="auto"/>
          <w:lang w:val="en-US" w:eastAsia="zh-CN"/>
        </w:rPr>
        <w:t>，覆膜工段产生的二甲苯和恶臭，</w:t>
      </w:r>
      <w:r>
        <w:rPr>
          <w:rFonts w:hint="default" w:ascii="Times New Roman" w:hAnsi="Times New Roman" w:eastAsia="宋体" w:cs="Times New Roman"/>
          <w:b w:val="0"/>
          <w:bCs w:val="0"/>
          <w:color w:val="auto"/>
          <w:u w:val="none" w:color="auto"/>
          <w:lang w:val="en-US" w:eastAsia="zh-CN"/>
        </w:rPr>
        <w:t>挤出工段产生的</w:t>
      </w:r>
      <w:r>
        <w:rPr>
          <w:rFonts w:hint="eastAsia" w:ascii="Times New Roman" w:hAnsi="Times New Roman" w:eastAsia="宋体" w:cs="Times New Roman"/>
          <w:b w:val="0"/>
          <w:bCs w:val="0"/>
          <w:color w:val="auto"/>
          <w:u w:val="none" w:color="auto"/>
          <w:lang w:val="en-US" w:eastAsia="zh-CN"/>
        </w:rPr>
        <w:t>氯化氢</w:t>
      </w:r>
      <w:r>
        <w:rPr>
          <w:rFonts w:hint="default" w:ascii="Times New Roman" w:hAnsi="Times New Roman" w:eastAsia="宋体" w:cs="Times New Roman"/>
          <w:b w:val="0"/>
          <w:bCs w:val="0"/>
          <w:color w:val="auto"/>
          <w:u w:val="none" w:color="auto"/>
          <w:lang w:val="en-US" w:eastAsia="zh-CN"/>
        </w:rPr>
        <w:t>。</w:t>
      </w:r>
    </w:p>
    <w:p w14:paraId="104C9F78">
      <w:pPr>
        <w:pStyle w:val="2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（1）粉尘</w:t>
      </w:r>
    </w:p>
    <w:p w14:paraId="5698ADE3">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本项目粉尘主要产生于破碎、磨粉、投料</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混料及切割工序</w:t>
      </w:r>
      <w:r>
        <w:rPr>
          <w:rFonts w:hint="eastAsia" w:ascii="Times New Roman" w:hAnsi="Times New Roman" w:eastAsia="宋体" w:cs="Times New Roman"/>
          <w:color w:val="auto"/>
          <w:u w:val="none" w:color="auto"/>
          <w:lang w:val="en-US" w:eastAsia="zh-CN"/>
        </w:rPr>
        <w:t>。</w:t>
      </w:r>
    </w:p>
    <w:p w14:paraId="1180D243">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①投料</w:t>
      </w:r>
      <w:r>
        <w:rPr>
          <w:rFonts w:hint="eastAsia" w:ascii="Times New Roman" w:hAnsi="Times New Roman" w:eastAsia="宋体" w:cs="Times New Roman"/>
          <w:color w:val="auto"/>
          <w:u w:val="none" w:color="auto"/>
          <w:lang w:val="en-US" w:eastAsia="zh-CN"/>
        </w:rPr>
        <w:t>工序粉尘</w:t>
      </w:r>
    </w:p>
    <w:p w14:paraId="2E377DE2">
      <w:pPr>
        <w:pStyle w:val="20"/>
        <w:bidi w:val="0"/>
        <w:rPr>
          <w:rFonts w:hint="default" w:ascii="Times New Roman" w:hAnsi="Times New Roman" w:eastAsia="宋体" w:cs="Times New Roman"/>
          <w:color w:val="auto"/>
          <w:u w:val="none" w:color="auto"/>
          <w:lang w:val="en-US" w:eastAsia="zh-CN"/>
        </w:rPr>
      </w:pPr>
      <w:r>
        <w:rPr>
          <w:rFonts w:hint="eastAsia"/>
          <w:color w:val="auto"/>
          <w:u w:val="none" w:color="auto"/>
          <w:lang w:val="en-US" w:eastAsia="zh-CN"/>
        </w:rPr>
        <w:t>本项目设置一套全自动供料系统，外购的粒状、片状物料经磨粉机处理好后由磨粉机通过管道直接输入供料系统，不产生投料粉尘；其他的外购粉料中，主要原料采用叉车及提升机提升至投料口，由吨包底部进行投料，投料产生的粉尘由设备自带布袋除尘器收集回用，其他辅料采用人工投入供料系统中的小料投料设备，小料投料口为半封闭状态，本项目拟在供料系统中的小料投料设备上方设置抽风集气罩对逸散的粉尘进行收集，集气罩采用顶吸收集，结合软帘、挡板等柔性材料，贴近废气源形成封闭负压空间，经布袋除尘器处理后与后续混料、破碎、磨粉粉尘一并通过一根15m高DA001排气筒排放</w:t>
      </w:r>
      <w:r>
        <w:rPr>
          <w:rFonts w:hint="eastAsia" w:ascii="Times New Roman" w:hAnsi="Times New Roman" w:eastAsia="宋体" w:cs="Times New Roman"/>
          <w:color w:val="auto"/>
          <w:u w:val="none" w:color="auto"/>
          <w:lang w:val="en-US" w:eastAsia="zh-CN"/>
        </w:rPr>
        <w:t>。</w:t>
      </w:r>
    </w:p>
    <w:p w14:paraId="3741BF45">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根据《逸散性工业粉尘控制技术》（中国科学出版社），投料粉尘</w:t>
      </w:r>
      <w:r>
        <w:rPr>
          <w:rFonts w:hint="eastAsia" w:ascii="Times New Roman" w:hAnsi="Times New Roman" w:eastAsia="宋体" w:cs="Times New Roman"/>
          <w:color w:val="auto"/>
          <w:u w:val="none" w:color="auto"/>
          <w:lang w:val="en-US" w:eastAsia="zh-CN"/>
        </w:rPr>
        <w:t>按0.2kg/t粉料计，主要原料约16350t/a、其他辅料约2982.773t/a，产生的投料粉尘各为3.27t/a、0.597t/a；主要原料投料产生的粉尘由设备自带布袋除尘器收集，小料投料产生的粉尘由集气罩收集，收集效率按90%计，</w:t>
      </w:r>
      <w:r>
        <w:rPr>
          <w:rFonts w:hint="default" w:ascii="Times New Roman" w:hAnsi="Times New Roman" w:eastAsia="宋体" w:cs="Times New Roman"/>
          <w:color w:val="auto"/>
          <w:u w:val="none" w:color="auto"/>
          <w:lang w:val="en-US" w:eastAsia="zh-CN"/>
        </w:rPr>
        <w:t>处理效率按99%计，</w:t>
      </w:r>
      <w:r>
        <w:rPr>
          <w:rFonts w:hint="eastAsia" w:ascii="Times New Roman" w:hAnsi="Times New Roman" w:eastAsia="宋体" w:cs="Times New Roman"/>
          <w:color w:val="auto"/>
          <w:u w:val="none" w:color="auto"/>
          <w:lang w:val="en-US" w:eastAsia="zh-CN"/>
        </w:rPr>
        <w:t>则主要原料投料粉尘无组织排放量为0.357t/a</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075</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；其他辅料</w:t>
      </w:r>
      <w:r>
        <w:rPr>
          <w:rFonts w:hint="default" w:ascii="Times New Roman" w:hAnsi="Times New Roman" w:eastAsia="宋体" w:cs="Times New Roman"/>
          <w:color w:val="auto"/>
          <w:u w:val="none" w:color="auto"/>
          <w:lang w:val="en-US" w:eastAsia="zh-CN"/>
        </w:rPr>
        <w:t>有组织的产生量为</w:t>
      </w:r>
      <w:r>
        <w:rPr>
          <w:rFonts w:hint="eastAsia" w:ascii="Times New Roman" w:hAnsi="Times New Roman" w:eastAsia="宋体" w:cs="Times New Roman"/>
          <w:color w:val="auto"/>
          <w:u w:val="none" w:color="auto"/>
          <w:lang w:val="en-US" w:eastAsia="zh-CN"/>
        </w:rPr>
        <w:t>0.537</w:t>
      </w:r>
      <w:r>
        <w:rPr>
          <w:rFonts w:hint="default" w:ascii="Times New Roman" w:hAnsi="Times New Roman" w:eastAsia="宋体" w:cs="Times New Roman"/>
          <w:color w:val="auto"/>
          <w:u w:val="none" w:color="auto"/>
          <w:lang w:val="en-US" w:eastAsia="zh-CN"/>
        </w:rPr>
        <w:t>t/a，有组织的排放量为0.</w:t>
      </w:r>
      <w:r>
        <w:rPr>
          <w:rFonts w:hint="eastAsia" w:ascii="Times New Roman" w:hAnsi="Times New Roman" w:eastAsia="宋体" w:cs="Times New Roman"/>
          <w:color w:val="auto"/>
          <w:u w:val="none" w:color="auto"/>
          <w:lang w:val="en-US" w:eastAsia="zh-CN"/>
        </w:rPr>
        <w:t>006</w:t>
      </w:r>
      <w:r>
        <w:rPr>
          <w:rFonts w:hint="default" w:ascii="Times New Roman" w:hAnsi="Times New Roman" w:eastAsia="宋体" w:cs="Times New Roman"/>
          <w:color w:val="auto"/>
          <w:u w:val="none" w:color="auto"/>
          <w:lang w:val="en-US" w:eastAsia="zh-CN"/>
        </w:rPr>
        <w:t>t/a，无组织的排放量为</w:t>
      </w:r>
      <w:r>
        <w:rPr>
          <w:rFonts w:hint="eastAsia" w:ascii="Times New Roman" w:hAnsi="Times New Roman" w:eastAsia="宋体" w:cs="Times New Roman"/>
          <w:color w:val="auto"/>
          <w:u w:val="none" w:color="auto"/>
          <w:lang w:val="en-US" w:eastAsia="zh-CN"/>
        </w:rPr>
        <w:t>0.06</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013</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w:t>
      </w:r>
    </w:p>
    <w:p w14:paraId="1C83BBA8">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②</w:t>
      </w:r>
      <w:r>
        <w:rPr>
          <w:rFonts w:hint="eastAsia" w:ascii="Times New Roman" w:hAnsi="Times New Roman" w:eastAsia="宋体" w:cs="Times New Roman"/>
          <w:color w:val="auto"/>
          <w:u w:val="none" w:color="auto"/>
          <w:lang w:val="en-US" w:eastAsia="zh-CN"/>
        </w:rPr>
        <w:t>切割工序粉尘</w:t>
      </w:r>
    </w:p>
    <w:p w14:paraId="66B03A9E">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本项目挤出好的材料</w:t>
      </w:r>
      <w:r>
        <w:rPr>
          <w:rFonts w:hint="eastAsia" w:ascii="Times New Roman" w:hAnsi="Times New Roman" w:eastAsia="宋体" w:cs="Times New Roman"/>
          <w:color w:val="auto"/>
          <w:u w:val="none" w:color="auto"/>
          <w:lang w:val="en-US" w:eastAsia="zh-CN"/>
        </w:rPr>
        <w:t>以及2#厂房PVC膜</w:t>
      </w:r>
      <w:r>
        <w:rPr>
          <w:rFonts w:hint="default" w:ascii="Times New Roman" w:hAnsi="Times New Roman" w:eastAsia="宋体" w:cs="Times New Roman"/>
          <w:color w:val="auto"/>
          <w:u w:val="none" w:color="auto"/>
          <w:lang w:val="en-US" w:eastAsia="zh-CN"/>
        </w:rPr>
        <w:t>由机器闸刀快速裁切过程中，产生粉尘量较少，可忽略不计。</w:t>
      </w:r>
    </w:p>
    <w:p w14:paraId="4EB1C83F">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③破碎工序粉尘</w:t>
      </w:r>
    </w:p>
    <w:p w14:paraId="5FFAA1B3">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产生的不合格品、边角料需经破碎机破碎，仅破碎成小块状物料，在破碎过程中，破碎机处于封闭状态，只有极少量碎料溅出，且破碎机外设置密闭破碎间，将破碎机整个封闭起来，减少噪声影响，同时在破碎机喂料口上方设置集气罩，收集的粉尘引至</w:t>
      </w:r>
      <w:r>
        <w:rPr>
          <w:rFonts w:hint="eastAsia" w:ascii="Times New Roman" w:hAnsi="Times New Roman" w:eastAsia="宋体" w:cs="Times New Roman"/>
          <w:color w:val="auto"/>
          <w:u w:val="none" w:color="auto"/>
          <w:lang w:val="en-US" w:eastAsia="zh-CN"/>
        </w:rPr>
        <w:t>与磨粉、投料混料共用</w:t>
      </w:r>
      <w:r>
        <w:rPr>
          <w:rFonts w:hint="default" w:ascii="Times New Roman" w:hAnsi="Times New Roman" w:eastAsia="宋体" w:cs="Times New Roman"/>
          <w:color w:val="auto"/>
          <w:u w:val="none" w:color="auto"/>
          <w:lang w:val="en-US" w:eastAsia="zh-CN"/>
        </w:rPr>
        <w:t>一套袋式除尘器处理后由15m高排气筒排放（1#排气筒）。</w:t>
      </w:r>
    </w:p>
    <w:p w14:paraId="48DF227D">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集气效率不低于90%，总风机风量为20000m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/h，处理设施处理效率按99%计，破碎工序年运行时间为1200h</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根据建设方提供的资料，本项目</w:t>
      </w:r>
      <w:r>
        <w:rPr>
          <w:rFonts w:hint="eastAsia" w:ascii="Times New Roman" w:hAnsi="Times New Roman" w:eastAsia="宋体" w:cs="Times New Roman"/>
          <w:color w:val="auto"/>
          <w:u w:val="none" w:color="auto"/>
          <w:lang w:val="en-US" w:eastAsia="zh-CN"/>
        </w:rPr>
        <w:t>PVC大板生产线</w:t>
      </w:r>
      <w:r>
        <w:rPr>
          <w:rFonts w:hint="default" w:ascii="Times New Roman" w:hAnsi="Times New Roman" w:eastAsia="宋体" w:cs="Times New Roman"/>
          <w:color w:val="auto"/>
          <w:u w:val="none" w:color="auto"/>
          <w:lang w:val="en-US" w:eastAsia="zh-CN"/>
        </w:rPr>
        <w:t>不合格产品+边角料的产生量为产品总量的5%，即</w:t>
      </w:r>
      <w:r>
        <w:rPr>
          <w:rFonts w:hint="eastAsia" w:ascii="Times New Roman" w:hAnsi="Times New Roman" w:eastAsia="宋体" w:cs="Times New Roman"/>
          <w:color w:val="auto"/>
          <w:u w:val="none" w:color="auto"/>
          <w:lang w:val="en-US" w:eastAsia="zh-CN"/>
        </w:rPr>
        <w:t>150</w:t>
      </w:r>
      <w:r>
        <w:rPr>
          <w:rFonts w:hint="default" w:ascii="Times New Roman" w:hAnsi="Times New Roman" w:eastAsia="宋体" w:cs="Times New Roman"/>
          <w:color w:val="auto"/>
          <w:u w:val="none" w:color="auto"/>
          <w:lang w:val="en-US" w:eastAsia="zh-CN"/>
        </w:rPr>
        <w:t>0t/a</w:t>
      </w:r>
      <w:r>
        <w:rPr>
          <w:rFonts w:hint="eastAsia" w:ascii="Times New Roman" w:hAnsi="Times New Roman" w:eastAsia="宋体" w:cs="Times New Roman"/>
          <w:color w:val="auto"/>
          <w:u w:val="none" w:color="auto"/>
          <w:lang w:val="en-US" w:eastAsia="zh-CN"/>
        </w:rPr>
        <w:t>，PVC装饰线条加工线</w:t>
      </w:r>
      <w:r>
        <w:rPr>
          <w:rFonts w:hint="default" w:ascii="Times New Roman" w:hAnsi="Times New Roman" w:eastAsia="宋体" w:cs="Times New Roman"/>
          <w:color w:val="auto"/>
          <w:u w:val="none" w:color="auto"/>
          <w:lang w:val="en-US" w:eastAsia="zh-CN"/>
        </w:rPr>
        <w:t>不合格产品+边角料产生量为产品总量的</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即</w:t>
      </w: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val="en-US" w:eastAsia="zh-CN"/>
        </w:rPr>
        <w:t>0t/a。根据《排放源统计调查产排污核算方法和系数手册》中</w:t>
      </w:r>
      <w:r>
        <w:rPr>
          <w:rFonts w:hint="eastAsia" w:ascii="宋体" w:hAnsi="宋体" w:eastAsia="宋体" w:cs="宋体"/>
          <w:color w:val="auto"/>
          <w:u w:val="none" w:color="auto"/>
          <w:lang w:val="en-US" w:eastAsia="zh-CN"/>
        </w:rPr>
        <w:t>“</w:t>
      </w:r>
      <w:r>
        <w:rPr>
          <w:rFonts w:hint="default" w:ascii="Times New Roman" w:hAnsi="Times New Roman" w:eastAsia="宋体" w:cs="Times New Roman"/>
          <w:color w:val="auto"/>
          <w:u w:val="none" w:color="auto"/>
          <w:lang w:val="en-US" w:eastAsia="zh-CN"/>
        </w:rPr>
        <w:t>42 废弃资源综合利用行业系数手册</w:t>
      </w:r>
      <w:r>
        <w:rPr>
          <w:rFonts w:hint="eastAsia" w:ascii="宋体" w:hAnsi="宋体" w:eastAsia="宋体" w:cs="宋体"/>
          <w:color w:val="auto"/>
          <w:u w:val="none" w:color="auto"/>
          <w:lang w:val="en-US" w:eastAsia="zh-CN"/>
        </w:rPr>
        <w:t>”</w:t>
      </w:r>
      <w:r>
        <w:rPr>
          <w:rFonts w:hint="default" w:ascii="Times New Roman" w:hAnsi="Times New Roman" w:eastAsia="宋体" w:cs="Times New Roman"/>
          <w:color w:val="auto"/>
          <w:u w:val="none" w:color="auto"/>
          <w:lang w:val="en-US" w:eastAsia="zh-CN"/>
        </w:rPr>
        <w:t>—废PVC干法破碎颗粒物产污系数为450克/吨原材料，则破碎粉尘产生量约0.</w:t>
      </w:r>
      <w:r>
        <w:rPr>
          <w:rFonts w:hint="eastAsia" w:ascii="Times New Roman" w:hAnsi="Times New Roman" w:eastAsia="宋体" w:cs="Times New Roman"/>
          <w:color w:val="auto"/>
          <w:u w:val="none" w:color="auto"/>
          <w:lang w:val="en-US" w:eastAsia="zh-CN"/>
        </w:rPr>
        <w:t>698</w:t>
      </w:r>
      <w:r>
        <w:rPr>
          <w:rFonts w:hint="default" w:ascii="Times New Roman" w:hAnsi="Times New Roman" w:eastAsia="宋体" w:cs="Times New Roman"/>
          <w:color w:val="auto"/>
          <w:u w:val="none" w:color="auto"/>
          <w:lang w:val="en-US" w:eastAsia="zh-CN"/>
        </w:rPr>
        <w:t>t/a，有组织的产生量为</w:t>
      </w:r>
      <w:r>
        <w:rPr>
          <w:rFonts w:hint="eastAsia" w:ascii="Times New Roman" w:hAnsi="Times New Roman" w:eastAsia="宋体" w:cs="Times New Roman"/>
          <w:color w:val="auto"/>
          <w:u w:val="none" w:color="auto"/>
          <w:lang w:val="en-US" w:eastAsia="zh-CN"/>
        </w:rPr>
        <w:t>0.628</w:t>
      </w:r>
      <w:r>
        <w:rPr>
          <w:rFonts w:hint="default" w:ascii="Times New Roman" w:hAnsi="Times New Roman" w:eastAsia="宋体" w:cs="Times New Roman"/>
          <w:color w:val="auto"/>
          <w:u w:val="none" w:color="auto"/>
          <w:lang w:val="en-US" w:eastAsia="zh-CN"/>
        </w:rPr>
        <w:t>t/a，有组织的排放量为0.</w:t>
      </w:r>
      <w:r>
        <w:rPr>
          <w:rFonts w:hint="eastAsia" w:ascii="Times New Roman" w:hAnsi="Times New Roman" w:eastAsia="宋体" w:cs="Times New Roman"/>
          <w:color w:val="auto"/>
          <w:u w:val="none" w:color="auto"/>
          <w:lang w:val="en-US" w:eastAsia="zh-CN"/>
        </w:rPr>
        <w:t>006</w:t>
      </w:r>
      <w:r>
        <w:rPr>
          <w:rFonts w:hint="default" w:ascii="Times New Roman" w:hAnsi="Times New Roman" w:eastAsia="宋体" w:cs="Times New Roman"/>
          <w:color w:val="auto"/>
          <w:u w:val="none" w:color="auto"/>
          <w:lang w:val="en-US" w:eastAsia="zh-CN"/>
        </w:rPr>
        <w:t>t/a，无组织的排放量为</w:t>
      </w:r>
      <w:r>
        <w:rPr>
          <w:rFonts w:hint="eastAsia" w:ascii="Times New Roman" w:hAnsi="Times New Roman" w:eastAsia="宋体" w:cs="Times New Roman"/>
          <w:color w:val="auto"/>
          <w:u w:val="none" w:color="auto"/>
          <w:lang w:val="en-US" w:eastAsia="zh-CN"/>
        </w:rPr>
        <w:t>0.07</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058</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w:t>
      </w:r>
    </w:p>
    <w:p w14:paraId="3250C059">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微软雅黑" w:cs="Times New Roman"/>
          <w:color w:val="auto"/>
          <w:u w:val="none" w:color="auto"/>
          <w:lang w:val="en-US" w:eastAsia="zh-CN"/>
        </w:rPr>
        <w:t>④</w:t>
      </w:r>
      <w:r>
        <w:rPr>
          <w:rFonts w:hint="default" w:ascii="Times New Roman" w:hAnsi="Times New Roman" w:eastAsia="宋体" w:cs="Times New Roman"/>
          <w:color w:val="auto"/>
          <w:u w:val="none" w:color="auto"/>
          <w:lang w:val="en-US" w:eastAsia="zh-CN"/>
        </w:rPr>
        <w:t>磨粉工序粉尘</w:t>
      </w:r>
    </w:p>
    <w:p w14:paraId="49440440">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本项目产生的不合格品、边角料经破碎机破碎后和</w:t>
      </w:r>
      <w:r>
        <w:rPr>
          <w:rFonts w:hint="eastAsia" w:ascii="Times New Roman" w:hAnsi="Times New Roman" w:eastAsia="宋体" w:cs="Times New Roman"/>
          <w:color w:val="auto"/>
          <w:u w:val="none" w:color="auto"/>
          <w:lang w:val="en-US" w:eastAsia="zh-CN"/>
        </w:rPr>
        <w:t>外购的</w:t>
      </w:r>
      <w:r>
        <w:rPr>
          <w:rFonts w:hint="default" w:ascii="Times New Roman" w:hAnsi="Times New Roman" w:eastAsia="宋体" w:cs="Times New Roman"/>
          <w:color w:val="auto"/>
          <w:u w:val="none" w:color="auto"/>
          <w:lang w:val="en-US" w:eastAsia="zh-CN"/>
        </w:rPr>
        <w:t>再生塑料进入磨粉机磨粉，磨粉工序会产生一定量的粉尘，建设单位拟在磨粉进出料口设置集气罩，粉尘经集气罩收集后引至</w:t>
      </w:r>
      <w:r>
        <w:rPr>
          <w:rFonts w:hint="eastAsia" w:ascii="Times New Roman" w:hAnsi="Times New Roman" w:eastAsia="宋体" w:cs="Times New Roman"/>
          <w:color w:val="auto"/>
          <w:u w:val="none" w:color="auto"/>
          <w:lang w:val="en-US" w:eastAsia="zh-CN"/>
        </w:rPr>
        <w:t>与破碎、投料混料共用</w:t>
      </w:r>
      <w:r>
        <w:rPr>
          <w:rFonts w:hint="default" w:ascii="Times New Roman" w:hAnsi="Times New Roman" w:eastAsia="宋体" w:cs="Times New Roman"/>
          <w:color w:val="auto"/>
          <w:u w:val="none" w:color="auto"/>
          <w:lang w:val="en-US" w:eastAsia="zh-CN"/>
        </w:rPr>
        <w:t>一套袋式除尘器处理后由15m高排气筒排放（1#排气筒）。</w:t>
      </w:r>
    </w:p>
    <w:p w14:paraId="29B0EC73">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集气效率不低于90%，总风机风量为20000m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/h，处理设施处理效率按99%计，</w:t>
      </w:r>
      <w:r>
        <w:rPr>
          <w:rFonts w:hint="eastAsia" w:ascii="Times New Roman" w:hAnsi="Times New Roman" w:eastAsia="宋体" w:cs="Times New Roman"/>
          <w:color w:val="auto"/>
          <w:u w:val="none" w:color="auto"/>
          <w:lang w:val="en-US" w:eastAsia="zh-CN"/>
        </w:rPr>
        <w:t>磨粉</w:t>
      </w:r>
      <w:r>
        <w:rPr>
          <w:rFonts w:hint="default" w:ascii="Times New Roman" w:hAnsi="Times New Roman" w:eastAsia="宋体" w:cs="Times New Roman"/>
          <w:color w:val="auto"/>
          <w:u w:val="none" w:color="auto"/>
          <w:lang w:val="en-US" w:eastAsia="zh-CN"/>
        </w:rPr>
        <w:t>工序年运行时间为</w:t>
      </w:r>
      <w:r>
        <w:rPr>
          <w:rFonts w:hint="eastAsia" w:ascii="Times New Roman" w:hAnsi="Times New Roman" w:eastAsia="宋体" w:cs="Times New Roman"/>
          <w:color w:val="auto"/>
          <w:u w:val="none" w:color="auto"/>
          <w:lang w:val="en-US" w:eastAsia="zh-CN"/>
        </w:rPr>
        <w:t>48</w:t>
      </w:r>
      <w:r>
        <w:rPr>
          <w:rFonts w:hint="default" w:ascii="Times New Roman" w:hAnsi="Times New Roman" w:eastAsia="宋体" w:cs="Times New Roman"/>
          <w:color w:val="auto"/>
          <w:u w:val="none" w:color="auto"/>
          <w:lang w:val="en-US" w:eastAsia="zh-CN"/>
        </w:rPr>
        <w:t>00h</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根据建设方提供的资料，本项目</w:t>
      </w:r>
      <w:r>
        <w:rPr>
          <w:rFonts w:hint="eastAsia" w:ascii="Times New Roman" w:hAnsi="Times New Roman" w:eastAsia="宋体" w:cs="Times New Roman"/>
          <w:color w:val="auto"/>
          <w:u w:val="none" w:color="auto"/>
          <w:lang w:val="en-US" w:eastAsia="zh-CN"/>
        </w:rPr>
        <w:t>PVC大板生产线</w:t>
      </w:r>
      <w:r>
        <w:rPr>
          <w:rFonts w:hint="default" w:ascii="Times New Roman" w:hAnsi="Times New Roman" w:eastAsia="宋体" w:cs="Times New Roman"/>
          <w:color w:val="auto"/>
          <w:u w:val="none" w:color="auto"/>
          <w:lang w:val="en-US" w:eastAsia="zh-CN"/>
        </w:rPr>
        <w:t>不合格产品+边角料的产生量为产品总量的5%，即</w:t>
      </w:r>
      <w:r>
        <w:rPr>
          <w:rFonts w:hint="eastAsia" w:ascii="Times New Roman" w:hAnsi="Times New Roman" w:eastAsia="宋体" w:cs="Times New Roman"/>
          <w:color w:val="auto"/>
          <w:u w:val="none" w:color="auto"/>
          <w:lang w:val="en-US" w:eastAsia="zh-CN"/>
        </w:rPr>
        <w:t>150</w:t>
      </w:r>
      <w:r>
        <w:rPr>
          <w:rFonts w:hint="default" w:ascii="Times New Roman" w:hAnsi="Times New Roman" w:eastAsia="宋体" w:cs="Times New Roman"/>
          <w:color w:val="auto"/>
          <w:u w:val="none" w:color="auto"/>
          <w:lang w:val="en-US" w:eastAsia="zh-CN"/>
        </w:rPr>
        <w:t>0t/a</w:t>
      </w:r>
      <w:r>
        <w:rPr>
          <w:rFonts w:hint="eastAsia" w:ascii="Times New Roman" w:hAnsi="Times New Roman" w:eastAsia="宋体" w:cs="Times New Roman"/>
          <w:color w:val="auto"/>
          <w:u w:val="none" w:color="auto"/>
          <w:lang w:val="en-US" w:eastAsia="zh-CN"/>
        </w:rPr>
        <w:t>，PVC装饰线条加工线</w:t>
      </w:r>
      <w:r>
        <w:rPr>
          <w:rFonts w:hint="default" w:ascii="Times New Roman" w:hAnsi="Times New Roman" w:eastAsia="宋体" w:cs="Times New Roman"/>
          <w:color w:val="auto"/>
          <w:u w:val="none" w:color="auto"/>
          <w:lang w:val="en-US" w:eastAsia="zh-CN"/>
        </w:rPr>
        <w:t>不合格产品+边角料产生量为产品总量的</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即</w:t>
      </w: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val="en-US" w:eastAsia="zh-CN"/>
        </w:rPr>
        <w:t>0t/a</w:t>
      </w:r>
      <w:r>
        <w:rPr>
          <w:rFonts w:hint="eastAsia" w:ascii="Times New Roman" w:hAnsi="Times New Roman" w:eastAsia="宋体" w:cs="Times New Roman"/>
          <w:color w:val="auto"/>
          <w:u w:val="none" w:color="auto"/>
          <w:lang w:val="en-US" w:eastAsia="zh-CN"/>
        </w:rPr>
        <w:t>，</w:t>
      </w:r>
      <w:r>
        <w:rPr>
          <w:rFonts w:hint="eastAsia"/>
          <w:color w:val="auto"/>
          <w:u w:val="none" w:color="auto"/>
          <w:lang w:val="en-US" w:eastAsia="zh-CN"/>
        </w:rPr>
        <w:t>PVC再生塑料用量为10000吨</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参照</w:t>
      </w:r>
      <w:r>
        <w:rPr>
          <w:rFonts w:hint="default" w:ascii="Times New Roman" w:hAnsi="Times New Roman" w:eastAsia="宋体" w:cs="Times New Roman"/>
          <w:color w:val="auto"/>
          <w:u w:val="none" w:color="auto"/>
          <w:lang w:val="en-US" w:eastAsia="zh-CN"/>
        </w:rPr>
        <w:t>《排放源统计调查产排污核算方法和系数手册》中</w:t>
      </w:r>
      <w:r>
        <w:rPr>
          <w:rFonts w:hint="eastAsia" w:ascii="宋体" w:hAnsi="宋体" w:eastAsia="宋体" w:cs="宋体"/>
          <w:color w:val="auto"/>
          <w:u w:val="none" w:color="auto"/>
          <w:lang w:val="en-US" w:eastAsia="zh-CN"/>
        </w:rPr>
        <w:t>“</w:t>
      </w:r>
      <w:r>
        <w:rPr>
          <w:rFonts w:hint="default" w:ascii="Times New Roman" w:hAnsi="Times New Roman" w:eastAsia="宋体" w:cs="Times New Roman"/>
          <w:color w:val="auto"/>
          <w:u w:val="none" w:color="auto"/>
          <w:lang w:val="en-US" w:eastAsia="zh-CN"/>
        </w:rPr>
        <w:t>42 废弃资源综合利用行业系数手册</w:t>
      </w:r>
      <w:r>
        <w:rPr>
          <w:rFonts w:hint="eastAsia" w:ascii="宋体" w:hAnsi="宋体" w:eastAsia="宋体" w:cs="宋体"/>
          <w:color w:val="auto"/>
          <w:u w:val="none" w:color="auto"/>
          <w:lang w:val="en-US" w:eastAsia="zh-CN"/>
        </w:rPr>
        <w:t>”</w:t>
      </w:r>
      <w:r>
        <w:rPr>
          <w:rFonts w:hint="default" w:ascii="Times New Roman" w:hAnsi="Times New Roman" w:eastAsia="宋体" w:cs="Times New Roman"/>
          <w:color w:val="auto"/>
          <w:u w:val="none" w:color="auto"/>
          <w:lang w:val="en-US" w:eastAsia="zh-CN"/>
        </w:rPr>
        <w:t>—废PVC干法破碎颗粒物产污系数为450克/吨原材料，则</w:t>
      </w:r>
      <w:r>
        <w:rPr>
          <w:rFonts w:hint="eastAsia" w:ascii="Times New Roman" w:hAnsi="Times New Roman" w:eastAsia="宋体" w:cs="Times New Roman"/>
          <w:color w:val="auto"/>
          <w:u w:val="none" w:color="auto"/>
          <w:lang w:val="en-US" w:eastAsia="zh-CN"/>
        </w:rPr>
        <w:t>磨粉</w:t>
      </w:r>
      <w:r>
        <w:rPr>
          <w:rFonts w:hint="default" w:ascii="Times New Roman" w:hAnsi="Times New Roman" w:eastAsia="宋体" w:cs="Times New Roman"/>
          <w:color w:val="auto"/>
          <w:u w:val="none" w:color="auto"/>
          <w:lang w:val="en-US" w:eastAsia="zh-CN"/>
        </w:rPr>
        <w:t>粉尘产生量约</w:t>
      </w:r>
      <w:r>
        <w:rPr>
          <w:rFonts w:hint="eastAsia" w:ascii="Times New Roman" w:hAnsi="Times New Roman" w:eastAsia="宋体" w:cs="Times New Roman"/>
          <w:color w:val="auto"/>
          <w:u w:val="none" w:color="auto"/>
          <w:lang w:val="en-US" w:eastAsia="zh-CN"/>
        </w:rPr>
        <w:t>5.198</w:t>
      </w:r>
      <w:r>
        <w:rPr>
          <w:rFonts w:hint="default" w:ascii="Times New Roman" w:hAnsi="Times New Roman" w:eastAsia="宋体" w:cs="Times New Roman"/>
          <w:color w:val="auto"/>
          <w:u w:val="none" w:color="auto"/>
          <w:lang w:val="en-US" w:eastAsia="zh-CN"/>
        </w:rPr>
        <w:t>t/a，有组织的产生量为</w:t>
      </w:r>
      <w:r>
        <w:rPr>
          <w:rFonts w:hint="eastAsia" w:ascii="Times New Roman" w:hAnsi="Times New Roman" w:eastAsia="宋体" w:cs="Times New Roman"/>
          <w:color w:val="auto"/>
          <w:u w:val="none" w:color="auto"/>
          <w:lang w:val="en-US" w:eastAsia="zh-CN"/>
        </w:rPr>
        <w:t>4.678</w:t>
      </w:r>
      <w:r>
        <w:rPr>
          <w:rFonts w:hint="default" w:ascii="Times New Roman" w:hAnsi="Times New Roman" w:eastAsia="宋体" w:cs="Times New Roman"/>
          <w:color w:val="auto"/>
          <w:u w:val="none" w:color="auto"/>
          <w:lang w:val="en-US" w:eastAsia="zh-CN"/>
        </w:rPr>
        <w:t>t/a，有组织的排放量为0.</w:t>
      </w:r>
      <w:r>
        <w:rPr>
          <w:rFonts w:hint="eastAsia" w:ascii="Times New Roman" w:hAnsi="Times New Roman" w:eastAsia="宋体" w:cs="Times New Roman"/>
          <w:color w:val="auto"/>
          <w:u w:val="none" w:color="auto"/>
          <w:lang w:val="en-US" w:eastAsia="zh-CN"/>
        </w:rPr>
        <w:t>047</w:t>
      </w:r>
      <w:r>
        <w:rPr>
          <w:rFonts w:hint="default" w:ascii="Times New Roman" w:hAnsi="Times New Roman" w:eastAsia="宋体" w:cs="Times New Roman"/>
          <w:color w:val="auto"/>
          <w:u w:val="none" w:color="auto"/>
          <w:lang w:val="en-US" w:eastAsia="zh-CN"/>
        </w:rPr>
        <w:t>t/a，无组织的排放量为</w:t>
      </w:r>
      <w:r>
        <w:rPr>
          <w:rFonts w:hint="eastAsia" w:ascii="Times New Roman" w:hAnsi="Times New Roman" w:eastAsia="宋体" w:cs="Times New Roman"/>
          <w:color w:val="auto"/>
          <w:u w:val="none" w:color="auto"/>
          <w:lang w:val="en-US" w:eastAsia="zh-CN"/>
        </w:rPr>
        <w:t>0.52</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108</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w:t>
      </w:r>
    </w:p>
    <w:p w14:paraId="14F1F225">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微软雅黑" w:cs="Times New Roman"/>
          <w:color w:val="auto"/>
          <w:u w:val="none" w:color="auto"/>
          <w:lang w:val="en-US" w:eastAsia="zh-CN"/>
        </w:rPr>
        <w:t>⑤</w:t>
      </w:r>
      <w:r>
        <w:rPr>
          <w:rFonts w:hint="default" w:ascii="Times New Roman" w:hAnsi="Times New Roman" w:eastAsia="宋体" w:cs="Times New Roman"/>
          <w:color w:val="auto"/>
          <w:u w:val="none" w:color="auto"/>
          <w:lang w:val="en-US" w:eastAsia="zh-CN"/>
        </w:rPr>
        <w:t>混料工序粉尘</w:t>
      </w:r>
    </w:p>
    <w:p w14:paraId="69E8B448">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输送过程无粉尘产生。搅拌过程中，</w:t>
      </w:r>
      <w:r>
        <w:rPr>
          <w:rFonts w:hint="eastAsia" w:ascii="Times New Roman" w:hAnsi="Times New Roman" w:eastAsia="宋体" w:cs="Times New Roman"/>
          <w:color w:val="auto"/>
          <w:u w:val="none" w:color="auto"/>
          <w:lang w:val="en-US" w:eastAsia="zh-CN"/>
        </w:rPr>
        <w:t>搅拌</w:t>
      </w:r>
      <w:r>
        <w:rPr>
          <w:rFonts w:hint="default" w:ascii="Times New Roman" w:hAnsi="Times New Roman" w:eastAsia="宋体" w:cs="Times New Roman"/>
          <w:color w:val="auto"/>
          <w:u w:val="none" w:color="auto"/>
          <w:lang w:val="en-US" w:eastAsia="zh-CN"/>
        </w:rPr>
        <w:t>机全封闭，仅顶部留有通气孔，在搅拌过程会有粉尘产生；故建设单位拟在混料机通气孔处设抽风装置，粉尘经集气罩收集后引至</w:t>
      </w:r>
      <w:r>
        <w:rPr>
          <w:rFonts w:hint="eastAsia" w:ascii="Times New Roman" w:hAnsi="Times New Roman" w:eastAsia="宋体" w:cs="Times New Roman"/>
          <w:color w:val="auto"/>
          <w:u w:val="none" w:color="auto"/>
          <w:lang w:val="en-US" w:eastAsia="zh-CN"/>
        </w:rPr>
        <w:t>与破碎、磨粉共用</w:t>
      </w:r>
      <w:r>
        <w:rPr>
          <w:rFonts w:hint="default" w:ascii="Times New Roman" w:hAnsi="Times New Roman" w:eastAsia="宋体" w:cs="Times New Roman"/>
          <w:color w:val="auto"/>
          <w:u w:val="none" w:color="auto"/>
          <w:lang w:val="en-US" w:eastAsia="zh-CN"/>
        </w:rPr>
        <w:t>一套袋式除尘器处理后由15m高排气筒排放（1#排气筒）。</w:t>
      </w:r>
    </w:p>
    <w:p w14:paraId="023129C7">
      <w:pPr>
        <w:pStyle w:val="2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项目可类比《湖南铭腾新材料有限公司年生产13300吨PVC墙板、5700吨PVC装饰线条建设项目》，湖南铭腾新材料有限公司位于汨罗高新技术产业开发区新市片区西片区S308南侧，租赁湖南现代家俱装饰有限公司现有闲置厂房，建设年生产13300吨PVC墙板、5700吨PVC装饰线条建设项目。2020年湖南铭腾新材料有限公司委托湖南德顺环境服务有限公司编制了《湖南铭腾新材料有限公司年产13300吨PVC墙板、5700吨PVC装饰线条建设项目环境影响报告书》。2020年10月21日岳阳市生态环境局以岳环评[2020]129号文对该项目环境影响报告书予以批复。湖南铭腾新材料有限公司于2022年11月23日~24日委托湖南汨江检测有限公司对该项目进行了验收监测，并出具了验收检测报告（MJJC2211152）。</w:t>
      </w:r>
    </w:p>
    <w:p w14:paraId="0D786F30">
      <w:pPr>
        <w:pStyle w:val="20"/>
        <w:rPr>
          <w:rFonts w:hint="eastAsia"/>
          <w:color w:val="auto"/>
          <w:u w:val="none" w:color="auto"/>
          <w:lang w:val="en-US" w:eastAsia="zh-CN"/>
        </w:rPr>
      </w:pPr>
      <w:r>
        <w:rPr>
          <w:rFonts w:hint="default" w:ascii="Times New Roman" w:hAnsi="Times New Roman" w:eastAsia="宋体" w:cs="Times New Roman"/>
          <w:color w:val="auto"/>
          <w:u w:val="none" w:color="auto"/>
          <w:lang w:val="en-US" w:eastAsia="zh-CN"/>
        </w:rPr>
        <w:t>湖南铭腾新材料有限公司以PVC再生塑料、PVC树脂粉、轻质碳酸钙为主要原料通过上料混合、挤出成型、冷却、裁切等工序生产PVC板材、PVC装饰线条，其中磨粉、混合产生的粉尘经集气罩收集+布袋除尘器处理+15m高排气筒排放。引用项目与本项目原料基本相同，工艺流程也基本类似，故引用数据可行。其粉尘排气筒监测数据如下</w:t>
      </w:r>
      <w:r>
        <w:rPr>
          <w:rFonts w:hint="eastAsia"/>
          <w:color w:val="auto"/>
          <w:u w:val="none" w:color="auto"/>
          <w:lang w:val="en-US" w:eastAsia="zh-CN"/>
        </w:rPr>
        <w:t>：</w:t>
      </w:r>
    </w:p>
    <w:p w14:paraId="7707E227">
      <w:pPr>
        <w:pStyle w:val="22"/>
        <w:rPr>
          <w:rFonts w:hint="eastAsia"/>
          <w:color w:val="auto"/>
          <w:u w:val="none" w:color="auto"/>
          <w:lang w:val="en-US" w:eastAsia="zh-CN"/>
        </w:rPr>
      </w:pPr>
      <w:r>
        <w:rPr>
          <w:rFonts w:hint="eastAsia"/>
          <w:color w:val="auto"/>
          <w:u w:val="none" w:color="auto"/>
          <w:lang w:val="en-US" w:eastAsia="zh-CN"/>
        </w:rPr>
        <w:t>表3.5-1 类比项目粉尘排气筒监测数据</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1099"/>
        <w:gridCol w:w="1051"/>
        <w:gridCol w:w="851"/>
        <w:gridCol w:w="1049"/>
        <w:gridCol w:w="1065"/>
        <w:gridCol w:w="1275"/>
        <w:gridCol w:w="1140"/>
        <w:gridCol w:w="974"/>
      </w:tblGrid>
      <w:tr w14:paraId="0F3BB6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restart"/>
            <w:tcBorders>
              <w:tl2br w:val="nil"/>
              <w:tr2bl w:val="nil"/>
            </w:tcBorders>
            <w:noWrap w:val="0"/>
            <w:vAlign w:val="center"/>
          </w:tcPr>
          <w:p w14:paraId="5CE11562">
            <w:pPr>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采样时间</w:t>
            </w:r>
          </w:p>
        </w:tc>
        <w:tc>
          <w:tcPr>
            <w:tcW w:w="1051" w:type="dxa"/>
            <w:vMerge w:val="restart"/>
            <w:tcBorders>
              <w:tl2br w:val="nil"/>
              <w:tr2bl w:val="nil"/>
            </w:tcBorders>
            <w:noWrap w:val="0"/>
            <w:vAlign w:val="center"/>
          </w:tcPr>
          <w:p w14:paraId="6C1AE117">
            <w:pPr>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rPr>
              <w:t>采样</w:t>
            </w:r>
            <w:r>
              <w:rPr>
                <w:rFonts w:hint="default" w:ascii="Times New Roman" w:hAnsi="Times New Roman" w:eastAsia="宋体" w:cs="Times New Roman"/>
                <w:color w:val="auto"/>
                <w:sz w:val="21"/>
                <w:szCs w:val="21"/>
                <w:u w:val="none" w:color="auto"/>
                <w:lang w:eastAsia="zh-CN"/>
              </w:rPr>
              <w:t>点位</w:t>
            </w:r>
          </w:p>
        </w:tc>
        <w:tc>
          <w:tcPr>
            <w:tcW w:w="1900" w:type="dxa"/>
            <w:gridSpan w:val="2"/>
            <w:vMerge w:val="restart"/>
            <w:tcBorders>
              <w:tl2br w:val="nil"/>
              <w:tr2bl w:val="nil"/>
            </w:tcBorders>
            <w:noWrap w:val="0"/>
            <w:vAlign w:val="center"/>
          </w:tcPr>
          <w:p w14:paraId="60A040D2">
            <w:pPr>
              <w:jc w:val="center"/>
              <w:rPr>
                <w:rFonts w:hint="default" w:ascii="Times New Roman" w:hAnsi="Times New Roman" w:eastAsia="宋体" w:cs="Times New Roman"/>
                <w:color w:val="auto"/>
                <w:sz w:val="21"/>
                <w:szCs w:val="21"/>
                <w:u w:val="none" w:color="auto"/>
              </w:rPr>
            </w:pPr>
            <w:r>
              <w:rPr>
                <w:rFonts w:hint="default" w:ascii="Times New Roman" w:hAnsi="Times New Roman" w:cs="Times New Roman"/>
                <w:color w:val="auto"/>
                <w:szCs w:val="21"/>
                <w:u w:val="none" w:color="auto"/>
              </w:rPr>
              <w:t>检测项目</w:t>
            </w:r>
          </w:p>
        </w:tc>
        <w:tc>
          <w:tcPr>
            <w:tcW w:w="3480" w:type="dxa"/>
            <w:gridSpan w:val="3"/>
            <w:tcBorders>
              <w:tl2br w:val="nil"/>
              <w:tr2bl w:val="nil"/>
            </w:tcBorders>
            <w:noWrap w:val="0"/>
            <w:vAlign w:val="center"/>
          </w:tcPr>
          <w:p w14:paraId="14B3B2C5">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检测结果</w:t>
            </w:r>
          </w:p>
        </w:tc>
        <w:tc>
          <w:tcPr>
            <w:tcW w:w="974" w:type="dxa"/>
            <w:vMerge w:val="restart"/>
            <w:tcBorders>
              <w:tl2br w:val="nil"/>
              <w:tr2bl w:val="nil"/>
            </w:tcBorders>
            <w:noWrap w:val="0"/>
            <w:vAlign w:val="center"/>
          </w:tcPr>
          <w:p w14:paraId="1479E9C3">
            <w:pPr>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单位</w:t>
            </w:r>
          </w:p>
        </w:tc>
      </w:tr>
      <w:tr w14:paraId="1C0E3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2F25FE6C">
            <w:pPr>
              <w:jc w:val="center"/>
              <w:rPr>
                <w:rFonts w:hint="default" w:ascii="Times New Roman" w:hAnsi="Times New Roman" w:cs="Times New Roman"/>
                <w:color w:val="auto"/>
                <w:u w:val="none" w:color="auto"/>
              </w:rPr>
            </w:pPr>
          </w:p>
        </w:tc>
        <w:tc>
          <w:tcPr>
            <w:tcW w:w="1051" w:type="dxa"/>
            <w:vMerge w:val="continue"/>
            <w:tcBorders>
              <w:tl2br w:val="nil"/>
              <w:tr2bl w:val="nil"/>
            </w:tcBorders>
            <w:noWrap w:val="0"/>
            <w:vAlign w:val="center"/>
          </w:tcPr>
          <w:p w14:paraId="69490A1C">
            <w:pPr>
              <w:jc w:val="center"/>
              <w:rPr>
                <w:rFonts w:hint="default" w:ascii="Times New Roman" w:hAnsi="Times New Roman" w:cs="Times New Roman"/>
                <w:color w:val="auto"/>
                <w:u w:val="none" w:color="auto"/>
              </w:rPr>
            </w:pPr>
          </w:p>
        </w:tc>
        <w:tc>
          <w:tcPr>
            <w:tcW w:w="1900" w:type="dxa"/>
            <w:gridSpan w:val="2"/>
            <w:vMerge w:val="continue"/>
            <w:tcBorders>
              <w:tl2br w:val="nil"/>
              <w:tr2bl w:val="nil"/>
            </w:tcBorders>
            <w:noWrap w:val="0"/>
            <w:vAlign w:val="center"/>
          </w:tcPr>
          <w:p w14:paraId="52EC9365">
            <w:pPr>
              <w:jc w:val="center"/>
              <w:rPr>
                <w:rFonts w:hint="default" w:ascii="Times New Roman" w:hAnsi="Times New Roman" w:cs="Times New Roman"/>
                <w:color w:val="auto"/>
                <w:u w:val="none" w:color="auto"/>
              </w:rPr>
            </w:pPr>
          </w:p>
        </w:tc>
        <w:tc>
          <w:tcPr>
            <w:tcW w:w="1065" w:type="dxa"/>
            <w:tcBorders>
              <w:tl2br w:val="nil"/>
              <w:tr2bl w:val="nil"/>
            </w:tcBorders>
            <w:noWrap w:val="0"/>
            <w:vAlign w:val="center"/>
          </w:tcPr>
          <w:p w14:paraId="636DF1B9">
            <w:pPr>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第一次</w:t>
            </w:r>
          </w:p>
        </w:tc>
        <w:tc>
          <w:tcPr>
            <w:tcW w:w="1275" w:type="dxa"/>
            <w:tcBorders>
              <w:tl2br w:val="nil"/>
              <w:tr2bl w:val="nil"/>
            </w:tcBorders>
            <w:noWrap w:val="0"/>
            <w:vAlign w:val="center"/>
          </w:tcPr>
          <w:p w14:paraId="0C043DEC">
            <w:pPr>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第二次</w:t>
            </w:r>
          </w:p>
        </w:tc>
        <w:tc>
          <w:tcPr>
            <w:tcW w:w="1140" w:type="dxa"/>
            <w:tcBorders>
              <w:tl2br w:val="nil"/>
              <w:tr2bl w:val="nil"/>
            </w:tcBorders>
            <w:noWrap w:val="0"/>
            <w:vAlign w:val="center"/>
          </w:tcPr>
          <w:p w14:paraId="65FEEB5C">
            <w:pPr>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第三次</w:t>
            </w:r>
          </w:p>
        </w:tc>
        <w:tc>
          <w:tcPr>
            <w:tcW w:w="974" w:type="dxa"/>
            <w:vMerge w:val="continue"/>
            <w:tcBorders>
              <w:tl2br w:val="nil"/>
              <w:tr2bl w:val="nil"/>
            </w:tcBorders>
            <w:noWrap w:val="0"/>
            <w:vAlign w:val="center"/>
          </w:tcPr>
          <w:p w14:paraId="1B0FEBBD">
            <w:pPr>
              <w:jc w:val="center"/>
              <w:rPr>
                <w:rFonts w:hint="default" w:ascii="Times New Roman" w:hAnsi="Times New Roman" w:eastAsia="宋体" w:cs="Times New Roman"/>
                <w:color w:val="auto"/>
                <w:sz w:val="21"/>
                <w:szCs w:val="21"/>
                <w:u w:val="none" w:color="auto"/>
              </w:rPr>
            </w:pPr>
          </w:p>
        </w:tc>
      </w:tr>
      <w:tr w14:paraId="4A1D4F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restart"/>
            <w:tcBorders>
              <w:tl2br w:val="nil"/>
              <w:tr2bl w:val="nil"/>
            </w:tcBorders>
            <w:noWrap w:val="0"/>
            <w:vAlign w:val="center"/>
          </w:tcPr>
          <w:p w14:paraId="407AE358">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2022年11月23日</w:t>
            </w:r>
          </w:p>
        </w:tc>
        <w:tc>
          <w:tcPr>
            <w:tcW w:w="1051" w:type="dxa"/>
            <w:vMerge w:val="restart"/>
            <w:tcBorders>
              <w:tl2br w:val="nil"/>
              <w:tr2bl w:val="nil"/>
            </w:tcBorders>
            <w:noWrap w:val="0"/>
            <w:vAlign w:val="center"/>
          </w:tcPr>
          <w:p w14:paraId="43B1BC8D">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进口1#（磨粉）</w:t>
            </w:r>
          </w:p>
        </w:tc>
        <w:tc>
          <w:tcPr>
            <w:tcW w:w="1900" w:type="dxa"/>
            <w:gridSpan w:val="2"/>
            <w:tcBorders>
              <w:tl2br w:val="nil"/>
              <w:tr2bl w:val="nil"/>
            </w:tcBorders>
            <w:noWrap w:val="0"/>
            <w:vAlign w:val="center"/>
          </w:tcPr>
          <w:p w14:paraId="34196858">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bidi="ar-SA"/>
              </w:rPr>
              <w:t>标干流量</w:t>
            </w:r>
          </w:p>
        </w:tc>
        <w:tc>
          <w:tcPr>
            <w:tcW w:w="1065" w:type="dxa"/>
            <w:tcBorders>
              <w:tl2br w:val="nil"/>
              <w:tr2bl w:val="nil"/>
            </w:tcBorders>
            <w:noWrap w:val="0"/>
            <w:vAlign w:val="center"/>
          </w:tcPr>
          <w:p w14:paraId="3353BAF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1898</w:t>
            </w:r>
          </w:p>
        </w:tc>
        <w:tc>
          <w:tcPr>
            <w:tcW w:w="1275" w:type="dxa"/>
            <w:tcBorders>
              <w:tl2br w:val="nil"/>
              <w:tr2bl w:val="nil"/>
            </w:tcBorders>
            <w:noWrap w:val="0"/>
            <w:vAlign w:val="center"/>
          </w:tcPr>
          <w:p w14:paraId="11C34445">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1912</w:t>
            </w:r>
          </w:p>
        </w:tc>
        <w:tc>
          <w:tcPr>
            <w:tcW w:w="1140" w:type="dxa"/>
            <w:tcBorders>
              <w:tl2br w:val="nil"/>
              <w:tr2bl w:val="nil"/>
            </w:tcBorders>
            <w:noWrap w:val="0"/>
            <w:vAlign w:val="center"/>
          </w:tcPr>
          <w:p w14:paraId="4A5E20EF">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1938</w:t>
            </w:r>
          </w:p>
        </w:tc>
        <w:tc>
          <w:tcPr>
            <w:tcW w:w="974" w:type="dxa"/>
            <w:tcBorders>
              <w:tl2br w:val="nil"/>
              <w:tr2bl w:val="nil"/>
            </w:tcBorders>
            <w:noWrap w:val="0"/>
            <w:vAlign w:val="center"/>
          </w:tcPr>
          <w:p w14:paraId="6EDE0F87">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eastAsia="宋体" w:cs="Times New Roman"/>
                <w:bCs/>
                <w:color w:val="auto"/>
                <w:kern w:val="0"/>
                <w:sz w:val="21"/>
                <w:szCs w:val="21"/>
                <w:u w:val="none" w:color="auto"/>
                <w:lang w:val="en-US" w:eastAsia="zh-CN"/>
              </w:rPr>
              <w:t>Nm</w:t>
            </w:r>
            <w:r>
              <w:rPr>
                <w:rFonts w:hint="eastAsia" w:ascii="Times New Roman" w:hAnsi="Times New Roman" w:eastAsia="宋体" w:cs="Times New Roman"/>
                <w:bCs/>
                <w:color w:val="auto"/>
                <w:kern w:val="0"/>
                <w:sz w:val="21"/>
                <w:szCs w:val="21"/>
                <w:u w:val="none" w:color="auto"/>
                <w:vertAlign w:val="superscript"/>
                <w:lang w:val="en-US" w:eastAsia="zh-CN"/>
              </w:rPr>
              <w:t>3</w:t>
            </w:r>
            <w:r>
              <w:rPr>
                <w:rFonts w:hint="eastAsia" w:ascii="Times New Roman" w:hAnsi="Times New Roman" w:eastAsia="宋体" w:cs="Times New Roman"/>
                <w:bCs/>
                <w:color w:val="auto"/>
                <w:kern w:val="0"/>
                <w:sz w:val="21"/>
                <w:szCs w:val="21"/>
                <w:u w:val="none" w:color="auto"/>
                <w:lang w:val="en-US" w:eastAsia="zh-CN"/>
              </w:rPr>
              <w:t>/h</w:t>
            </w:r>
          </w:p>
        </w:tc>
      </w:tr>
      <w:tr w14:paraId="3B5ECD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53EE517F">
            <w:pPr>
              <w:jc w:val="center"/>
              <w:rPr>
                <w:rFonts w:hint="default" w:ascii="Times New Roman" w:hAnsi="Times New Roman" w:eastAsia="宋体" w:cs="Times New Roman"/>
                <w:color w:val="auto"/>
                <w:sz w:val="21"/>
                <w:szCs w:val="21"/>
                <w:u w:val="none" w:color="auto"/>
                <w:lang w:val="en-US" w:eastAsia="zh-CN"/>
              </w:rPr>
            </w:pPr>
          </w:p>
        </w:tc>
        <w:tc>
          <w:tcPr>
            <w:tcW w:w="1051" w:type="dxa"/>
            <w:vMerge w:val="continue"/>
            <w:tcBorders>
              <w:tl2br w:val="nil"/>
              <w:tr2bl w:val="nil"/>
            </w:tcBorders>
            <w:noWrap w:val="0"/>
            <w:vAlign w:val="center"/>
          </w:tcPr>
          <w:p w14:paraId="254D990F">
            <w:pPr>
              <w:jc w:val="center"/>
              <w:rPr>
                <w:rFonts w:hint="default" w:ascii="Times New Roman" w:hAnsi="Times New Roman" w:eastAsia="宋体" w:cs="Times New Roman"/>
                <w:color w:val="auto"/>
                <w:sz w:val="21"/>
                <w:szCs w:val="21"/>
                <w:u w:val="none" w:color="auto"/>
                <w:lang w:val="en-US" w:eastAsia="zh-CN"/>
              </w:rPr>
            </w:pPr>
          </w:p>
        </w:tc>
        <w:tc>
          <w:tcPr>
            <w:tcW w:w="851" w:type="dxa"/>
            <w:vMerge w:val="restart"/>
            <w:tcBorders>
              <w:tl2br w:val="nil"/>
              <w:tr2bl w:val="nil"/>
            </w:tcBorders>
            <w:noWrap w:val="0"/>
            <w:vAlign w:val="center"/>
          </w:tcPr>
          <w:p w14:paraId="187E27CE">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颗粒物</w:t>
            </w:r>
          </w:p>
        </w:tc>
        <w:tc>
          <w:tcPr>
            <w:tcW w:w="1049" w:type="dxa"/>
            <w:tcBorders>
              <w:tl2br w:val="nil"/>
              <w:tr2bl w:val="nil"/>
            </w:tcBorders>
            <w:noWrap w:val="0"/>
            <w:vAlign w:val="center"/>
          </w:tcPr>
          <w:p w14:paraId="3BC1606C">
            <w:pPr>
              <w:jc w:val="center"/>
              <w:rPr>
                <w:rFonts w:hint="default" w:ascii="Times New Roman" w:hAnsi="Times New Roman"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检测浓度</w:t>
            </w:r>
          </w:p>
        </w:tc>
        <w:tc>
          <w:tcPr>
            <w:tcW w:w="1065" w:type="dxa"/>
            <w:tcBorders>
              <w:tl2br w:val="nil"/>
              <w:tr2bl w:val="nil"/>
            </w:tcBorders>
            <w:noWrap w:val="0"/>
            <w:vAlign w:val="center"/>
          </w:tcPr>
          <w:p w14:paraId="46144182">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47.1</w:t>
            </w:r>
          </w:p>
        </w:tc>
        <w:tc>
          <w:tcPr>
            <w:tcW w:w="1275" w:type="dxa"/>
            <w:tcBorders>
              <w:tl2br w:val="nil"/>
              <w:tr2bl w:val="nil"/>
            </w:tcBorders>
            <w:noWrap w:val="0"/>
            <w:vAlign w:val="center"/>
          </w:tcPr>
          <w:p w14:paraId="7AB0DC3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46</w:t>
            </w:r>
          </w:p>
        </w:tc>
        <w:tc>
          <w:tcPr>
            <w:tcW w:w="1140" w:type="dxa"/>
            <w:tcBorders>
              <w:tl2br w:val="nil"/>
              <w:tr2bl w:val="nil"/>
            </w:tcBorders>
            <w:noWrap w:val="0"/>
            <w:vAlign w:val="center"/>
          </w:tcPr>
          <w:p w14:paraId="11DEDB07">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44.8</w:t>
            </w:r>
          </w:p>
        </w:tc>
        <w:tc>
          <w:tcPr>
            <w:tcW w:w="974" w:type="dxa"/>
            <w:tcBorders>
              <w:tl2br w:val="nil"/>
              <w:tr2bl w:val="nil"/>
            </w:tcBorders>
            <w:noWrap w:val="0"/>
            <w:vAlign w:val="center"/>
          </w:tcPr>
          <w:p w14:paraId="16A44294">
            <w:pPr>
              <w:jc w:val="center"/>
              <w:rPr>
                <w:rFonts w:hint="default" w:ascii="Times New Roman" w:hAnsi="Times New Roman" w:cs="Times New Roman"/>
                <w:color w:val="auto"/>
                <w:szCs w:val="21"/>
                <w:u w:val="none" w:color="auto"/>
              </w:rPr>
            </w:pPr>
            <w:r>
              <w:rPr>
                <w:rFonts w:hint="default" w:ascii="Times New Roman" w:hAnsi="Times New Roman" w:eastAsia="宋体" w:cs="Times New Roman"/>
                <w:bCs/>
                <w:color w:val="auto"/>
                <w:kern w:val="0"/>
                <w:sz w:val="21"/>
                <w:szCs w:val="21"/>
                <w:u w:val="none" w:color="auto"/>
                <w:lang w:val="en-US" w:eastAsia="zh-CN"/>
              </w:rPr>
              <w:t>mg/m</w:t>
            </w:r>
            <w:r>
              <w:rPr>
                <w:rFonts w:hint="default" w:ascii="Times New Roman" w:hAnsi="Times New Roman" w:eastAsia="宋体" w:cs="Times New Roman"/>
                <w:bCs/>
                <w:color w:val="auto"/>
                <w:kern w:val="0"/>
                <w:sz w:val="21"/>
                <w:szCs w:val="21"/>
                <w:u w:val="none" w:color="auto"/>
                <w:vertAlign w:val="superscript"/>
                <w:lang w:val="en-US" w:eastAsia="zh-CN"/>
              </w:rPr>
              <w:t>3</w:t>
            </w:r>
          </w:p>
        </w:tc>
      </w:tr>
      <w:tr w14:paraId="7A4B4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46AAC92D">
            <w:pPr>
              <w:jc w:val="center"/>
              <w:rPr>
                <w:rFonts w:hint="default" w:ascii="Times New Roman" w:hAnsi="Times New Roman" w:eastAsia="宋体" w:cs="Times New Roman"/>
                <w:color w:val="auto"/>
                <w:sz w:val="21"/>
                <w:szCs w:val="21"/>
                <w:u w:val="none" w:color="auto"/>
                <w:lang w:val="en-US" w:eastAsia="zh-CN"/>
              </w:rPr>
            </w:pPr>
          </w:p>
        </w:tc>
        <w:tc>
          <w:tcPr>
            <w:tcW w:w="1051" w:type="dxa"/>
            <w:vMerge w:val="continue"/>
            <w:tcBorders>
              <w:tl2br w:val="nil"/>
              <w:tr2bl w:val="nil"/>
            </w:tcBorders>
            <w:noWrap w:val="0"/>
            <w:vAlign w:val="center"/>
          </w:tcPr>
          <w:p w14:paraId="577B6F88">
            <w:pPr>
              <w:jc w:val="center"/>
              <w:rPr>
                <w:rFonts w:hint="default" w:ascii="Times New Roman" w:hAnsi="Times New Roman" w:eastAsia="宋体" w:cs="Times New Roman"/>
                <w:color w:val="auto"/>
                <w:sz w:val="21"/>
                <w:szCs w:val="21"/>
                <w:u w:val="none" w:color="auto"/>
                <w:lang w:val="en-US" w:eastAsia="zh-CN"/>
              </w:rPr>
            </w:pPr>
          </w:p>
        </w:tc>
        <w:tc>
          <w:tcPr>
            <w:tcW w:w="851" w:type="dxa"/>
            <w:vMerge w:val="continue"/>
            <w:tcBorders>
              <w:tl2br w:val="nil"/>
              <w:tr2bl w:val="nil"/>
            </w:tcBorders>
            <w:noWrap w:val="0"/>
            <w:vAlign w:val="center"/>
          </w:tcPr>
          <w:p w14:paraId="7601DB04">
            <w:pPr>
              <w:jc w:val="center"/>
              <w:rPr>
                <w:rFonts w:hint="default" w:ascii="Times New Roman" w:hAnsi="Times New Roman" w:eastAsia="宋体" w:cs="Times New Roman"/>
                <w:color w:val="auto"/>
                <w:szCs w:val="21"/>
                <w:u w:val="none" w:color="auto"/>
                <w:lang w:eastAsia="zh-CN"/>
              </w:rPr>
            </w:pPr>
          </w:p>
        </w:tc>
        <w:tc>
          <w:tcPr>
            <w:tcW w:w="1049" w:type="dxa"/>
            <w:tcBorders>
              <w:tl2br w:val="nil"/>
              <w:tr2bl w:val="nil"/>
            </w:tcBorders>
            <w:noWrap w:val="0"/>
            <w:vAlign w:val="center"/>
          </w:tcPr>
          <w:p w14:paraId="1E439699">
            <w:pPr>
              <w:jc w:val="center"/>
              <w:rPr>
                <w:rFonts w:hint="default" w:ascii="Times New Roman" w:hAnsi="Times New Roman" w:cs="Times New Roman"/>
                <w:color w:val="auto"/>
                <w:szCs w:val="21"/>
                <w:u w:val="none" w:color="auto"/>
                <w:lang w:eastAsia="zh-CN"/>
              </w:rPr>
            </w:pPr>
            <w:r>
              <w:rPr>
                <w:rFonts w:hint="eastAsia" w:ascii="Times New Roman" w:hAnsi="Times New Roman" w:cs="Times New Roman"/>
                <w:color w:val="auto"/>
                <w:szCs w:val="21"/>
                <w:u w:val="none" w:color="auto"/>
                <w:lang w:val="en-US" w:eastAsia="zh-CN"/>
              </w:rPr>
              <w:t>产生速率</w:t>
            </w:r>
          </w:p>
        </w:tc>
        <w:tc>
          <w:tcPr>
            <w:tcW w:w="1065" w:type="dxa"/>
            <w:tcBorders>
              <w:tl2br w:val="nil"/>
              <w:tr2bl w:val="nil"/>
            </w:tcBorders>
            <w:noWrap w:val="0"/>
            <w:vAlign w:val="center"/>
          </w:tcPr>
          <w:p w14:paraId="61ABD22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0.09</w:t>
            </w:r>
          </w:p>
        </w:tc>
        <w:tc>
          <w:tcPr>
            <w:tcW w:w="1275" w:type="dxa"/>
            <w:tcBorders>
              <w:tl2br w:val="nil"/>
              <w:tr2bl w:val="nil"/>
            </w:tcBorders>
            <w:noWrap w:val="0"/>
            <w:vAlign w:val="center"/>
          </w:tcPr>
          <w:p w14:paraId="1000DAC4">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0.09</w:t>
            </w:r>
          </w:p>
        </w:tc>
        <w:tc>
          <w:tcPr>
            <w:tcW w:w="1140" w:type="dxa"/>
            <w:tcBorders>
              <w:tl2br w:val="nil"/>
              <w:tr2bl w:val="nil"/>
            </w:tcBorders>
            <w:noWrap w:val="0"/>
            <w:vAlign w:val="center"/>
          </w:tcPr>
          <w:p w14:paraId="1A3559E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0.09</w:t>
            </w:r>
          </w:p>
        </w:tc>
        <w:tc>
          <w:tcPr>
            <w:tcW w:w="974" w:type="dxa"/>
            <w:tcBorders>
              <w:tl2br w:val="nil"/>
              <w:tr2bl w:val="nil"/>
            </w:tcBorders>
            <w:noWrap w:val="0"/>
            <w:vAlign w:val="center"/>
          </w:tcPr>
          <w:p w14:paraId="31C329BF">
            <w:pPr>
              <w:jc w:val="center"/>
              <w:rPr>
                <w:rFonts w:hint="default" w:ascii="Times New Roman" w:hAnsi="Times New Roman" w:cs="Times New Roman"/>
                <w:color w:val="auto"/>
                <w:szCs w:val="21"/>
                <w:u w:val="none" w:color="auto"/>
              </w:rPr>
            </w:pPr>
            <w:r>
              <w:rPr>
                <w:rFonts w:hint="eastAsia" w:ascii="Times New Roman" w:hAnsi="Times New Roman" w:cs="Times New Roman"/>
                <w:bCs/>
                <w:color w:val="auto"/>
                <w:kern w:val="0"/>
                <w:szCs w:val="21"/>
                <w:u w:val="none" w:color="auto"/>
                <w:lang w:val="en-US" w:eastAsia="zh-CN"/>
              </w:rPr>
              <w:t>kg/h</w:t>
            </w:r>
          </w:p>
        </w:tc>
      </w:tr>
      <w:tr w14:paraId="015CC1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6A438972">
            <w:pPr>
              <w:jc w:val="center"/>
              <w:rPr>
                <w:rFonts w:hint="default" w:ascii="Times New Roman" w:hAnsi="Times New Roman" w:eastAsia="宋体" w:cs="Times New Roman"/>
                <w:color w:val="auto"/>
                <w:sz w:val="21"/>
                <w:szCs w:val="21"/>
                <w:u w:val="none" w:color="auto"/>
                <w:lang w:val="en-US" w:eastAsia="zh-CN"/>
              </w:rPr>
            </w:pPr>
          </w:p>
        </w:tc>
        <w:tc>
          <w:tcPr>
            <w:tcW w:w="1051" w:type="dxa"/>
            <w:vMerge w:val="restart"/>
            <w:tcBorders>
              <w:tl2br w:val="nil"/>
              <w:tr2bl w:val="nil"/>
            </w:tcBorders>
            <w:noWrap w:val="0"/>
            <w:vAlign w:val="center"/>
          </w:tcPr>
          <w:p w14:paraId="6745AF60">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进口2#（混合）</w:t>
            </w:r>
          </w:p>
        </w:tc>
        <w:tc>
          <w:tcPr>
            <w:tcW w:w="1900" w:type="dxa"/>
            <w:gridSpan w:val="2"/>
            <w:tcBorders>
              <w:tl2br w:val="nil"/>
              <w:tr2bl w:val="nil"/>
            </w:tcBorders>
            <w:noWrap w:val="0"/>
            <w:vAlign w:val="center"/>
          </w:tcPr>
          <w:p w14:paraId="12D16EEC">
            <w:pPr>
              <w:jc w:val="center"/>
              <w:rPr>
                <w:rFonts w:hint="eastAsia" w:ascii="Times New Roman" w:hAnsi="Times New Roman" w:cs="Times New Roman"/>
                <w:color w:val="auto"/>
                <w:szCs w:val="21"/>
                <w:u w:val="none" w:color="auto"/>
                <w:lang w:val="en-US" w:eastAsia="zh-CN"/>
              </w:rPr>
            </w:pPr>
            <w:r>
              <w:rPr>
                <w:rFonts w:hint="eastAsia" w:ascii="Times New Roman" w:hAnsi="Times New Roman" w:eastAsia="宋体" w:cs="Times New Roman"/>
                <w:color w:val="auto"/>
                <w:kern w:val="2"/>
                <w:sz w:val="21"/>
                <w:szCs w:val="21"/>
                <w:u w:val="none" w:color="auto"/>
                <w:lang w:val="en-US" w:eastAsia="zh-CN" w:bidi="ar-SA"/>
              </w:rPr>
              <w:t>标干流量</w:t>
            </w:r>
          </w:p>
        </w:tc>
        <w:tc>
          <w:tcPr>
            <w:tcW w:w="1065" w:type="dxa"/>
            <w:tcBorders>
              <w:tl2br w:val="nil"/>
              <w:tr2bl w:val="nil"/>
            </w:tcBorders>
            <w:noWrap w:val="0"/>
            <w:vAlign w:val="center"/>
          </w:tcPr>
          <w:p w14:paraId="3B8440AF">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2654</w:t>
            </w:r>
          </w:p>
        </w:tc>
        <w:tc>
          <w:tcPr>
            <w:tcW w:w="1275" w:type="dxa"/>
            <w:tcBorders>
              <w:tl2br w:val="nil"/>
              <w:tr2bl w:val="nil"/>
            </w:tcBorders>
            <w:noWrap w:val="0"/>
            <w:vAlign w:val="center"/>
          </w:tcPr>
          <w:p w14:paraId="5B2DFEF9">
            <w:pPr>
              <w:jc w:val="center"/>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2636</w:t>
            </w:r>
          </w:p>
        </w:tc>
        <w:tc>
          <w:tcPr>
            <w:tcW w:w="1140" w:type="dxa"/>
            <w:tcBorders>
              <w:tl2br w:val="nil"/>
              <w:tr2bl w:val="nil"/>
            </w:tcBorders>
            <w:noWrap w:val="0"/>
            <w:vAlign w:val="center"/>
          </w:tcPr>
          <w:p w14:paraId="544F7B75">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2628</w:t>
            </w:r>
          </w:p>
        </w:tc>
        <w:tc>
          <w:tcPr>
            <w:tcW w:w="974" w:type="dxa"/>
            <w:tcBorders>
              <w:tl2br w:val="nil"/>
              <w:tr2bl w:val="nil"/>
            </w:tcBorders>
            <w:noWrap w:val="0"/>
            <w:vAlign w:val="center"/>
          </w:tcPr>
          <w:p w14:paraId="4355F344">
            <w:pPr>
              <w:jc w:val="center"/>
              <w:rPr>
                <w:rFonts w:hint="eastAsia" w:ascii="Times New Roman" w:hAnsi="Times New Roman" w:cs="Times New Roman"/>
                <w:bCs/>
                <w:color w:val="auto"/>
                <w:kern w:val="0"/>
                <w:szCs w:val="21"/>
                <w:u w:val="none" w:color="auto"/>
                <w:lang w:val="en-US" w:eastAsia="zh-CN"/>
              </w:rPr>
            </w:pPr>
            <w:r>
              <w:rPr>
                <w:rFonts w:hint="eastAsia" w:ascii="Times New Roman" w:hAnsi="Times New Roman" w:eastAsia="宋体" w:cs="Times New Roman"/>
                <w:bCs/>
                <w:color w:val="auto"/>
                <w:kern w:val="0"/>
                <w:sz w:val="21"/>
                <w:szCs w:val="21"/>
                <w:u w:val="none" w:color="auto"/>
                <w:lang w:val="en-US" w:eastAsia="zh-CN"/>
              </w:rPr>
              <w:t>Nm</w:t>
            </w:r>
            <w:r>
              <w:rPr>
                <w:rFonts w:hint="eastAsia" w:ascii="Times New Roman" w:hAnsi="Times New Roman" w:eastAsia="宋体" w:cs="Times New Roman"/>
                <w:bCs/>
                <w:color w:val="auto"/>
                <w:kern w:val="0"/>
                <w:sz w:val="21"/>
                <w:szCs w:val="21"/>
                <w:u w:val="none" w:color="auto"/>
                <w:vertAlign w:val="superscript"/>
                <w:lang w:val="en-US" w:eastAsia="zh-CN"/>
              </w:rPr>
              <w:t>3</w:t>
            </w:r>
            <w:r>
              <w:rPr>
                <w:rFonts w:hint="eastAsia" w:ascii="Times New Roman" w:hAnsi="Times New Roman" w:eastAsia="宋体" w:cs="Times New Roman"/>
                <w:bCs/>
                <w:color w:val="auto"/>
                <w:kern w:val="0"/>
                <w:sz w:val="21"/>
                <w:szCs w:val="21"/>
                <w:u w:val="none" w:color="auto"/>
                <w:lang w:val="en-US" w:eastAsia="zh-CN"/>
              </w:rPr>
              <w:t>/h</w:t>
            </w:r>
          </w:p>
        </w:tc>
      </w:tr>
      <w:tr w14:paraId="056054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61DD8DC6">
            <w:pPr>
              <w:jc w:val="center"/>
              <w:rPr>
                <w:rFonts w:hint="default" w:ascii="Times New Roman" w:hAnsi="Times New Roman" w:eastAsia="宋体" w:cs="Times New Roman"/>
                <w:color w:val="auto"/>
                <w:sz w:val="21"/>
                <w:szCs w:val="21"/>
                <w:u w:val="none" w:color="auto"/>
                <w:lang w:val="en-US" w:eastAsia="zh-CN"/>
              </w:rPr>
            </w:pPr>
          </w:p>
        </w:tc>
        <w:tc>
          <w:tcPr>
            <w:tcW w:w="1051" w:type="dxa"/>
            <w:vMerge w:val="continue"/>
            <w:tcBorders>
              <w:tl2br w:val="nil"/>
              <w:tr2bl w:val="nil"/>
            </w:tcBorders>
            <w:noWrap w:val="0"/>
            <w:vAlign w:val="center"/>
          </w:tcPr>
          <w:p w14:paraId="17D005DF">
            <w:pPr>
              <w:jc w:val="center"/>
              <w:rPr>
                <w:rFonts w:hint="default" w:ascii="Times New Roman" w:hAnsi="Times New Roman" w:eastAsia="宋体" w:cs="Times New Roman"/>
                <w:color w:val="auto"/>
                <w:sz w:val="21"/>
                <w:szCs w:val="21"/>
                <w:u w:val="none" w:color="auto"/>
                <w:lang w:val="en-US" w:eastAsia="zh-CN"/>
              </w:rPr>
            </w:pPr>
          </w:p>
        </w:tc>
        <w:tc>
          <w:tcPr>
            <w:tcW w:w="851" w:type="dxa"/>
            <w:vMerge w:val="restart"/>
            <w:tcBorders>
              <w:tl2br w:val="nil"/>
              <w:tr2bl w:val="nil"/>
            </w:tcBorders>
            <w:noWrap w:val="0"/>
            <w:vAlign w:val="center"/>
          </w:tcPr>
          <w:p w14:paraId="1189B549">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颗粒物</w:t>
            </w:r>
          </w:p>
        </w:tc>
        <w:tc>
          <w:tcPr>
            <w:tcW w:w="1049" w:type="dxa"/>
            <w:tcBorders>
              <w:tl2br w:val="nil"/>
              <w:tr2bl w:val="nil"/>
            </w:tcBorders>
            <w:noWrap w:val="0"/>
            <w:vAlign w:val="center"/>
          </w:tcPr>
          <w:p w14:paraId="1F20C31D">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检测浓度</w:t>
            </w:r>
          </w:p>
        </w:tc>
        <w:tc>
          <w:tcPr>
            <w:tcW w:w="1065" w:type="dxa"/>
            <w:tcBorders>
              <w:tl2br w:val="nil"/>
              <w:tr2bl w:val="nil"/>
            </w:tcBorders>
            <w:noWrap w:val="0"/>
            <w:vAlign w:val="center"/>
          </w:tcPr>
          <w:p w14:paraId="620EAD1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32.3</w:t>
            </w:r>
          </w:p>
        </w:tc>
        <w:tc>
          <w:tcPr>
            <w:tcW w:w="1275" w:type="dxa"/>
            <w:tcBorders>
              <w:tl2br w:val="nil"/>
              <w:tr2bl w:val="nil"/>
            </w:tcBorders>
            <w:noWrap w:val="0"/>
            <w:vAlign w:val="center"/>
          </w:tcPr>
          <w:p w14:paraId="706AA93D">
            <w:pPr>
              <w:jc w:val="center"/>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34.3</w:t>
            </w:r>
          </w:p>
        </w:tc>
        <w:tc>
          <w:tcPr>
            <w:tcW w:w="1140" w:type="dxa"/>
            <w:tcBorders>
              <w:tl2br w:val="nil"/>
              <w:tr2bl w:val="nil"/>
            </w:tcBorders>
            <w:noWrap w:val="0"/>
            <w:vAlign w:val="center"/>
          </w:tcPr>
          <w:p w14:paraId="31E6D377">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bCs/>
                <w:color w:val="auto"/>
                <w:kern w:val="2"/>
                <w:sz w:val="21"/>
                <w:szCs w:val="21"/>
                <w:u w:val="none" w:color="auto"/>
                <w:lang w:val="en-US" w:eastAsia="zh-CN" w:bidi="ar-SA"/>
              </w:rPr>
              <w:t>35.3</w:t>
            </w:r>
          </w:p>
        </w:tc>
        <w:tc>
          <w:tcPr>
            <w:tcW w:w="974" w:type="dxa"/>
            <w:tcBorders>
              <w:tl2br w:val="nil"/>
              <w:tr2bl w:val="nil"/>
            </w:tcBorders>
            <w:noWrap w:val="0"/>
            <w:vAlign w:val="center"/>
          </w:tcPr>
          <w:p w14:paraId="5B2618A8">
            <w:pPr>
              <w:jc w:val="center"/>
              <w:rPr>
                <w:rFonts w:hint="eastAsia" w:ascii="Times New Roman" w:hAnsi="Times New Roman" w:cs="Times New Roman"/>
                <w:bCs/>
                <w:color w:val="auto"/>
                <w:kern w:val="0"/>
                <w:szCs w:val="21"/>
                <w:u w:val="none" w:color="auto"/>
                <w:lang w:val="en-US" w:eastAsia="zh-CN"/>
              </w:rPr>
            </w:pPr>
            <w:r>
              <w:rPr>
                <w:rFonts w:hint="default" w:ascii="Times New Roman" w:hAnsi="Times New Roman" w:eastAsia="宋体" w:cs="Times New Roman"/>
                <w:bCs/>
                <w:color w:val="auto"/>
                <w:kern w:val="0"/>
                <w:sz w:val="21"/>
                <w:szCs w:val="21"/>
                <w:u w:val="none" w:color="auto"/>
                <w:lang w:val="en-US" w:eastAsia="zh-CN"/>
              </w:rPr>
              <w:t>mg/m</w:t>
            </w:r>
            <w:r>
              <w:rPr>
                <w:rFonts w:hint="default" w:ascii="Times New Roman" w:hAnsi="Times New Roman" w:eastAsia="宋体" w:cs="Times New Roman"/>
                <w:bCs/>
                <w:color w:val="auto"/>
                <w:kern w:val="0"/>
                <w:sz w:val="21"/>
                <w:szCs w:val="21"/>
                <w:u w:val="none" w:color="auto"/>
                <w:vertAlign w:val="superscript"/>
                <w:lang w:val="en-US" w:eastAsia="zh-CN"/>
              </w:rPr>
              <w:t>3</w:t>
            </w:r>
          </w:p>
        </w:tc>
      </w:tr>
      <w:tr w14:paraId="1FDB5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7CD3C22E">
            <w:pPr>
              <w:jc w:val="center"/>
              <w:rPr>
                <w:rFonts w:hint="default" w:ascii="Times New Roman" w:hAnsi="Times New Roman" w:eastAsia="宋体" w:cs="Times New Roman"/>
                <w:color w:val="auto"/>
                <w:sz w:val="21"/>
                <w:szCs w:val="21"/>
                <w:u w:val="none" w:color="auto"/>
                <w:lang w:val="en-US" w:eastAsia="zh-CN"/>
              </w:rPr>
            </w:pPr>
          </w:p>
        </w:tc>
        <w:tc>
          <w:tcPr>
            <w:tcW w:w="1051" w:type="dxa"/>
            <w:vMerge w:val="continue"/>
            <w:tcBorders>
              <w:tl2br w:val="nil"/>
              <w:tr2bl w:val="nil"/>
            </w:tcBorders>
            <w:noWrap w:val="0"/>
            <w:vAlign w:val="center"/>
          </w:tcPr>
          <w:p w14:paraId="238A3681">
            <w:pPr>
              <w:jc w:val="center"/>
              <w:rPr>
                <w:rFonts w:hint="default" w:ascii="Times New Roman" w:hAnsi="Times New Roman" w:eastAsia="宋体" w:cs="Times New Roman"/>
                <w:color w:val="auto"/>
                <w:sz w:val="21"/>
                <w:szCs w:val="21"/>
                <w:u w:val="none" w:color="auto"/>
                <w:lang w:val="en-US" w:eastAsia="zh-CN"/>
              </w:rPr>
            </w:pPr>
          </w:p>
        </w:tc>
        <w:tc>
          <w:tcPr>
            <w:tcW w:w="851" w:type="dxa"/>
            <w:vMerge w:val="continue"/>
            <w:tcBorders>
              <w:tl2br w:val="nil"/>
              <w:tr2bl w:val="nil"/>
            </w:tcBorders>
            <w:noWrap w:val="0"/>
            <w:vAlign w:val="center"/>
          </w:tcPr>
          <w:p w14:paraId="1A3288F0">
            <w:pPr>
              <w:jc w:val="center"/>
              <w:rPr>
                <w:rFonts w:hint="default" w:ascii="Times New Roman" w:hAnsi="Times New Roman" w:eastAsia="宋体" w:cs="Times New Roman"/>
                <w:color w:val="auto"/>
                <w:szCs w:val="21"/>
                <w:u w:val="none" w:color="auto"/>
                <w:lang w:eastAsia="zh-CN"/>
              </w:rPr>
            </w:pPr>
          </w:p>
        </w:tc>
        <w:tc>
          <w:tcPr>
            <w:tcW w:w="1049" w:type="dxa"/>
            <w:tcBorders>
              <w:tl2br w:val="nil"/>
              <w:tr2bl w:val="nil"/>
            </w:tcBorders>
            <w:noWrap w:val="0"/>
            <w:vAlign w:val="center"/>
          </w:tcPr>
          <w:p w14:paraId="156610E9">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产生速率</w:t>
            </w:r>
          </w:p>
        </w:tc>
        <w:tc>
          <w:tcPr>
            <w:tcW w:w="1065" w:type="dxa"/>
            <w:tcBorders>
              <w:tl2br w:val="nil"/>
              <w:tr2bl w:val="nil"/>
            </w:tcBorders>
            <w:noWrap w:val="0"/>
            <w:vAlign w:val="center"/>
          </w:tcPr>
          <w:p w14:paraId="1693B60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0.09</w:t>
            </w:r>
          </w:p>
        </w:tc>
        <w:tc>
          <w:tcPr>
            <w:tcW w:w="1275" w:type="dxa"/>
            <w:tcBorders>
              <w:tl2br w:val="nil"/>
              <w:tr2bl w:val="nil"/>
            </w:tcBorders>
            <w:noWrap w:val="0"/>
            <w:vAlign w:val="center"/>
          </w:tcPr>
          <w:p w14:paraId="540D49C7">
            <w:pPr>
              <w:jc w:val="center"/>
              <w:rPr>
                <w:rFonts w:hint="default" w:ascii="Times New Roman" w:hAnsi="Times New Roman" w:eastAsia="宋体" w:cs="Times New Roman"/>
                <w:b/>
                <w:bCs/>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0.09</w:t>
            </w:r>
          </w:p>
        </w:tc>
        <w:tc>
          <w:tcPr>
            <w:tcW w:w="1140" w:type="dxa"/>
            <w:tcBorders>
              <w:tl2br w:val="nil"/>
              <w:tr2bl w:val="nil"/>
            </w:tcBorders>
            <w:noWrap w:val="0"/>
            <w:vAlign w:val="center"/>
          </w:tcPr>
          <w:p w14:paraId="15295D54">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bCs/>
                <w:color w:val="auto"/>
                <w:kern w:val="2"/>
                <w:sz w:val="21"/>
                <w:szCs w:val="21"/>
                <w:u w:val="none" w:color="auto"/>
                <w:lang w:val="en-US" w:eastAsia="zh-CN" w:bidi="ar-SA"/>
              </w:rPr>
              <w:t>0.09</w:t>
            </w:r>
          </w:p>
        </w:tc>
        <w:tc>
          <w:tcPr>
            <w:tcW w:w="974" w:type="dxa"/>
            <w:tcBorders>
              <w:tl2br w:val="nil"/>
              <w:tr2bl w:val="nil"/>
            </w:tcBorders>
            <w:noWrap w:val="0"/>
            <w:vAlign w:val="center"/>
          </w:tcPr>
          <w:p w14:paraId="3C6E69EE">
            <w:pPr>
              <w:jc w:val="center"/>
              <w:rPr>
                <w:rFonts w:hint="eastAsia" w:ascii="Times New Roman" w:hAnsi="Times New Roman" w:cs="Times New Roman"/>
                <w:bCs/>
                <w:color w:val="auto"/>
                <w:kern w:val="0"/>
                <w:szCs w:val="21"/>
                <w:u w:val="none" w:color="auto"/>
                <w:lang w:val="en-US" w:eastAsia="zh-CN"/>
              </w:rPr>
            </w:pPr>
            <w:r>
              <w:rPr>
                <w:rFonts w:hint="eastAsia" w:ascii="Times New Roman" w:hAnsi="Times New Roman" w:cs="Times New Roman"/>
                <w:bCs/>
                <w:color w:val="auto"/>
                <w:kern w:val="0"/>
                <w:szCs w:val="21"/>
                <w:u w:val="none" w:color="auto"/>
                <w:lang w:val="en-US" w:eastAsia="zh-CN"/>
              </w:rPr>
              <w:t>kg/h</w:t>
            </w:r>
          </w:p>
        </w:tc>
      </w:tr>
      <w:tr w14:paraId="270050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restart"/>
            <w:tcBorders>
              <w:tl2br w:val="nil"/>
              <w:tr2bl w:val="nil"/>
            </w:tcBorders>
            <w:noWrap w:val="0"/>
            <w:vAlign w:val="center"/>
          </w:tcPr>
          <w:p w14:paraId="4E6E7E0C">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2022年11月24日</w:t>
            </w:r>
          </w:p>
        </w:tc>
        <w:tc>
          <w:tcPr>
            <w:tcW w:w="1051" w:type="dxa"/>
            <w:vMerge w:val="restart"/>
            <w:tcBorders>
              <w:tl2br w:val="nil"/>
              <w:tr2bl w:val="nil"/>
            </w:tcBorders>
            <w:noWrap w:val="0"/>
            <w:vAlign w:val="center"/>
          </w:tcPr>
          <w:p w14:paraId="283364EF">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进口1#（磨粉）</w:t>
            </w:r>
          </w:p>
        </w:tc>
        <w:tc>
          <w:tcPr>
            <w:tcW w:w="1900" w:type="dxa"/>
            <w:gridSpan w:val="2"/>
            <w:tcBorders>
              <w:tl2br w:val="nil"/>
              <w:tr2bl w:val="nil"/>
            </w:tcBorders>
            <w:noWrap w:val="0"/>
            <w:vAlign w:val="center"/>
          </w:tcPr>
          <w:p w14:paraId="13C066A2">
            <w:pPr>
              <w:jc w:val="center"/>
              <w:rPr>
                <w:rFonts w:hint="eastAsia"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标干流量</w:t>
            </w:r>
          </w:p>
        </w:tc>
        <w:tc>
          <w:tcPr>
            <w:tcW w:w="1065" w:type="dxa"/>
            <w:tcBorders>
              <w:tl2br w:val="nil"/>
              <w:tr2bl w:val="nil"/>
            </w:tcBorders>
            <w:noWrap w:val="0"/>
            <w:vAlign w:val="center"/>
          </w:tcPr>
          <w:p w14:paraId="3B27708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1917</w:t>
            </w:r>
          </w:p>
        </w:tc>
        <w:tc>
          <w:tcPr>
            <w:tcW w:w="1275" w:type="dxa"/>
            <w:tcBorders>
              <w:tl2br w:val="nil"/>
              <w:tr2bl w:val="nil"/>
            </w:tcBorders>
            <w:noWrap w:val="0"/>
            <w:vAlign w:val="center"/>
          </w:tcPr>
          <w:p w14:paraId="61C8D692">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1887</w:t>
            </w:r>
          </w:p>
        </w:tc>
        <w:tc>
          <w:tcPr>
            <w:tcW w:w="1140" w:type="dxa"/>
            <w:tcBorders>
              <w:tl2br w:val="nil"/>
              <w:tr2bl w:val="nil"/>
            </w:tcBorders>
            <w:noWrap w:val="0"/>
            <w:vAlign w:val="center"/>
          </w:tcPr>
          <w:p w14:paraId="18DFC82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1906</w:t>
            </w:r>
          </w:p>
        </w:tc>
        <w:tc>
          <w:tcPr>
            <w:tcW w:w="974" w:type="dxa"/>
            <w:tcBorders>
              <w:tl2br w:val="nil"/>
              <w:tr2bl w:val="nil"/>
            </w:tcBorders>
            <w:noWrap w:val="0"/>
            <w:vAlign w:val="center"/>
          </w:tcPr>
          <w:p w14:paraId="5487EFCA">
            <w:pPr>
              <w:jc w:val="center"/>
              <w:rPr>
                <w:rFonts w:hint="eastAsia" w:ascii="Times New Roman" w:hAnsi="Times New Roman" w:eastAsia="宋体" w:cs="Times New Roman"/>
                <w:bCs/>
                <w:color w:val="auto"/>
                <w:kern w:val="0"/>
                <w:sz w:val="21"/>
                <w:szCs w:val="21"/>
                <w:u w:val="none" w:color="auto"/>
                <w:lang w:val="en-US" w:eastAsia="zh-CN"/>
              </w:rPr>
            </w:pPr>
            <w:r>
              <w:rPr>
                <w:rFonts w:hint="eastAsia" w:ascii="Times New Roman" w:hAnsi="Times New Roman" w:eastAsia="宋体" w:cs="Times New Roman"/>
                <w:bCs/>
                <w:color w:val="auto"/>
                <w:kern w:val="0"/>
                <w:sz w:val="21"/>
                <w:szCs w:val="21"/>
                <w:u w:val="none" w:color="auto"/>
                <w:lang w:val="en-US" w:eastAsia="zh-CN"/>
              </w:rPr>
              <w:t>Nm</w:t>
            </w:r>
            <w:r>
              <w:rPr>
                <w:rFonts w:hint="eastAsia" w:ascii="Times New Roman" w:hAnsi="Times New Roman" w:eastAsia="宋体" w:cs="Times New Roman"/>
                <w:bCs/>
                <w:color w:val="auto"/>
                <w:kern w:val="0"/>
                <w:sz w:val="21"/>
                <w:szCs w:val="21"/>
                <w:u w:val="none" w:color="auto"/>
                <w:vertAlign w:val="superscript"/>
                <w:lang w:val="en-US" w:eastAsia="zh-CN"/>
              </w:rPr>
              <w:t>3</w:t>
            </w:r>
            <w:r>
              <w:rPr>
                <w:rFonts w:hint="eastAsia" w:ascii="Times New Roman" w:hAnsi="Times New Roman" w:eastAsia="宋体" w:cs="Times New Roman"/>
                <w:bCs/>
                <w:color w:val="auto"/>
                <w:kern w:val="0"/>
                <w:sz w:val="21"/>
                <w:szCs w:val="21"/>
                <w:u w:val="none" w:color="auto"/>
                <w:lang w:val="en-US" w:eastAsia="zh-CN"/>
              </w:rPr>
              <w:t>/h</w:t>
            </w:r>
          </w:p>
        </w:tc>
      </w:tr>
      <w:tr w14:paraId="2FA3C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339D4AE3">
            <w:pPr>
              <w:jc w:val="center"/>
              <w:rPr>
                <w:rFonts w:hint="eastAsia" w:ascii="Times New Roman" w:hAnsi="Times New Roman" w:eastAsia="宋体" w:cs="Times New Roman"/>
                <w:color w:val="auto"/>
                <w:sz w:val="21"/>
                <w:szCs w:val="21"/>
                <w:u w:val="none" w:color="auto"/>
                <w:lang w:val="en-US" w:eastAsia="zh-CN"/>
              </w:rPr>
            </w:pPr>
          </w:p>
        </w:tc>
        <w:tc>
          <w:tcPr>
            <w:tcW w:w="1051" w:type="dxa"/>
            <w:vMerge w:val="continue"/>
            <w:tcBorders>
              <w:tl2br w:val="nil"/>
              <w:tr2bl w:val="nil"/>
            </w:tcBorders>
            <w:noWrap w:val="0"/>
            <w:vAlign w:val="center"/>
          </w:tcPr>
          <w:p w14:paraId="77A44974">
            <w:pPr>
              <w:jc w:val="center"/>
              <w:rPr>
                <w:rFonts w:hint="eastAsia" w:ascii="Times New Roman" w:hAnsi="Times New Roman" w:eastAsia="宋体" w:cs="Times New Roman"/>
                <w:color w:val="auto"/>
                <w:sz w:val="21"/>
                <w:szCs w:val="21"/>
                <w:u w:val="none" w:color="auto"/>
                <w:lang w:val="en-US" w:eastAsia="zh-CN"/>
              </w:rPr>
            </w:pPr>
          </w:p>
        </w:tc>
        <w:tc>
          <w:tcPr>
            <w:tcW w:w="851" w:type="dxa"/>
            <w:vMerge w:val="restart"/>
            <w:tcBorders>
              <w:tl2br w:val="nil"/>
              <w:tr2bl w:val="nil"/>
            </w:tcBorders>
            <w:noWrap w:val="0"/>
            <w:vAlign w:val="center"/>
          </w:tcPr>
          <w:p w14:paraId="6848BC94">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颗粒物</w:t>
            </w:r>
          </w:p>
        </w:tc>
        <w:tc>
          <w:tcPr>
            <w:tcW w:w="1049" w:type="dxa"/>
            <w:tcBorders>
              <w:tl2br w:val="nil"/>
              <w:tr2bl w:val="nil"/>
            </w:tcBorders>
            <w:noWrap w:val="0"/>
            <w:vAlign w:val="center"/>
          </w:tcPr>
          <w:p w14:paraId="3170DDB6">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检测浓度</w:t>
            </w:r>
          </w:p>
        </w:tc>
        <w:tc>
          <w:tcPr>
            <w:tcW w:w="1065" w:type="dxa"/>
            <w:tcBorders>
              <w:tl2br w:val="nil"/>
              <w:tr2bl w:val="nil"/>
            </w:tcBorders>
            <w:noWrap w:val="0"/>
            <w:vAlign w:val="center"/>
          </w:tcPr>
          <w:p w14:paraId="17427A5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bCs/>
                <w:color w:val="auto"/>
                <w:kern w:val="2"/>
                <w:sz w:val="21"/>
                <w:szCs w:val="21"/>
                <w:u w:val="none" w:color="auto"/>
                <w:lang w:val="en-US" w:eastAsia="zh-CN" w:bidi="ar-SA"/>
              </w:rPr>
              <w:t>49.6</w:t>
            </w:r>
          </w:p>
        </w:tc>
        <w:tc>
          <w:tcPr>
            <w:tcW w:w="1275" w:type="dxa"/>
            <w:tcBorders>
              <w:tl2br w:val="nil"/>
              <w:tr2bl w:val="nil"/>
            </w:tcBorders>
            <w:noWrap w:val="0"/>
            <w:vAlign w:val="center"/>
          </w:tcPr>
          <w:p w14:paraId="44678415">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47.3</w:t>
            </w:r>
          </w:p>
        </w:tc>
        <w:tc>
          <w:tcPr>
            <w:tcW w:w="1140" w:type="dxa"/>
            <w:tcBorders>
              <w:tl2br w:val="nil"/>
              <w:tr2bl w:val="nil"/>
            </w:tcBorders>
            <w:noWrap w:val="0"/>
            <w:vAlign w:val="center"/>
          </w:tcPr>
          <w:p w14:paraId="47565E1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48.7</w:t>
            </w:r>
          </w:p>
        </w:tc>
        <w:tc>
          <w:tcPr>
            <w:tcW w:w="974" w:type="dxa"/>
            <w:tcBorders>
              <w:tl2br w:val="nil"/>
              <w:tr2bl w:val="nil"/>
            </w:tcBorders>
            <w:noWrap w:val="0"/>
            <w:vAlign w:val="center"/>
          </w:tcPr>
          <w:p w14:paraId="4DFCE48D">
            <w:pPr>
              <w:jc w:val="center"/>
              <w:rPr>
                <w:rFonts w:hint="eastAsia" w:ascii="Times New Roman" w:hAnsi="Times New Roman" w:eastAsia="宋体" w:cs="Times New Roman"/>
                <w:bCs/>
                <w:color w:val="auto"/>
                <w:kern w:val="0"/>
                <w:sz w:val="21"/>
                <w:szCs w:val="21"/>
                <w:u w:val="none" w:color="auto"/>
                <w:lang w:val="en-US" w:eastAsia="zh-CN"/>
              </w:rPr>
            </w:pPr>
            <w:r>
              <w:rPr>
                <w:rFonts w:hint="default" w:ascii="Times New Roman" w:hAnsi="Times New Roman" w:eastAsia="宋体" w:cs="Times New Roman"/>
                <w:bCs/>
                <w:color w:val="auto"/>
                <w:kern w:val="0"/>
                <w:sz w:val="21"/>
                <w:szCs w:val="21"/>
                <w:u w:val="none" w:color="auto"/>
                <w:lang w:val="en-US" w:eastAsia="zh-CN"/>
              </w:rPr>
              <w:t>mg/m</w:t>
            </w:r>
            <w:r>
              <w:rPr>
                <w:rFonts w:hint="default" w:ascii="Times New Roman" w:hAnsi="Times New Roman" w:eastAsia="宋体" w:cs="Times New Roman"/>
                <w:bCs/>
                <w:color w:val="auto"/>
                <w:kern w:val="0"/>
                <w:sz w:val="21"/>
                <w:szCs w:val="21"/>
                <w:u w:val="none" w:color="auto"/>
                <w:vertAlign w:val="superscript"/>
                <w:lang w:val="en-US" w:eastAsia="zh-CN"/>
              </w:rPr>
              <w:t>3</w:t>
            </w:r>
          </w:p>
        </w:tc>
      </w:tr>
      <w:tr w14:paraId="5BB554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76261120">
            <w:pPr>
              <w:jc w:val="center"/>
              <w:rPr>
                <w:rFonts w:hint="eastAsia" w:ascii="Times New Roman" w:hAnsi="Times New Roman" w:eastAsia="宋体" w:cs="Times New Roman"/>
                <w:color w:val="auto"/>
                <w:sz w:val="21"/>
                <w:szCs w:val="21"/>
                <w:u w:val="none" w:color="auto"/>
                <w:lang w:val="en-US" w:eastAsia="zh-CN"/>
              </w:rPr>
            </w:pPr>
          </w:p>
        </w:tc>
        <w:tc>
          <w:tcPr>
            <w:tcW w:w="1051" w:type="dxa"/>
            <w:vMerge w:val="continue"/>
            <w:tcBorders>
              <w:tl2br w:val="nil"/>
              <w:tr2bl w:val="nil"/>
            </w:tcBorders>
            <w:noWrap w:val="0"/>
            <w:vAlign w:val="center"/>
          </w:tcPr>
          <w:p w14:paraId="6970F2EE">
            <w:pPr>
              <w:jc w:val="center"/>
              <w:rPr>
                <w:rFonts w:hint="eastAsia" w:ascii="Times New Roman" w:hAnsi="Times New Roman" w:eastAsia="宋体" w:cs="Times New Roman"/>
                <w:color w:val="auto"/>
                <w:sz w:val="21"/>
                <w:szCs w:val="21"/>
                <w:u w:val="none" w:color="auto"/>
                <w:lang w:val="en-US" w:eastAsia="zh-CN"/>
              </w:rPr>
            </w:pPr>
          </w:p>
        </w:tc>
        <w:tc>
          <w:tcPr>
            <w:tcW w:w="851" w:type="dxa"/>
            <w:vMerge w:val="continue"/>
            <w:tcBorders>
              <w:tl2br w:val="nil"/>
              <w:tr2bl w:val="nil"/>
            </w:tcBorders>
            <w:noWrap w:val="0"/>
            <w:vAlign w:val="center"/>
          </w:tcPr>
          <w:p w14:paraId="0596A9B4">
            <w:pPr>
              <w:jc w:val="center"/>
              <w:rPr>
                <w:rFonts w:hint="eastAsia" w:ascii="Times New Roman" w:hAnsi="Times New Roman" w:eastAsia="宋体" w:cs="Times New Roman"/>
                <w:color w:val="auto"/>
                <w:szCs w:val="21"/>
                <w:u w:val="none" w:color="auto"/>
                <w:lang w:val="en-US" w:eastAsia="zh-CN"/>
              </w:rPr>
            </w:pPr>
          </w:p>
        </w:tc>
        <w:tc>
          <w:tcPr>
            <w:tcW w:w="1049" w:type="dxa"/>
            <w:tcBorders>
              <w:tl2br w:val="nil"/>
              <w:tr2bl w:val="nil"/>
            </w:tcBorders>
            <w:noWrap w:val="0"/>
            <w:vAlign w:val="center"/>
          </w:tcPr>
          <w:p w14:paraId="256FD405">
            <w:pPr>
              <w:jc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产生速率</w:t>
            </w:r>
          </w:p>
        </w:tc>
        <w:tc>
          <w:tcPr>
            <w:tcW w:w="1065" w:type="dxa"/>
            <w:tcBorders>
              <w:tl2br w:val="nil"/>
              <w:tr2bl w:val="nil"/>
            </w:tcBorders>
            <w:noWrap w:val="0"/>
            <w:vAlign w:val="center"/>
          </w:tcPr>
          <w:p w14:paraId="14C5880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b/>
                <w:bCs/>
                <w:color w:val="auto"/>
                <w:kern w:val="2"/>
                <w:sz w:val="21"/>
                <w:szCs w:val="21"/>
                <w:u w:val="none" w:color="auto"/>
                <w:lang w:val="en-US" w:eastAsia="zh-CN" w:bidi="ar-SA"/>
              </w:rPr>
              <w:t>0.10</w:t>
            </w:r>
          </w:p>
        </w:tc>
        <w:tc>
          <w:tcPr>
            <w:tcW w:w="1275" w:type="dxa"/>
            <w:tcBorders>
              <w:tl2br w:val="nil"/>
              <w:tr2bl w:val="nil"/>
            </w:tcBorders>
            <w:noWrap w:val="0"/>
            <w:vAlign w:val="center"/>
          </w:tcPr>
          <w:p w14:paraId="4CD89ED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0.09</w:t>
            </w:r>
          </w:p>
        </w:tc>
        <w:tc>
          <w:tcPr>
            <w:tcW w:w="1140" w:type="dxa"/>
            <w:tcBorders>
              <w:tl2br w:val="nil"/>
              <w:tr2bl w:val="nil"/>
            </w:tcBorders>
            <w:noWrap w:val="0"/>
            <w:vAlign w:val="center"/>
          </w:tcPr>
          <w:p w14:paraId="7E4ECC5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0.09</w:t>
            </w:r>
          </w:p>
        </w:tc>
        <w:tc>
          <w:tcPr>
            <w:tcW w:w="974" w:type="dxa"/>
            <w:tcBorders>
              <w:tl2br w:val="nil"/>
              <w:tr2bl w:val="nil"/>
            </w:tcBorders>
            <w:noWrap w:val="0"/>
            <w:vAlign w:val="center"/>
          </w:tcPr>
          <w:p w14:paraId="51FAD821">
            <w:pPr>
              <w:jc w:val="center"/>
              <w:rPr>
                <w:rFonts w:hint="eastAsia" w:ascii="Times New Roman" w:hAnsi="Times New Roman" w:eastAsia="宋体" w:cs="Times New Roman"/>
                <w:bCs/>
                <w:color w:val="auto"/>
                <w:kern w:val="0"/>
                <w:sz w:val="21"/>
                <w:szCs w:val="21"/>
                <w:u w:val="none" w:color="auto"/>
                <w:lang w:val="en-US" w:eastAsia="zh-CN"/>
              </w:rPr>
            </w:pPr>
            <w:r>
              <w:rPr>
                <w:rFonts w:hint="eastAsia" w:ascii="Times New Roman" w:hAnsi="Times New Roman" w:cs="Times New Roman"/>
                <w:bCs/>
                <w:color w:val="auto"/>
                <w:kern w:val="0"/>
                <w:szCs w:val="21"/>
                <w:u w:val="none" w:color="auto"/>
                <w:lang w:val="en-US" w:eastAsia="zh-CN"/>
              </w:rPr>
              <w:t>kg/h</w:t>
            </w:r>
          </w:p>
        </w:tc>
      </w:tr>
      <w:tr w14:paraId="718B1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44EF1C8F">
            <w:pPr>
              <w:jc w:val="center"/>
              <w:rPr>
                <w:rFonts w:hint="default" w:ascii="Times New Roman" w:hAnsi="Times New Roman" w:eastAsia="宋体" w:cs="Times New Roman"/>
                <w:color w:val="auto"/>
                <w:sz w:val="21"/>
                <w:szCs w:val="21"/>
                <w:u w:val="none" w:color="auto"/>
                <w:lang w:val="en-US" w:eastAsia="zh-CN"/>
              </w:rPr>
            </w:pPr>
          </w:p>
        </w:tc>
        <w:tc>
          <w:tcPr>
            <w:tcW w:w="1051" w:type="dxa"/>
            <w:vMerge w:val="restart"/>
            <w:tcBorders>
              <w:tl2br w:val="nil"/>
              <w:tr2bl w:val="nil"/>
            </w:tcBorders>
            <w:noWrap w:val="0"/>
            <w:vAlign w:val="center"/>
          </w:tcPr>
          <w:p w14:paraId="747CB856">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进口2#（混合）</w:t>
            </w:r>
          </w:p>
        </w:tc>
        <w:tc>
          <w:tcPr>
            <w:tcW w:w="1900" w:type="dxa"/>
            <w:gridSpan w:val="2"/>
            <w:tcBorders>
              <w:tl2br w:val="nil"/>
              <w:tr2bl w:val="nil"/>
            </w:tcBorders>
            <w:noWrap w:val="0"/>
            <w:vAlign w:val="center"/>
          </w:tcPr>
          <w:p w14:paraId="1606A349">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标干流量</w:t>
            </w:r>
          </w:p>
        </w:tc>
        <w:tc>
          <w:tcPr>
            <w:tcW w:w="1065" w:type="dxa"/>
            <w:tcBorders>
              <w:tl2br w:val="nil"/>
              <w:tr2bl w:val="nil"/>
            </w:tcBorders>
            <w:noWrap w:val="0"/>
            <w:vAlign w:val="center"/>
          </w:tcPr>
          <w:p w14:paraId="1FCE7737">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2624</w:t>
            </w:r>
          </w:p>
        </w:tc>
        <w:tc>
          <w:tcPr>
            <w:tcW w:w="1275" w:type="dxa"/>
            <w:tcBorders>
              <w:tl2br w:val="nil"/>
              <w:tr2bl w:val="nil"/>
            </w:tcBorders>
            <w:noWrap w:val="0"/>
            <w:vAlign w:val="center"/>
          </w:tcPr>
          <w:p w14:paraId="61AE727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2650</w:t>
            </w:r>
          </w:p>
        </w:tc>
        <w:tc>
          <w:tcPr>
            <w:tcW w:w="1140" w:type="dxa"/>
            <w:tcBorders>
              <w:tl2br w:val="nil"/>
              <w:tr2bl w:val="nil"/>
            </w:tcBorders>
            <w:noWrap w:val="0"/>
            <w:vAlign w:val="center"/>
          </w:tcPr>
          <w:p w14:paraId="0C89F452">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2641</w:t>
            </w:r>
          </w:p>
        </w:tc>
        <w:tc>
          <w:tcPr>
            <w:tcW w:w="974" w:type="dxa"/>
            <w:tcBorders>
              <w:tl2br w:val="nil"/>
              <w:tr2bl w:val="nil"/>
            </w:tcBorders>
            <w:noWrap w:val="0"/>
            <w:vAlign w:val="center"/>
          </w:tcPr>
          <w:p w14:paraId="6E01A060">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eastAsia="宋体" w:cs="Times New Roman"/>
                <w:bCs/>
                <w:color w:val="auto"/>
                <w:kern w:val="0"/>
                <w:sz w:val="21"/>
                <w:szCs w:val="21"/>
                <w:u w:val="none" w:color="auto"/>
                <w:lang w:val="en-US" w:eastAsia="zh-CN"/>
              </w:rPr>
              <w:t>Nm</w:t>
            </w:r>
            <w:r>
              <w:rPr>
                <w:rFonts w:hint="eastAsia" w:ascii="Times New Roman" w:hAnsi="Times New Roman" w:eastAsia="宋体" w:cs="Times New Roman"/>
                <w:bCs/>
                <w:color w:val="auto"/>
                <w:kern w:val="0"/>
                <w:sz w:val="21"/>
                <w:szCs w:val="21"/>
                <w:u w:val="none" w:color="auto"/>
                <w:vertAlign w:val="superscript"/>
                <w:lang w:val="en-US" w:eastAsia="zh-CN"/>
              </w:rPr>
              <w:t>3</w:t>
            </w:r>
            <w:r>
              <w:rPr>
                <w:rFonts w:hint="eastAsia" w:ascii="Times New Roman" w:hAnsi="Times New Roman" w:eastAsia="宋体" w:cs="Times New Roman"/>
                <w:bCs/>
                <w:color w:val="auto"/>
                <w:kern w:val="0"/>
                <w:sz w:val="21"/>
                <w:szCs w:val="21"/>
                <w:u w:val="none" w:color="auto"/>
                <w:lang w:val="en-US" w:eastAsia="zh-CN"/>
              </w:rPr>
              <w:t>/h</w:t>
            </w:r>
          </w:p>
        </w:tc>
      </w:tr>
      <w:tr w14:paraId="485DAE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30724EAE">
            <w:pPr>
              <w:jc w:val="center"/>
              <w:rPr>
                <w:rFonts w:hint="default" w:ascii="Times New Roman" w:hAnsi="Times New Roman" w:eastAsia="宋体" w:cs="Times New Roman"/>
                <w:color w:val="auto"/>
                <w:sz w:val="21"/>
                <w:szCs w:val="21"/>
                <w:u w:val="none" w:color="auto"/>
                <w:lang w:val="en-US" w:eastAsia="zh-CN"/>
              </w:rPr>
            </w:pPr>
          </w:p>
        </w:tc>
        <w:tc>
          <w:tcPr>
            <w:tcW w:w="1051" w:type="dxa"/>
            <w:vMerge w:val="continue"/>
            <w:tcBorders>
              <w:tl2br w:val="nil"/>
              <w:tr2bl w:val="nil"/>
            </w:tcBorders>
            <w:noWrap w:val="0"/>
            <w:vAlign w:val="center"/>
          </w:tcPr>
          <w:p w14:paraId="2296B36B">
            <w:pPr>
              <w:jc w:val="center"/>
              <w:rPr>
                <w:rFonts w:hint="default" w:ascii="Times New Roman" w:hAnsi="Times New Roman" w:eastAsia="宋体" w:cs="Times New Roman"/>
                <w:color w:val="auto"/>
                <w:sz w:val="21"/>
                <w:szCs w:val="21"/>
                <w:u w:val="none" w:color="auto"/>
                <w:lang w:val="en-US" w:eastAsia="zh-CN"/>
              </w:rPr>
            </w:pPr>
          </w:p>
        </w:tc>
        <w:tc>
          <w:tcPr>
            <w:tcW w:w="851" w:type="dxa"/>
            <w:vMerge w:val="restart"/>
            <w:tcBorders>
              <w:tl2br w:val="nil"/>
              <w:tr2bl w:val="nil"/>
            </w:tcBorders>
            <w:noWrap w:val="0"/>
            <w:vAlign w:val="center"/>
          </w:tcPr>
          <w:p w14:paraId="7F398EC3">
            <w:pPr>
              <w:jc w:val="center"/>
              <w:rPr>
                <w:rFonts w:hint="default" w:ascii="Times New Roman" w:hAnsi="Times New Roman" w:eastAsia="宋体" w:cs="Times New Roman"/>
                <w:color w:val="auto"/>
                <w:szCs w:val="21"/>
                <w:u w:val="none" w:color="auto"/>
                <w:lang w:val="en-US" w:eastAsia="zh-CN"/>
              </w:rPr>
            </w:pPr>
            <w:r>
              <w:rPr>
                <w:rFonts w:hint="eastAsia" w:ascii="Times New Roman" w:hAnsi="Times New Roman" w:eastAsia="宋体" w:cs="Times New Roman"/>
                <w:color w:val="auto"/>
                <w:szCs w:val="21"/>
                <w:u w:val="none" w:color="auto"/>
                <w:lang w:val="en-US" w:eastAsia="zh-CN"/>
              </w:rPr>
              <w:t>颗粒物</w:t>
            </w:r>
          </w:p>
        </w:tc>
        <w:tc>
          <w:tcPr>
            <w:tcW w:w="1049" w:type="dxa"/>
            <w:tcBorders>
              <w:tl2br w:val="nil"/>
              <w:tr2bl w:val="nil"/>
            </w:tcBorders>
            <w:noWrap w:val="0"/>
            <w:vAlign w:val="center"/>
          </w:tcPr>
          <w:p w14:paraId="45966EA7">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检测浓度</w:t>
            </w:r>
          </w:p>
        </w:tc>
        <w:tc>
          <w:tcPr>
            <w:tcW w:w="1065" w:type="dxa"/>
            <w:tcBorders>
              <w:tl2br w:val="nil"/>
              <w:tr2bl w:val="nil"/>
            </w:tcBorders>
            <w:noWrap w:val="0"/>
            <w:vAlign w:val="center"/>
          </w:tcPr>
          <w:p w14:paraId="1931F0C5">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31.3</w:t>
            </w:r>
          </w:p>
        </w:tc>
        <w:tc>
          <w:tcPr>
            <w:tcW w:w="1275" w:type="dxa"/>
            <w:tcBorders>
              <w:tl2br w:val="nil"/>
              <w:tr2bl w:val="nil"/>
            </w:tcBorders>
            <w:noWrap w:val="0"/>
            <w:vAlign w:val="center"/>
          </w:tcPr>
          <w:p w14:paraId="25DD264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32.3</w:t>
            </w:r>
          </w:p>
        </w:tc>
        <w:tc>
          <w:tcPr>
            <w:tcW w:w="1140" w:type="dxa"/>
            <w:tcBorders>
              <w:tl2br w:val="nil"/>
              <w:tr2bl w:val="nil"/>
            </w:tcBorders>
            <w:noWrap w:val="0"/>
            <w:vAlign w:val="center"/>
          </w:tcPr>
          <w:p w14:paraId="637373F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33.3</w:t>
            </w:r>
          </w:p>
        </w:tc>
        <w:tc>
          <w:tcPr>
            <w:tcW w:w="974" w:type="dxa"/>
            <w:tcBorders>
              <w:tl2br w:val="nil"/>
              <w:tr2bl w:val="nil"/>
            </w:tcBorders>
            <w:noWrap w:val="0"/>
            <w:vAlign w:val="center"/>
          </w:tcPr>
          <w:p w14:paraId="68C82FE4">
            <w:pPr>
              <w:jc w:val="center"/>
              <w:rPr>
                <w:rFonts w:hint="default" w:ascii="Times New Roman" w:hAnsi="Times New Roman" w:cs="Times New Roman"/>
                <w:color w:val="auto"/>
                <w:szCs w:val="21"/>
                <w:u w:val="none" w:color="auto"/>
              </w:rPr>
            </w:pPr>
            <w:r>
              <w:rPr>
                <w:rFonts w:hint="default" w:ascii="Times New Roman" w:hAnsi="Times New Roman" w:eastAsia="宋体" w:cs="Times New Roman"/>
                <w:bCs/>
                <w:color w:val="auto"/>
                <w:kern w:val="0"/>
                <w:sz w:val="21"/>
                <w:szCs w:val="21"/>
                <w:u w:val="none" w:color="auto"/>
                <w:lang w:val="en-US" w:eastAsia="zh-CN"/>
              </w:rPr>
              <w:t>mg/m</w:t>
            </w:r>
            <w:r>
              <w:rPr>
                <w:rFonts w:hint="default" w:ascii="Times New Roman" w:hAnsi="Times New Roman" w:eastAsia="宋体" w:cs="Times New Roman"/>
                <w:bCs/>
                <w:color w:val="auto"/>
                <w:kern w:val="0"/>
                <w:sz w:val="21"/>
                <w:szCs w:val="21"/>
                <w:u w:val="none" w:color="auto"/>
                <w:vertAlign w:val="superscript"/>
                <w:lang w:val="en-US" w:eastAsia="zh-CN"/>
              </w:rPr>
              <w:t>3</w:t>
            </w:r>
          </w:p>
        </w:tc>
      </w:tr>
      <w:tr w14:paraId="5EE3A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1099" w:type="dxa"/>
            <w:vMerge w:val="continue"/>
            <w:tcBorders>
              <w:tl2br w:val="nil"/>
              <w:tr2bl w:val="nil"/>
            </w:tcBorders>
            <w:noWrap w:val="0"/>
            <w:vAlign w:val="center"/>
          </w:tcPr>
          <w:p w14:paraId="3FD4CC54">
            <w:pPr>
              <w:jc w:val="center"/>
              <w:rPr>
                <w:rFonts w:hint="default" w:ascii="Times New Roman" w:hAnsi="Times New Roman" w:eastAsia="宋体" w:cs="Times New Roman"/>
                <w:color w:val="auto"/>
                <w:sz w:val="21"/>
                <w:szCs w:val="21"/>
                <w:u w:val="none" w:color="auto"/>
                <w:lang w:val="en-US" w:eastAsia="zh-CN"/>
              </w:rPr>
            </w:pPr>
          </w:p>
        </w:tc>
        <w:tc>
          <w:tcPr>
            <w:tcW w:w="1051" w:type="dxa"/>
            <w:vMerge w:val="continue"/>
            <w:tcBorders>
              <w:tl2br w:val="nil"/>
              <w:tr2bl w:val="nil"/>
            </w:tcBorders>
            <w:noWrap w:val="0"/>
            <w:vAlign w:val="center"/>
          </w:tcPr>
          <w:p w14:paraId="3F8AF226">
            <w:pPr>
              <w:jc w:val="center"/>
              <w:rPr>
                <w:rFonts w:hint="default" w:ascii="Times New Roman" w:hAnsi="Times New Roman" w:eastAsia="宋体" w:cs="Times New Roman"/>
                <w:color w:val="auto"/>
                <w:sz w:val="21"/>
                <w:szCs w:val="21"/>
                <w:u w:val="none" w:color="auto"/>
                <w:lang w:val="en-US" w:eastAsia="zh-CN"/>
              </w:rPr>
            </w:pPr>
          </w:p>
        </w:tc>
        <w:tc>
          <w:tcPr>
            <w:tcW w:w="851" w:type="dxa"/>
            <w:vMerge w:val="continue"/>
            <w:tcBorders>
              <w:tl2br w:val="nil"/>
              <w:tr2bl w:val="nil"/>
            </w:tcBorders>
            <w:noWrap w:val="0"/>
            <w:vAlign w:val="center"/>
          </w:tcPr>
          <w:p w14:paraId="1CDDAC6A">
            <w:pPr>
              <w:jc w:val="center"/>
              <w:rPr>
                <w:rFonts w:hint="default" w:ascii="Times New Roman" w:hAnsi="Times New Roman" w:eastAsia="宋体" w:cs="Times New Roman"/>
                <w:color w:val="auto"/>
                <w:szCs w:val="21"/>
                <w:u w:val="none" w:color="auto"/>
                <w:lang w:eastAsia="zh-CN"/>
              </w:rPr>
            </w:pPr>
          </w:p>
        </w:tc>
        <w:tc>
          <w:tcPr>
            <w:tcW w:w="1049" w:type="dxa"/>
            <w:tcBorders>
              <w:tl2br w:val="nil"/>
              <w:tr2bl w:val="nil"/>
            </w:tcBorders>
            <w:noWrap w:val="0"/>
            <w:vAlign w:val="center"/>
          </w:tcPr>
          <w:p w14:paraId="7492E74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Cs w:val="21"/>
                <w:u w:val="none" w:color="auto"/>
                <w:lang w:val="en-US" w:eastAsia="zh-CN"/>
              </w:rPr>
              <w:t>产生速率</w:t>
            </w:r>
          </w:p>
        </w:tc>
        <w:tc>
          <w:tcPr>
            <w:tcW w:w="1065" w:type="dxa"/>
            <w:tcBorders>
              <w:tl2br w:val="nil"/>
              <w:tr2bl w:val="nil"/>
            </w:tcBorders>
            <w:noWrap w:val="0"/>
            <w:vAlign w:val="center"/>
          </w:tcPr>
          <w:p w14:paraId="7DC6466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0.08</w:t>
            </w:r>
          </w:p>
        </w:tc>
        <w:tc>
          <w:tcPr>
            <w:tcW w:w="1275" w:type="dxa"/>
            <w:tcBorders>
              <w:tl2br w:val="nil"/>
              <w:tr2bl w:val="nil"/>
            </w:tcBorders>
            <w:noWrap w:val="0"/>
            <w:vAlign w:val="center"/>
          </w:tcPr>
          <w:p w14:paraId="6778157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0.09</w:t>
            </w:r>
          </w:p>
        </w:tc>
        <w:tc>
          <w:tcPr>
            <w:tcW w:w="1140" w:type="dxa"/>
            <w:tcBorders>
              <w:tl2br w:val="nil"/>
              <w:tr2bl w:val="nil"/>
            </w:tcBorders>
            <w:noWrap w:val="0"/>
            <w:vAlign w:val="center"/>
          </w:tcPr>
          <w:p w14:paraId="357F69AA">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0.09</w:t>
            </w:r>
          </w:p>
        </w:tc>
        <w:tc>
          <w:tcPr>
            <w:tcW w:w="974" w:type="dxa"/>
            <w:tcBorders>
              <w:tl2br w:val="nil"/>
              <w:tr2bl w:val="nil"/>
            </w:tcBorders>
            <w:noWrap w:val="0"/>
            <w:vAlign w:val="center"/>
          </w:tcPr>
          <w:p w14:paraId="4F18BC51">
            <w:pPr>
              <w:jc w:val="center"/>
              <w:rPr>
                <w:rFonts w:hint="default" w:ascii="Times New Roman" w:hAnsi="Times New Roman" w:cs="Times New Roman"/>
                <w:color w:val="auto"/>
                <w:szCs w:val="21"/>
                <w:u w:val="none" w:color="auto"/>
              </w:rPr>
            </w:pPr>
            <w:r>
              <w:rPr>
                <w:rFonts w:hint="eastAsia" w:ascii="Times New Roman" w:hAnsi="Times New Roman" w:cs="Times New Roman"/>
                <w:bCs/>
                <w:color w:val="auto"/>
                <w:kern w:val="0"/>
                <w:szCs w:val="21"/>
                <w:u w:val="none" w:color="auto"/>
                <w:lang w:val="en-US" w:eastAsia="zh-CN"/>
              </w:rPr>
              <w:t>kg/h</w:t>
            </w:r>
          </w:p>
        </w:tc>
      </w:tr>
    </w:tbl>
    <w:p w14:paraId="3F67D8F7">
      <w:pPr>
        <w:pStyle w:val="20"/>
        <w:bidi w:val="0"/>
        <w:rPr>
          <w:rFonts w:hint="eastAsia"/>
          <w:color w:val="auto"/>
          <w:u w:val="none" w:color="auto"/>
          <w:lang w:eastAsia="zh-CN"/>
        </w:rPr>
      </w:pPr>
      <w:r>
        <w:rPr>
          <w:color w:val="auto"/>
          <w:u w:val="none" w:color="auto"/>
        </w:rPr>
        <w:t>根据其20</w:t>
      </w:r>
      <w:r>
        <w:rPr>
          <w:rFonts w:hint="eastAsia"/>
          <w:color w:val="auto"/>
          <w:u w:val="none" w:color="auto"/>
          <w:lang w:val="en-US" w:eastAsia="zh-CN"/>
        </w:rPr>
        <w:t>22</w:t>
      </w:r>
      <w:r>
        <w:rPr>
          <w:color w:val="auto"/>
          <w:u w:val="none" w:color="auto"/>
        </w:rPr>
        <w:t>年</w:t>
      </w:r>
      <w:r>
        <w:rPr>
          <w:rFonts w:hint="eastAsia"/>
          <w:color w:val="auto"/>
          <w:u w:val="none" w:color="auto"/>
        </w:rPr>
        <w:t>1</w:t>
      </w:r>
      <w:r>
        <w:rPr>
          <w:rFonts w:hint="eastAsia"/>
          <w:color w:val="auto"/>
          <w:u w:val="none" w:color="auto"/>
          <w:lang w:val="en-US" w:eastAsia="zh-CN"/>
        </w:rPr>
        <w:t>1</w:t>
      </w:r>
      <w:r>
        <w:rPr>
          <w:color w:val="auto"/>
          <w:u w:val="none" w:color="auto"/>
        </w:rPr>
        <w:t>月</w:t>
      </w:r>
      <w:r>
        <w:rPr>
          <w:rFonts w:hint="eastAsia"/>
          <w:color w:val="auto"/>
          <w:u w:val="none" w:color="auto"/>
          <w:lang w:val="en-US" w:eastAsia="zh-CN"/>
        </w:rPr>
        <w:t>23</w:t>
      </w:r>
      <w:r>
        <w:rPr>
          <w:color w:val="auto"/>
          <w:u w:val="none" w:color="auto"/>
        </w:rPr>
        <w:t>日~</w:t>
      </w:r>
      <w:r>
        <w:rPr>
          <w:rFonts w:hint="eastAsia"/>
          <w:color w:val="auto"/>
          <w:u w:val="none" w:color="auto"/>
          <w:lang w:val="en-US" w:eastAsia="zh-CN"/>
        </w:rPr>
        <w:t>24</w:t>
      </w:r>
      <w:r>
        <w:rPr>
          <w:color w:val="auto"/>
          <w:u w:val="none" w:color="auto"/>
        </w:rPr>
        <w:t>日的监测结果，该项目</w:t>
      </w:r>
      <w:r>
        <w:rPr>
          <w:rFonts w:hint="default" w:ascii="Times New Roman" w:hAnsi="Times New Roman" w:eastAsia="宋体" w:cs="Times New Roman"/>
          <w:color w:val="auto"/>
          <w:u w:val="none" w:color="auto"/>
          <w:lang w:val="en-US" w:eastAsia="zh-CN"/>
        </w:rPr>
        <w:t>年产13300吨PVC墙板、5700吨PVC装饰线条</w:t>
      </w:r>
      <w:r>
        <w:rPr>
          <w:color w:val="auto"/>
          <w:u w:val="none" w:color="auto"/>
        </w:rPr>
        <w:t>，</w:t>
      </w:r>
      <w:r>
        <w:rPr>
          <w:rFonts w:hint="eastAsia"/>
          <w:color w:val="auto"/>
          <w:u w:val="none" w:color="auto"/>
          <w:lang w:val="en-US" w:eastAsia="zh-CN"/>
        </w:rPr>
        <w:t>对应混合的粉状物料18621.68吨，</w:t>
      </w:r>
      <w:r>
        <w:rPr>
          <w:color w:val="auto"/>
          <w:u w:val="none" w:color="auto"/>
        </w:rPr>
        <w:t>年工作时间为</w:t>
      </w:r>
      <w:r>
        <w:rPr>
          <w:rFonts w:hint="eastAsia"/>
          <w:color w:val="auto"/>
          <w:u w:val="none" w:color="auto"/>
        </w:rPr>
        <w:t>2400</w:t>
      </w:r>
      <w:r>
        <w:rPr>
          <w:color w:val="auto"/>
          <w:u w:val="none" w:color="auto"/>
        </w:rPr>
        <w:t>h，</w:t>
      </w:r>
      <w:r>
        <w:rPr>
          <w:rFonts w:hint="eastAsia"/>
          <w:color w:val="auto"/>
          <w:u w:val="none" w:color="auto"/>
          <w:lang w:val="en-US" w:eastAsia="zh-CN"/>
        </w:rPr>
        <w:t>验收工况为75%，</w:t>
      </w:r>
      <w:r>
        <w:rPr>
          <w:rFonts w:hint="eastAsia"/>
          <w:color w:val="auto"/>
          <w:u w:val="none" w:color="auto"/>
        </w:rPr>
        <w:t>集气罩收集效率按</w:t>
      </w:r>
      <w:r>
        <w:rPr>
          <w:rFonts w:hint="eastAsia"/>
          <w:color w:val="auto"/>
          <w:u w:val="none" w:color="auto"/>
          <w:lang w:val="en-US" w:eastAsia="zh-CN"/>
        </w:rPr>
        <w:t>8</w:t>
      </w:r>
      <w:r>
        <w:rPr>
          <w:rFonts w:hint="eastAsia"/>
          <w:color w:val="auto"/>
          <w:u w:val="none" w:color="auto"/>
        </w:rPr>
        <w:t>0%计，</w:t>
      </w:r>
      <w:r>
        <w:rPr>
          <w:color w:val="auto"/>
          <w:u w:val="none" w:color="auto"/>
        </w:rPr>
        <w:t>通过计算可以得到</w:t>
      </w:r>
      <w:r>
        <w:rPr>
          <w:rFonts w:hint="eastAsia"/>
          <w:color w:val="auto"/>
          <w:u w:val="none" w:color="auto"/>
          <w:lang w:val="en-US" w:eastAsia="zh-CN"/>
        </w:rPr>
        <w:t>混合</w:t>
      </w:r>
      <w:r>
        <w:rPr>
          <w:color w:val="auto"/>
          <w:u w:val="none" w:color="auto"/>
        </w:rPr>
        <w:t>颗粒物的产污系数为</w:t>
      </w:r>
      <w:r>
        <w:rPr>
          <w:rFonts w:hint="eastAsia"/>
          <w:color w:val="auto"/>
          <w:u w:val="none" w:color="auto"/>
        </w:rPr>
        <w:t>0.</w:t>
      </w:r>
      <w:r>
        <w:rPr>
          <w:rFonts w:hint="eastAsia"/>
          <w:color w:val="auto"/>
          <w:u w:val="none" w:color="auto"/>
          <w:lang w:val="en-US" w:eastAsia="zh-CN"/>
        </w:rPr>
        <w:t>02</w:t>
      </w:r>
      <w:r>
        <w:rPr>
          <w:color w:val="auto"/>
          <w:u w:val="none" w:color="auto"/>
        </w:rPr>
        <w:t>kg/t-</w:t>
      </w:r>
      <w:r>
        <w:rPr>
          <w:rFonts w:hint="eastAsia"/>
          <w:color w:val="auto"/>
          <w:u w:val="none" w:color="auto"/>
          <w:lang w:val="en-US" w:eastAsia="zh-CN"/>
        </w:rPr>
        <w:t>物料</w:t>
      </w:r>
      <w:r>
        <w:rPr>
          <w:rFonts w:hint="eastAsia"/>
          <w:color w:val="auto"/>
          <w:u w:val="none" w:color="auto"/>
          <w:lang w:eastAsia="zh-CN"/>
        </w:rPr>
        <w:t>。</w:t>
      </w:r>
    </w:p>
    <w:p w14:paraId="408F9010">
      <w:pPr>
        <w:pStyle w:val="20"/>
        <w:bidi w:val="0"/>
        <w:rPr>
          <w:rFonts w:hint="default" w:ascii="Times New Roman" w:hAnsi="Times New Roman" w:eastAsia="宋体" w:cs="Times New Roman"/>
          <w:color w:val="auto"/>
          <w:u w:val="none" w:color="auto"/>
          <w:lang w:val="en-US" w:eastAsia="zh-CN"/>
        </w:rPr>
      </w:pPr>
      <w:r>
        <w:rPr>
          <w:rFonts w:hint="eastAsia"/>
          <w:color w:val="auto"/>
          <w:u w:val="none" w:color="auto"/>
          <w:lang w:val="en-US" w:eastAsia="zh-CN"/>
        </w:rPr>
        <w:t>本项目粉状物料为30934.873吨</w:t>
      </w:r>
      <w:r>
        <w:rPr>
          <w:rFonts w:hint="eastAsia" w:ascii="Times New Roman" w:hAnsi="Times New Roman" w:eastAsia="宋体" w:cs="Times New Roman"/>
          <w:color w:val="auto"/>
          <w:u w:val="none" w:color="auto"/>
          <w:lang w:val="en-US" w:eastAsia="zh-CN"/>
        </w:rPr>
        <w:t>，则混合工序</w:t>
      </w:r>
      <w:r>
        <w:rPr>
          <w:rFonts w:hint="default" w:ascii="Times New Roman" w:hAnsi="Times New Roman" w:eastAsia="宋体" w:cs="Times New Roman"/>
          <w:color w:val="auto"/>
          <w:u w:val="none" w:color="auto"/>
          <w:lang w:val="en-US" w:eastAsia="zh-CN"/>
        </w:rPr>
        <w:t>颗粒物产生量为</w:t>
      </w:r>
      <w:r>
        <w:rPr>
          <w:rFonts w:hint="eastAsia" w:ascii="Times New Roman" w:hAnsi="Times New Roman" w:eastAsia="宋体" w:cs="Times New Roman"/>
          <w:color w:val="auto"/>
          <w:u w:val="none" w:color="auto"/>
          <w:lang w:val="en-US" w:eastAsia="zh-CN"/>
        </w:rPr>
        <w:t>0.619</w:t>
      </w:r>
      <w:r>
        <w:rPr>
          <w:rFonts w:hint="default" w:ascii="Times New Roman" w:hAnsi="Times New Roman" w:eastAsia="宋体" w:cs="Times New Roman"/>
          <w:color w:val="auto"/>
          <w:u w:val="none" w:color="auto"/>
          <w:lang w:val="en-US" w:eastAsia="zh-CN"/>
        </w:rPr>
        <w:t>t/a，有组织的产生量为</w:t>
      </w:r>
      <w:r>
        <w:rPr>
          <w:rFonts w:hint="eastAsia" w:ascii="Times New Roman" w:hAnsi="Times New Roman" w:eastAsia="宋体" w:cs="Times New Roman"/>
          <w:color w:val="auto"/>
          <w:u w:val="none" w:color="auto"/>
          <w:lang w:val="en-US" w:eastAsia="zh-CN"/>
        </w:rPr>
        <w:t>0.557</w:t>
      </w:r>
      <w:r>
        <w:rPr>
          <w:rFonts w:hint="default" w:ascii="Times New Roman" w:hAnsi="Times New Roman" w:eastAsia="宋体" w:cs="Times New Roman"/>
          <w:color w:val="auto"/>
          <w:u w:val="none" w:color="auto"/>
          <w:lang w:val="en-US" w:eastAsia="zh-CN"/>
        </w:rPr>
        <w:t>t/a，有组织的排放量为0.</w:t>
      </w:r>
      <w:r>
        <w:rPr>
          <w:rFonts w:hint="eastAsia" w:ascii="Times New Roman" w:hAnsi="Times New Roman" w:eastAsia="宋体" w:cs="Times New Roman"/>
          <w:color w:val="auto"/>
          <w:u w:val="none" w:color="auto"/>
          <w:lang w:val="en-US" w:eastAsia="zh-CN"/>
        </w:rPr>
        <w:t>006</w:t>
      </w:r>
      <w:r>
        <w:rPr>
          <w:rFonts w:hint="default" w:ascii="Times New Roman" w:hAnsi="Times New Roman" w:eastAsia="宋体" w:cs="Times New Roman"/>
          <w:color w:val="auto"/>
          <w:u w:val="none" w:color="auto"/>
          <w:lang w:val="en-US" w:eastAsia="zh-CN"/>
        </w:rPr>
        <w:t>t/a，无组织的排放量为</w:t>
      </w:r>
      <w:r>
        <w:rPr>
          <w:rFonts w:hint="eastAsia" w:ascii="Times New Roman" w:hAnsi="Times New Roman" w:eastAsia="宋体" w:cs="Times New Roman"/>
          <w:color w:val="auto"/>
          <w:u w:val="none" w:color="auto"/>
          <w:lang w:val="en-US" w:eastAsia="zh-CN"/>
        </w:rPr>
        <w:t>0.062</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013</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w:t>
      </w:r>
    </w:p>
    <w:p w14:paraId="6DAB1C7D">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本项目破碎</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磨粉、混料</w:t>
      </w:r>
      <w:r>
        <w:rPr>
          <w:rFonts w:hint="eastAsia" w:ascii="Times New Roman" w:hAnsi="Times New Roman" w:eastAsia="宋体" w:cs="Times New Roman"/>
          <w:color w:val="auto"/>
          <w:u w:val="none" w:color="auto"/>
          <w:lang w:val="en-US" w:eastAsia="zh-CN"/>
        </w:rPr>
        <w:t>、辅料投料</w:t>
      </w:r>
      <w:r>
        <w:rPr>
          <w:rFonts w:hint="default" w:ascii="Times New Roman" w:hAnsi="Times New Roman" w:eastAsia="宋体" w:cs="Times New Roman"/>
          <w:color w:val="auto"/>
          <w:u w:val="none" w:color="auto"/>
          <w:lang w:val="en-US" w:eastAsia="zh-CN"/>
        </w:rPr>
        <w:t>工序产生的粉尘采用集气罩统一收集，集气效率不低于90%，总风机风量为20000m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/h，处理设施处理效率按99%计，</w:t>
      </w:r>
      <w:r>
        <w:rPr>
          <w:rFonts w:hint="eastAsia" w:ascii="Times New Roman" w:hAnsi="Times New Roman" w:eastAsia="宋体" w:cs="Times New Roman"/>
          <w:color w:val="auto"/>
          <w:u w:val="none" w:color="auto"/>
          <w:lang w:val="en-US" w:eastAsia="zh-CN"/>
        </w:rPr>
        <w:t>根据上述计算，</w:t>
      </w:r>
      <w:r>
        <w:rPr>
          <w:rFonts w:hint="default" w:ascii="Times New Roman" w:hAnsi="Times New Roman" w:eastAsia="宋体" w:cs="Times New Roman"/>
          <w:color w:val="auto"/>
          <w:u w:val="none" w:color="auto"/>
          <w:lang w:val="en-US" w:eastAsia="zh-CN"/>
        </w:rPr>
        <w:t>破碎</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磨粉、混料</w:t>
      </w:r>
      <w:r>
        <w:rPr>
          <w:rFonts w:hint="eastAsia" w:ascii="Times New Roman" w:hAnsi="Times New Roman" w:eastAsia="宋体" w:cs="Times New Roman"/>
          <w:color w:val="auto"/>
          <w:u w:val="none" w:color="auto"/>
          <w:lang w:val="en-US" w:eastAsia="zh-CN"/>
        </w:rPr>
        <w:t>、辅料投料</w:t>
      </w:r>
      <w:r>
        <w:rPr>
          <w:rFonts w:hint="default" w:ascii="Times New Roman" w:hAnsi="Times New Roman" w:eastAsia="宋体" w:cs="Times New Roman"/>
          <w:color w:val="auto"/>
          <w:u w:val="none" w:color="auto"/>
          <w:lang w:val="en-US" w:eastAsia="zh-CN"/>
        </w:rPr>
        <w:t>工序颗粒物产生量为</w:t>
      </w:r>
      <w:r>
        <w:rPr>
          <w:rFonts w:hint="eastAsia" w:ascii="Times New Roman" w:hAnsi="Times New Roman" w:eastAsia="宋体" w:cs="Times New Roman"/>
          <w:color w:val="auto"/>
          <w:u w:val="none" w:color="auto"/>
          <w:lang w:val="en-US" w:eastAsia="zh-CN"/>
        </w:rPr>
        <w:t>7.11</w:t>
      </w:r>
      <w:r>
        <w:rPr>
          <w:rFonts w:hint="default" w:ascii="Times New Roman" w:hAnsi="Times New Roman" w:eastAsia="宋体" w:cs="Times New Roman"/>
          <w:color w:val="auto"/>
          <w:u w:val="none" w:color="auto"/>
          <w:lang w:val="en-US" w:eastAsia="zh-CN"/>
        </w:rPr>
        <w:t>t/a，有组织的产生量为</w:t>
      </w:r>
      <w:r>
        <w:rPr>
          <w:rFonts w:hint="eastAsia" w:ascii="Times New Roman" w:hAnsi="Times New Roman" w:eastAsia="宋体" w:cs="Times New Roman"/>
          <w:color w:val="auto"/>
          <w:u w:val="none" w:color="auto"/>
          <w:lang w:val="en-US" w:eastAsia="zh-CN"/>
        </w:rPr>
        <w:t>6.399</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1.726</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86.277</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），有组织的排放量为0.</w:t>
      </w:r>
      <w:r>
        <w:rPr>
          <w:rFonts w:hint="eastAsia" w:ascii="Times New Roman" w:hAnsi="Times New Roman" w:eastAsia="宋体" w:cs="Times New Roman"/>
          <w:color w:val="auto"/>
          <w:u w:val="none" w:color="auto"/>
          <w:lang w:val="en-US" w:eastAsia="zh-CN"/>
        </w:rPr>
        <w:t>064</w:t>
      </w:r>
      <w:r>
        <w:rPr>
          <w:rFonts w:hint="default" w:ascii="Times New Roman" w:hAnsi="Times New Roman" w:eastAsia="宋体" w:cs="Times New Roman"/>
          <w:color w:val="auto"/>
          <w:u w:val="none" w:color="auto"/>
          <w:lang w:val="en-US" w:eastAsia="zh-CN"/>
        </w:rPr>
        <w:t>t/a（0.0</w:t>
      </w:r>
      <w:r>
        <w:rPr>
          <w:rFonts w:hint="eastAsia" w:ascii="Times New Roman" w:hAnsi="Times New Roman" w:eastAsia="宋体" w:cs="Times New Roman"/>
          <w:color w:val="auto"/>
          <w:u w:val="none" w:color="auto"/>
          <w:lang w:val="en-US" w:eastAsia="zh-CN"/>
        </w:rPr>
        <w:t>17</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0.863</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），无组织的排放量为</w:t>
      </w:r>
      <w:r>
        <w:rPr>
          <w:rFonts w:hint="eastAsia" w:ascii="Times New Roman" w:hAnsi="Times New Roman" w:eastAsia="宋体" w:cs="Times New Roman"/>
          <w:color w:val="auto"/>
          <w:u w:val="none" w:color="auto"/>
          <w:lang w:val="en-US" w:eastAsia="zh-CN"/>
        </w:rPr>
        <w:t>0.711</w:t>
      </w:r>
      <w:r>
        <w:rPr>
          <w:rFonts w:hint="default" w:ascii="Times New Roman" w:hAnsi="Times New Roman" w:eastAsia="宋体" w:cs="Times New Roman"/>
          <w:color w:val="auto"/>
          <w:u w:val="none" w:color="auto"/>
          <w:lang w:val="en-US" w:eastAsia="zh-CN"/>
        </w:rPr>
        <w:t>t/a（0.</w:t>
      </w:r>
      <w:r>
        <w:rPr>
          <w:rFonts w:hint="eastAsia" w:ascii="Times New Roman" w:hAnsi="Times New Roman" w:eastAsia="宋体" w:cs="Times New Roman"/>
          <w:color w:val="auto"/>
          <w:u w:val="none" w:color="auto"/>
          <w:lang w:val="en-US" w:eastAsia="zh-CN"/>
        </w:rPr>
        <w:t>192</w:t>
      </w:r>
      <w:r>
        <w:rPr>
          <w:rFonts w:hint="default" w:ascii="Times New Roman" w:hAnsi="Times New Roman" w:eastAsia="宋体" w:cs="Times New Roman"/>
          <w:color w:val="auto"/>
          <w:u w:val="none" w:color="auto"/>
          <w:lang w:val="en-US" w:eastAsia="zh-CN"/>
        </w:rPr>
        <w:t>kg/h）。</w:t>
      </w:r>
    </w:p>
    <w:p w14:paraId="5896A27B">
      <w:pPr>
        <w:pStyle w:val="2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sz w:val="24"/>
          <w:szCs w:val="24"/>
          <w:u w:val="none" w:color="auto"/>
          <w:lang w:val="en-US" w:eastAsia="zh-CN"/>
        </w:rPr>
        <w:t>（2）1#厂房</w:t>
      </w:r>
      <w:r>
        <w:rPr>
          <w:rFonts w:hint="default" w:ascii="Times New Roman" w:hAnsi="Times New Roman" w:eastAsia="宋体" w:cs="Times New Roman"/>
          <w:color w:val="auto"/>
          <w:sz w:val="24"/>
          <w:szCs w:val="24"/>
          <w:u w:val="none" w:color="auto"/>
          <w:lang w:val="en-US" w:eastAsia="zh-CN"/>
        </w:rPr>
        <w:t>挤出</w:t>
      </w:r>
      <w:r>
        <w:rPr>
          <w:rFonts w:hint="eastAsia" w:ascii="Times New Roman" w:hAnsi="Times New Roman" w:eastAsia="宋体" w:cs="Times New Roman"/>
          <w:color w:val="auto"/>
          <w:sz w:val="24"/>
          <w:szCs w:val="24"/>
          <w:u w:val="none" w:color="auto"/>
          <w:lang w:val="en-US" w:eastAsia="zh-CN"/>
        </w:rPr>
        <w:t>、覆膜</w:t>
      </w:r>
      <w:r>
        <w:rPr>
          <w:rFonts w:hint="default" w:ascii="Times New Roman" w:hAnsi="Times New Roman" w:eastAsia="宋体" w:cs="Times New Roman"/>
          <w:color w:val="auto"/>
          <w:u w:val="none" w:color="auto"/>
          <w:lang w:val="en-US" w:eastAsia="zh-CN"/>
        </w:rPr>
        <w:t>废气</w:t>
      </w:r>
    </w:p>
    <w:p w14:paraId="49DDF8F0">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PVC树脂在高温状态下（180~200℃）由于分子间的剪切挤压下断链、分解、降解过程中产生游离单体。此外，塑料在加温过程中将产生塑料颗粒烟尘及少量的挥发性有机物，同时产生少量的HCl。参照《湖南铭腾新材料有限公司年产13300吨PVC墙板、5700吨PVC装饰线条建设项目竣工环境保护验收报告》中的验收监测数据，详见下表。</w:t>
      </w:r>
    </w:p>
    <w:p w14:paraId="4BE636CF">
      <w:pPr>
        <w:pStyle w:val="28"/>
        <w:rPr>
          <w:rFonts w:hint="default" w:ascii="Times New Roman" w:hAnsi="Times New Roman" w:eastAsia="宋体" w:cs="Times New Roman"/>
          <w:b/>
          <w:bCs/>
          <w:color w:val="auto"/>
          <w:kern w:val="2"/>
          <w:sz w:val="21"/>
          <w:szCs w:val="21"/>
          <w:u w:val="none" w:color="auto"/>
          <w:lang w:val="en-US" w:eastAsia="zh-CN" w:bidi="ar-SA"/>
        </w:rPr>
      </w:pPr>
      <w:r>
        <w:rPr>
          <w:rFonts w:hint="default" w:ascii="Times New Roman" w:hAnsi="Times New Roman" w:eastAsia="宋体" w:cs="Times New Roman"/>
          <w:b/>
          <w:bCs/>
          <w:color w:val="auto"/>
          <w:kern w:val="2"/>
          <w:sz w:val="21"/>
          <w:szCs w:val="21"/>
          <w:u w:val="none" w:color="auto"/>
          <w:lang w:val="en-US" w:eastAsia="zh-CN" w:bidi="ar-SA"/>
        </w:rPr>
        <w:t>表</w:t>
      </w:r>
      <w:r>
        <w:rPr>
          <w:rFonts w:hint="eastAsia" w:ascii="Times New Roman" w:hAnsi="Times New Roman" w:eastAsia="宋体" w:cs="Times New Roman"/>
          <w:b/>
          <w:bCs/>
          <w:color w:val="auto"/>
          <w:kern w:val="2"/>
          <w:sz w:val="21"/>
          <w:szCs w:val="21"/>
          <w:u w:val="none" w:color="auto"/>
          <w:lang w:val="en-US" w:eastAsia="zh-CN" w:bidi="ar-SA"/>
        </w:rPr>
        <w:t>4.4</w:t>
      </w:r>
      <w:r>
        <w:rPr>
          <w:rFonts w:hint="default" w:ascii="Times New Roman" w:hAnsi="Times New Roman" w:eastAsia="宋体" w:cs="Times New Roman"/>
          <w:b/>
          <w:bCs/>
          <w:color w:val="auto"/>
          <w:kern w:val="2"/>
          <w:sz w:val="21"/>
          <w:szCs w:val="21"/>
          <w:u w:val="none" w:color="auto"/>
          <w:lang w:val="en-US" w:eastAsia="zh-CN" w:bidi="ar-SA"/>
        </w:rPr>
        <w:t>-</w:t>
      </w:r>
      <w:r>
        <w:rPr>
          <w:rFonts w:hint="eastAsia" w:ascii="Times New Roman" w:hAnsi="Times New Roman" w:eastAsia="宋体" w:cs="Times New Roman"/>
          <w:b/>
          <w:bCs/>
          <w:color w:val="auto"/>
          <w:kern w:val="2"/>
          <w:sz w:val="21"/>
          <w:szCs w:val="21"/>
          <w:u w:val="none" w:color="auto"/>
          <w:lang w:val="en-US" w:eastAsia="zh-CN" w:bidi="ar-SA"/>
        </w:rPr>
        <w:t>3</w:t>
      </w:r>
      <w:r>
        <w:rPr>
          <w:rFonts w:hint="default" w:ascii="Times New Roman" w:hAnsi="Times New Roman" w:eastAsia="宋体" w:cs="Times New Roman"/>
          <w:b/>
          <w:bCs/>
          <w:color w:val="auto"/>
          <w:kern w:val="2"/>
          <w:sz w:val="21"/>
          <w:szCs w:val="21"/>
          <w:u w:val="none" w:color="auto"/>
          <w:lang w:val="en-US" w:eastAsia="zh-CN" w:bidi="ar-SA"/>
        </w:rPr>
        <w:t xml:space="preserve"> </w:t>
      </w:r>
      <w:r>
        <w:rPr>
          <w:rFonts w:hint="eastAsia"/>
          <w:color w:val="auto"/>
          <w:sz w:val="21"/>
          <w:szCs w:val="21"/>
          <w:u w:val="none" w:color="auto"/>
          <w:lang w:val="en-US" w:eastAsia="zh-CN"/>
        </w:rPr>
        <w:t>类比项目有机废气排气筒监测数据</w:t>
      </w:r>
    </w:p>
    <w:tbl>
      <w:tblPr>
        <w:tblStyle w:val="17"/>
        <w:tblW w:w="851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161"/>
        <w:gridCol w:w="1207"/>
        <w:gridCol w:w="1209"/>
        <w:gridCol w:w="2438"/>
        <w:gridCol w:w="1217"/>
      </w:tblGrid>
      <w:tr w14:paraId="5CC987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tcBorders>
              <w:tl2br w:val="nil"/>
              <w:tr2bl w:val="nil"/>
            </w:tcBorders>
            <w:noWrap w:val="0"/>
            <w:vAlign w:val="center"/>
          </w:tcPr>
          <w:p w14:paraId="352EA217">
            <w:pPr>
              <w:pStyle w:val="24"/>
              <w:bidi w:val="0"/>
              <w:jc w:val="center"/>
              <w:rPr>
                <w:rFonts w:hint="eastAsia" w:eastAsia="宋体"/>
                <w:color w:val="auto"/>
                <w:u w:val="none" w:color="auto"/>
                <w:lang w:eastAsia="zh-CN"/>
              </w:rPr>
            </w:pPr>
            <w:r>
              <w:rPr>
                <w:rFonts w:hint="eastAsia"/>
                <w:color w:val="auto"/>
                <w:u w:val="none" w:color="auto"/>
                <w:lang w:eastAsia="zh-CN"/>
              </w:rPr>
              <w:t>废气治理设施</w:t>
            </w:r>
          </w:p>
        </w:tc>
        <w:tc>
          <w:tcPr>
            <w:tcW w:w="1161" w:type="dxa"/>
            <w:tcBorders>
              <w:tl2br w:val="nil"/>
              <w:tr2bl w:val="nil"/>
            </w:tcBorders>
            <w:noWrap w:val="0"/>
            <w:vAlign w:val="center"/>
          </w:tcPr>
          <w:p w14:paraId="376575D1">
            <w:pPr>
              <w:pStyle w:val="24"/>
              <w:bidi w:val="0"/>
              <w:jc w:val="center"/>
              <w:rPr>
                <w:rFonts w:hint="eastAsia" w:eastAsia="宋体"/>
                <w:color w:val="auto"/>
                <w:u w:val="none" w:color="auto"/>
                <w:lang w:eastAsia="zh-CN"/>
              </w:rPr>
            </w:pPr>
            <w:r>
              <w:rPr>
                <w:rFonts w:hint="eastAsia"/>
                <w:color w:val="auto"/>
                <w:u w:val="none" w:color="auto"/>
                <w:lang w:eastAsia="zh-CN"/>
              </w:rPr>
              <w:t>监测日期</w:t>
            </w:r>
          </w:p>
        </w:tc>
        <w:tc>
          <w:tcPr>
            <w:tcW w:w="1207" w:type="dxa"/>
            <w:tcBorders>
              <w:tl2br w:val="nil"/>
              <w:tr2bl w:val="nil"/>
            </w:tcBorders>
            <w:noWrap w:val="0"/>
            <w:vAlign w:val="center"/>
          </w:tcPr>
          <w:p w14:paraId="1D453D13">
            <w:pPr>
              <w:pStyle w:val="24"/>
              <w:bidi w:val="0"/>
              <w:jc w:val="center"/>
              <w:rPr>
                <w:rFonts w:hint="eastAsia" w:eastAsia="宋体"/>
                <w:color w:val="auto"/>
                <w:u w:val="none" w:color="auto"/>
                <w:lang w:eastAsia="zh-CN"/>
              </w:rPr>
            </w:pPr>
            <w:r>
              <w:rPr>
                <w:rFonts w:hint="eastAsia"/>
                <w:color w:val="auto"/>
                <w:u w:val="none" w:color="auto"/>
                <w:lang w:eastAsia="zh-CN"/>
              </w:rPr>
              <w:t>监测点位</w:t>
            </w:r>
          </w:p>
        </w:tc>
        <w:tc>
          <w:tcPr>
            <w:tcW w:w="1209" w:type="dxa"/>
            <w:tcBorders>
              <w:tl2br w:val="nil"/>
              <w:tr2bl w:val="nil"/>
            </w:tcBorders>
            <w:noWrap w:val="0"/>
            <w:vAlign w:val="center"/>
          </w:tcPr>
          <w:p w14:paraId="00AD0660">
            <w:pPr>
              <w:pStyle w:val="24"/>
              <w:bidi w:val="0"/>
              <w:jc w:val="center"/>
              <w:rPr>
                <w:rFonts w:hint="eastAsia" w:eastAsia="宋体"/>
                <w:color w:val="auto"/>
                <w:u w:val="none" w:color="auto"/>
                <w:lang w:eastAsia="zh-CN"/>
              </w:rPr>
            </w:pPr>
            <w:r>
              <w:rPr>
                <w:rFonts w:hint="eastAsia"/>
                <w:color w:val="auto"/>
                <w:u w:val="none" w:color="auto"/>
                <w:lang w:eastAsia="zh-CN"/>
              </w:rPr>
              <w:t>监测指标</w:t>
            </w:r>
          </w:p>
        </w:tc>
        <w:tc>
          <w:tcPr>
            <w:tcW w:w="2438" w:type="dxa"/>
            <w:tcBorders>
              <w:tl2br w:val="nil"/>
              <w:tr2bl w:val="nil"/>
            </w:tcBorders>
            <w:noWrap w:val="0"/>
            <w:vAlign w:val="center"/>
          </w:tcPr>
          <w:p w14:paraId="72C614E9">
            <w:pPr>
              <w:pStyle w:val="24"/>
              <w:bidi w:val="0"/>
              <w:jc w:val="center"/>
              <w:rPr>
                <w:rFonts w:hint="eastAsia"/>
                <w:color w:val="auto"/>
                <w:u w:val="none" w:color="auto"/>
                <w:lang w:eastAsia="zh-CN"/>
              </w:rPr>
            </w:pPr>
            <w:r>
              <w:rPr>
                <w:rFonts w:hint="eastAsia"/>
                <w:color w:val="auto"/>
                <w:u w:val="none" w:color="auto"/>
                <w:lang w:eastAsia="zh-CN"/>
              </w:rPr>
              <w:t>排放浓度（</w:t>
            </w:r>
            <w:r>
              <w:rPr>
                <w:rFonts w:hint="eastAsia"/>
                <w:color w:val="auto"/>
                <w:u w:val="none" w:color="auto"/>
                <w:lang w:val="en-US" w:eastAsia="zh-CN"/>
              </w:rPr>
              <w:t>mg/m</w:t>
            </w:r>
            <w:r>
              <w:rPr>
                <w:rFonts w:hint="eastAsia"/>
                <w:color w:val="auto"/>
                <w:u w:val="none" w:color="auto"/>
                <w:vertAlign w:val="superscript"/>
                <w:lang w:val="en-US" w:eastAsia="zh-CN"/>
              </w:rPr>
              <w:t>3</w:t>
            </w:r>
            <w:r>
              <w:rPr>
                <w:rFonts w:hint="eastAsia"/>
                <w:color w:val="auto"/>
                <w:u w:val="none" w:color="auto"/>
                <w:lang w:eastAsia="zh-CN"/>
              </w:rPr>
              <w:t>）</w:t>
            </w:r>
          </w:p>
        </w:tc>
        <w:tc>
          <w:tcPr>
            <w:tcW w:w="1217" w:type="dxa"/>
            <w:tcBorders>
              <w:tl2br w:val="nil"/>
              <w:tr2bl w:val="nil"/>
            </w:tcBorders>
            <w:noWrap w:val="0"/>
            <w:vAlign w:val="center"/>
          </w:tcPr>
          <w:p w14:paraId="0D67FFA1">
            <w:pPr>
              <w:pStyle w:val="24"/>
              <w:bidi w:val="0"/>
              <w:jc w:val="center"/>
              <w:rPr>
                <w:color w:val="auto"/>
                <w:u w:val="none" w:color="auto"/>
              </w:rPr>
            </w:pPr>
            <w:r>
              <w:rPr>
                <w:rFonts w:hint="eastAsia"/>
                <w:color w:val="auto"/>
                <w:u w:val="none" w:color="auto"/>
                <w:lang w:eastAsia="zh-CN"/>
              </w:rPr>
              <w:t>排放速率（</w:t>
            </w:r>
            <w:r>
              <w:rPr>
                <w:rFonts w:hint="eastAsia"/>
                <w:color w:val="auto"/>
                <w:u w:val="none" w:color="auto"/>
                <w:lang w:val="en-US" w:eastAsia="zh-CN"/>
              </w:rPr>
              <w:t>kg/h</w:t>
            </w:r>
            <w:r>
              <w:rPr>
                <w:rFonts w:hint="eastAsia"/>
                <w:color w:val="auto"/>
                <w:u w:val="none" w:color="auto"/>
                <w:lang w:eastAsia="zh-CN"/>
              </w:rPr>
              <w:t>）</w:t>
            </w:r>
          </w:p>
        </w:tc>
      </w:tr>
      <w:tr w14:paraId="2B066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restart"/>
            <w:tcBorders>
              <w:tl2br w:val="nil"/>
              <w:tr2bl w:val="nil"/>
            </w:tcBorders>
            <w:noWrap w:val="0"/>
            <w:vAlign w:val="center"/>
          </w:tcPr>
          <w:p w14:paraId="5F2DF19B">
            <w:pPr>
              <w:pStyle w:val="24"/>
              <w:bidi w:val="0"/>
              <w:jc w:val="center"/>
              <w:rPr>
                <w:rFonts w:hint="default" w:eastAsia="宋体"/>
                <w:color w:val="auto"/>
                <w:u w:val="none" w:color="auto"/>
                <w:lang w:val="en-US" w:eastAsia="zh-CN"/>
              </w:rPr>
            </w:pPr>
            <w:r>
              <w:rPr>
                <w:rFonts w:hint="eastAsia"/>
                <w:color w:val="auto"/>
                <w:u w:val="none" w:color="auto"/>
                <w:lang w:val="en-US" w:eastAsia="zh-CN"/>
              </w:rPr>
              <w:t>UV光解+活性炭吸附</w:t>
            </w:r>
          </w:p>
        </w:tc>
        <w:tc>
          <w:tcPr>
            <w:tcW w:w="1161" w:type="dxa"/>
            <w:vMerge w:val="restart"/>
            <w:tcBorders>
              <w:tl2br w:val="nil"/>
              <w:tr2bl w:val="nil"/>
            </w:tcBorders>
            <w:noWrap w:val="0"/>
            <w:vAlign w:val="center"/>
          </w:tcPr>
          <w:p w14:paraId="1323C5ED">
            <w:pPr>
              <w:pStyle w:val="24"/>
              <w:bidi w:val="0"/>
              <w:jc w:val="center"/>
              <w:rPr>
                <w:color w:val="auto"/>
                <w:u w:val="none" w:color="auto"/>
              </w:rPr>
            </w:pPr>
            <w:r>
              <w:rPr>
                <w:rFonts w:hint="eastAsia"/>
                <w:color w:val="auto"/>
                <w:u w:val="none" w:color="auto"/>
                <w:lang w:val="en-US" w:eastAsia="zh-CN"/>
              </w:rPr>
              <w:t>2022.11.23</w:t>
            </w:r>
          </w:p>
        </w:tc>
        <w:tc>
          <w:tcPr>
            <w:tcW w:w="1207" w:type="dxa"/>
            <w:tcBorders>
              <w:tl2br w:val="nil"/>
              <w:tr2bl w:val="nil"/>
            </w:tcBorders>
            <w:noWrap w:val="0"/>
            <w:vAlign w:val="center"/>
          </w:tcPr>
          <w:p w14:paraId="2F0CB697">
            <w:pPr>
              <w:pStyle w:val="24"/>
              <w:bidi w:val="0"/>
              <w:jc w:val="center"/>
              <w:rPr>
                <w:rFonts w:hint="eastAsia" w:ascii="Times New Roman" w:hAnsi="Times New Roman" w:eastAsia="宋体" w:cs="Times New Roman"/>
                <w:color w:val="auto"/>
                <w:kern w:val="2"/>
                <w:sz w:val="21"/>
                <w:szCs w:val="24"/>
                <w:u w:val="none" w:color="auto"/>
                <w:lang w:val="en-US" w:eastAsia="zh-CN" w:bidi="ar-SA"/>
              </w:rPr>
            </w:pPr>
            <w:r>
              <w:rPr>
                <w:rFonts w:hint="eastAsia"/>
                <w:color w:val="auto"/>
                <w:u w:val="none" w:color="auto"/>
                <w:lang w:eastAsia="zh-CN"/>
              </w:rPr>
              <w:t>进口</w:t>
            </w:r>
          </w:p>
        </w:tc>
        <w:tc>
          <w:tcPr>
            <w:tcW w:w="1209" w:type="dxa"/>
            <w:vMerge w:val="restart"/>
            <w:tcBorders>
              <w:tl2br w:val="nil"/>
              <w:tr2bl w:val="nil"/>
            </w:tcBorders>
            <w:noWrap w:val="0"/>
            <w:vAlign w:val="center"/>
          </w:tcPr>
          <w:p w14:paraId="73057DE8">
            <w:pPr>
              <w:pStyle w:val="24"/>
              <w:bidi w:val="0"/>
              <w:jc w:val="center"/>
              <w:rPr>
                <w:color w:val="auto"/>
                <w:u w:val="none" w:color="auto"/>
              </w:rPr>
            </w:pPr>
            <w:r>
              <w:rPr>
                <w:rFonts w:hint="eastAsia"/>
                <w:color w:val="auto"/>
                <w:u w:val="none" w:color="auto"/>
              </w:rPr>
              <w:t>VOCs</w:t>
            </w:r>
          </w:p>
        </w:tc>
        <w:tc>
          <w:tcPr>
            <w:tcW w:w="2438" w:type="dxa"/>
            <w:tcBorders>
              <w:tl2br w:val="nil"/>
              <w:tr2bl w:val="nil"/>
            </w:tcBorders>
            <w:noWrap w:val="0"/>
            <w:vAlign w:val="center"/>
          </w:tcPr>
          <w:p w14:paraId="640F3974">
            <w:pPr>
              <w:pStyle w:val="24"/>
              <w:bidi w:val="0"/>
              <w:jc w:val="center"/>
              <w:rPr>
                <w:rFonts w:hint="default"/>
                <w:color w:val="auto"/>
                <w:u w:val="none" w:color="auto"/>
                <w:lang w:val="en-US" w:eastAsia="zh-CN"/>
              </w:rPr>
            </w:pPr>
            <w:r>
              <w:rPr>
                <w:rFonts w:hint="eastAsia"/>
                <w:color w:val="auto"/>
                <w:u w:val="none" w:color="auto"/>
                <w:lang w:val="en-US" w:eastAsia="zh-CN"/>
              </w:rPr>
              <w:t>33.10</w:t>
            </w:r>
          </w:p>
        </w:tc>
        <w:tc>
          <w:tcPr>
            <w:tcW w:w="1217" w:type="dxa"/>
            <w:tcBorders>
              <w:tl2br w:val="nil"/>
              <w:tr2bl w:val="nil"/>
            </w:tcBorders>
            <w:noWrap w:val="0"/>
            <w:vAlign w:val="center"/>
          </w:tcPr>
          <w:p w14:paraId="58159137">
            <w:pPr>
              <w:pStyle w:val="24"/>
              <w:bidi w:val="0"/>
              <w:jc w:val="center"/>
              <w:rPr>
                <w:rFonts w:hint="default"/>
                <w:color w:val="auto"/>
                <w:u w:val="none" w:color="auto"/>
                <w:lang w:val="en-US" w:eastAsia="zh-CN"/>
              </w:rPr>
            </w:pPr>
            <w:r>
              <w:rPr>
                <w:rFonts w:hint="eastAsia"/>
                <w:color w:val="auto"/>
                <w:u w:val="none" w:color="auto"/>
                <w:lang w:val="en-US" w:eastAsia="zh-CN"/>
              </w:rPr>
              <w:t>0.30</w:t>
            </w:r>
          </w:p>
        </w:tc>
      </w:tr>
      <w:tr w14:paraId="3E92E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noWrap w:val="0"/>
            <w:vAlign w:val="center"/>
          </w:tcPr>
          <w:p w14:paraId="58C67494">
            <w:pPr>
              <w:pStyle w:val="24"/>
              <w:bidi w:val="0"/>
              <w:jc w:val="center"/>
              <w:rPr>
                <w:color w:val="auto"/>
                <w:u w:val="none" w:color="auto"/>
              </w:rPr>
            </w:pPr>
          </w:p>
        </w:tc>
        <w:tc>
          <w:tcPr>
            <w:tcW w:w="1161" w:type="dxa"/>
            <w:vMerge w:val="continue"/>
            <w:tcBorders>
              <w:tl2br w:val="nil"/>
              <w:tr2bl w:val="nil"/>
            </w:tcBorders>
            <w:noWrap w:val="0"/>
            <w:vAlign w:val="center"/>
          </w:tcPr>
          <w:p w14:paraId="50225697">
            <w:pPr>
              <w:pStyle w:val="24"/>
              <w:bidi w:val="0"/>
              <w:jc w:val="center"/>
              <w:rPr>
                <w:color w:val="auto"/>
                <w:u w:val="none" w:color="auto"/>
              </w:rPr>
            </w:pPr>
          </w:p>
        </w:tc>
        <w:tc>
          <w:tcPr>
            <w:tcW w:w="1207" w:type="dxa"/>
            <w:tcBorders>
              <w:tl2br w:val="nil"/>
              <w:tr2bl w:val="nil"/>
            </w:tcBorders>
            <w:noWrap w:val="0"/>
            <w:vAlign w:val="center"/>
          </w:tcPr>
          <w:p w14:paraId="6EA26822">
            <w:pPr>
              <w:pStyle w:val="24"/>
              <w:bidi w:val="0"/>
              <w:jc w:val="center"/>
              <w:rPr>
                <w:rFonts w:hint="eastAsia" w:ascii="Times New Roman" w:hAnsi="Times New Roman" w:eastAsia="宋体" w:cs="Times New Roman"/>
                <w:color w:val="auto"/>
                <w:kern w:val="2"/>
                <w:sz w:val="21"/>
                <w:szCs w:val="24"/>
                <w:u w:val="none" w:color="auto"/>
                <w:lang w:val="en-US" w:eastAsia="zh-CN" w:bidi="ar-SA"/>
              </w:rPr>
            </w:pPr>
            <w:r>
              <w:rPr>
                <w:rFonts w:hint="eastAsia"/>
                <w:color w:val="auto"/>
                <w:u w:val="none" w:color="auto"/>
                <w:lang w:eastAsia="zh-CN"/>
              </w:rPr>
              <w:t>出口</w:t>
            </w:r>
          </w:p>
        </w:tc>
        <w:tc>
          <w:tcPr>
            <w:tcW w:w="1209" w:type="dxa"/>
            <w:vMerge w:val="continue"/>
            <w:tcBorders>
              <w:tl2br w:val="nil"/>
              <w:tr2bl w:val="nil"/>
            </w:tcBorders>
            <w:noWrap w:val="0"/>
            <w:vAlign w:val="center"/>
          </w:tcPr>
          <w:p w14:paraId="6862D02C">
            <w:pPr>
              <w:pStyle w:val="24"/>
              <w:bidi w:val="0"/>
              <w:jc w:val="center"/>
              <w:rPr>
                <w:color w:val="auto"/>
                <w:u w:val="none" w:color="auto"/>
              </w:rPr>
            </w:pPr>
          </w:p>
        </w:tc>
        <w:tc>
          <w:tcPr>
            <w:tcW w:w="2438" w:type="dxa"/>
            <w:tcBorders>
              <w:tl2br w:val="nil"/>
              <w:tr2bl w:val="nil"/>
            </w:tcBorders>
            <w:noWrap w:val="0"/>
            <w:vAlign w:val="center"/>
          </w:tcPr>
          <w:p w14:paraId="0E8F3633">
            <w:pPr>
              <w:pStyle w:val="24"/>
              <w:bidi w:val="0"/>
              <w:jc w:val="center"/>
              <w:rPr>
                <w:rFonts w:hint="default"/>
                <w:color w:val="auto"/>
                <w:u w:val="none" w:color="auto"/>
                <w:lang w:val="en-US" w:eastAsia="zh-CN"/>
              </w:rPr>
            </w:pPr>
            <w:r>
              <w:rPr>
                <w:rFonts w:hint="eastAsia"/>
                <w:color w:val="auto"/>
                <w:u w:val="none" w:color="auto"/>
                <w:lang w:val="en-US" w:eastAsia="zh-CN"/>
              </w:rPr>
              <w:t>6.85</w:t>
            </w:r>
          </w:p>
        </w:tc>
        <w:tc>
          <w:tcPr>
            <w:tcW w:w="1217" w:type="dxa"/>
            <w:tcBorders>
              <w:tl2br w:val="nil"/>
              <w:tr2bl w:val="nil"/>
            </w:tcBorders>
            <w:noWrap w:val="0"/>
            <w:vAlign w:val="center"/>
          </w:tcPr>
          <w:p w14:paraId="57E13BC0">
            <w:pPr>
              <w:pStyle w:val="24"/>
              <w:bidi w:val="0"/>
              <w:jc w:val="center"/>
              <w:rPr>
                <w:rFonts w:hint="default"/>
                <w:color w:val="auto"/>
                <w:u w:val="none" w:color="auto"/>
                <w:lang w:val="en-US" w:eastAsia="zh-CN"/>
              </w:rPr>
            </w:pPr>
            <w:r>
              <w:rPr>
                <w:rFonts w:hint="eastAsia"/>
                <w:color w:val="auto"/>
                <w:u w:val="none" w:color="auto"/>
                <w:lang w:val="en-US" w:eastAsia="zh-CN"/>
              </w:rPr>
              <w:t>0.09</w:t>
            </w:r>
          </w:p>
        </w:tc>
      </w:tr>
      <w:tr w14:paraId="6B888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noWrap w:val="0"/>
            <w:vAlign w:val="center"/>
          </w:tcPr>
          <w:p w14:paraId="73B8EB20">
            <w:pPr>
              <w:pStyle w:val="24"/>
              <w:bidi w:val="0"/>
              <w:jc w:val="center"/>
              <w:rPr>
                <w:color w:val="auto"/>
                <w:u w:val="none" w:color="auto"/>
              </w:rPr>
            </w:pPr>
          </w:p>
        </w:tc>
        <w:tc>
          <w:tcPr>
            <w:tcW w:w="1161" w:type="dxa"/>
            <w:vMerge w:val="continue"/>
            <w:tcBorders>
              <w:tl2br w:val="nil"/>
              <w:tr2bl w:val="nil"/>
            </w:tcBorders>
            <w:noWrap w:val="0"/>
            <w:vAlign w:val="center"/>
          </w:tcPr>
          <w:p w14:paraId="3B3AF013">
            <w:pPr>
              <w:pStyle w:val="24"/>
              <w:bidi w:val="0"/>
              <w:jc w:val="center"/>
              <w:rPr>
                <w:color w:val="auto"/>
                <w:u w:val="none" w:color="auto"/>
              </w:rPr>
            </w:pPr>
          </w:p>
        </w:tc>
        <w:tc>
          <w:tcPr>
            <w:tcW w:w="1207" w:type="dxa"/>
            <w:tcBorders>
              <w:tl2br w:val="nil"/>
              <w:tr2bl w:val="nil"/>
            </w:tcBorders>
            <w:noWrap w:val="0"/>
            <w:vAlign w:val="center"/>
          </w:tcPr>
          <w:p w14:paraId="28054092">
            <w:pPr>
              <w:pStyle w:val="24"/>
              <w:bidi w:val="0"/>
              <w:jc w:val="center"/>
              <w:rPr>
                <w:rFonts w:hint="eastAsia" w:ascii="Times New Roman" w:hAnsi="Times New Roman" w:eastAsia="宋体" w:cs="Times New Roman"/>
                <w:color w:val="auto"/>
                <w:kern w:val="2"/>
                <w:sz w:val="21"/>
                <w:szCs w:val="24"/>
                <w:u w:val="none" w:color="auto"/>
                <w:lang w:val="en-US" w:eastAsia="zh-CN" w:bidi="ar-SA"/>
              </w:rPr>
            </w:pPr>
            <w:r>
              <w:rPr>
                <w:rFonts w:hint="eastAsia"/>
                <w:color w:val="auto"/>
                <w:u w:val="none" w:color="auto"/>
                <w:lang w:eastAsia="zh-CN"/>
              </w:rPr>
              <w:t>进口</w:t>
            </w:r>
          </w:p>
        </w:tc>
        <w:tc>
          <w:tcPr>
            <w:tcW w:w="1209" w:type="dxa"/>
            <w:vMerge w:val="restart"/>
            <w:tcBorders>
              <w:tl2br w:val="nil"/>
              <w:tr2bl w:val="nil"/>
            </w:tcBorders>
            <w:noWrap w:val="0"/>
            <w:vAlign w:val="center"/>
          </w:tcPr>
          <w:p w14:paraId="33BC0505">
            <w:pPr>
              <w:pStyle w:val="24"/>
              <w:bidi w:val="0"/>
              <w:jc w:val="center"/>
              <w:rPr>
                <w:rFonts w:hint="eastAsia" w:eastAsia="宋体"/>
                <w:color w:val="auto"/>
                <w:u w:val="none" w:color="auto"/>
                <w:lang w:val="en-US" w:eastAsia="zh-CN"/>
              </w:rPr>
            </w:pPr>
            <w:r>
              <w:rPr>
                <w:rFonts w:hint="eastAsia"/>
                <w:color w:val="auto"/>
                <w:u w:val="none" w:color="auto"/>
                <w:lang w:val="en-US" w:eastAsia="zh-CN"/>
              </w:rPr>
              <w:t>氯化氢</w:t>
            </w:r>
          </w:p>
        </w:tc>
        <w:tc>
          <w:tcPr>
            <w:tcW w:w="2438" w:type="dxa"/>
            <w:tcBorders>
              <w:tl2br w:val="nil"/>
              <w:tr2bl w:val="nil"/>
            </w:tcBorders>
            <w:noWrap w:val="0"/>
            <w:vAlign w:val="center"/>
          </w:tcPr>
          <w:p w14:paraId="2E6ED7D8">
            <w:pPr>
              <w:pStyle w:val="24"/>
              <w:bidi w:val="0"/>
              <w:jc w:val="center"/>
              <w:rPr>
                <w:rFonts w:hint="default"/>
                <w:color w:val="auto"/>
                <w:u w:val="none" w:color="auto"/>
                <w:lang w:val="en-US" w:eastAsia="zh-CN"/>
              </w:rPr>
            </w:pPr>
            <w:r>
              <w:rPr>
                <w:rFonts w:hint="eastAsia"/>
                <w:color w:val="auto"/>
                <w:u w:val="none" w:color="auto"/>
                <w:lang w:val="en-US" w:eastAsia="zh-CN"/>
              </w:rPr>
              <w:t>9.46</w:t>
            </w:r>
          </w:p>
        </w:tc>
        <w:tc>
          <w:tcPr>
            <w:tcW w:w="1217" w:type="dxa"/>
            <w:tcBorders>
              <w:tl2br w:val="nil"/>
              <w:tr2bl w:val="nil"/>
            </w:tcBorders>
            <w:noWrap w:val="0"/>
            <w:vAlign w:val="center"/>
          </w:tcPr>
          <w:p w14:paraId="7353F0DC">
            <w:pPr>
              <w:pStyle w:val="24"/>
              <w:bidi w:val="0"/>
              <w:jc w:val="center"/>
              <w:rPr>
                <w:rFonts w:hint="default"/>
                <w:color w:val="auto"/>
                <w:u w:val="none" w:color="auto"/>
                <w:lang w:val="en-US" w:eastAsia="zh-CN"/>
              </w:rPr>
            </w:pPr>
            <w:r>
              <w:rPr>
                <w:rFonts w:hint="eastAsia"/>
                <w:color w:val="auto"/>
                <w:u w:val="none" w:color="auto"/>
                <w:lang w:val="en-US" w:eastAsia="zh-CN"/>
              </w:rPr>
              <w:t>0.09</w:t>
            </w:r>
          </w:p>
        </w:tc>
      </w:tr>
      <w:tr w14:paraId="0E156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noWrap w:val="0"/>
            <w:vAlign w:val="center"/>
          </w:tcPr>
          <w:p w14:paraId="5851E050">
            <w:pPr>
              <w:pStyle w:val="24"/>
              <w:bidi w:val="0"/>
              <w:jc w:val="center"/>
              <w:rPr>
                <w:color w:val="auto"/>
                <w:u w:val="none" w:color="auto"/>
              </w:rPr>
            </w:pPr>
          </w:p>
        </w:tc>
        <w:tc>
          <w:tcPr>
            <w:tcW w:w="1161" w:type="dxa"/>
            <w:vMerge w:val="continue"/>
            <w:tcBorders>
              <w:tl2br w:val="nil"/>
              <w:tr2bl w:val="nil"/>
            </w:tcBorders>
            <w:noWrap w:val="0"/>
            <w:vAlign w:val="center"/>
          </w:tcPr>
          <w:p w14:paraId="47D9016A">
            <w:pPr>
              <w:pStyle w:val="24"/>
              <w:bidi w:val="0"/>
              <w:jc w:val="center"/>
              <w:rPr>
                <w:color w:val="auto"/>
                <w:u w:val="none" w:color="auto"/>
              </w:rPr>
            </w:pPr>
          </w:p>
        </w:tc>
        <w:tc>
          <w:tcPr>
            <w:tcW w:w="1207" w:type="dxa"/>
            <w:tcBorders>
              <w:tl2br w:val="nil"/>
              <w:tr2bl w:val="nil"/>
            </w:tcBorders>
            <w:noWrap w:val="0"/>
            <w:vAlign w:val="center"/>
          </w:tcPr>
          <w:p w14:paraId="04BC8760">
            <w:pPr>
              <w:pStyle w:val="24"/>
              <w:bidi w:val="0"/>
              <w:jc w:val="center"/>
              <w:rPr>
                <w:rFonts w:hint="eastAsia" w:ascii="Times New Roman" w:hAnsi="Times New Roman" w:eastAsia="宋体" w:cs="Times New Roman"/>
                <w:color w:val="auto"/>
                <w:kern w:val="2"/>
                <w:sz w:val="21"/>
                <w:szCs w:val="24"/>
                <w:u w:val="none" w:color="auto"/>
                <w:lang w:val="en-US" w:eastAsia="zh-CN" w:bidi="ar-SA"/>
              </w:rPr>
            </w:pPr>
            <w:r>
              <w:rPr>
                <w:rFonts w:hint="eastAsia"/>
                <w:color w:val="auto"/>
                <w:u w:val="none" w:color="auto"/>
                <w:lang w:eastAsia="zh-CN"/>
              </w:rPr>
              <w:t>出口</w:t>
            </w:r>
          </w:p>
        </w:tc>
        <w:tc>
          <w:tcPr>
            <w:tcW w:w="1209" w:type="dxa"/>
            <w:vMerge w:val="continue"/>
            <w:tcBorders>
              <w:tl2br w:val="nil"/>
              <w:tr2bl w:val="nil"/>
            </w:tcBorders>
            <w:noWrap w:val="0"/>
            <w:vAlign w:val="center"/>
          </w:tcPr>
          <w:p w14:paraId="3C142217">
            <w:pPr>
              <w:pStyle w:val="24"/>
              <w:bidi w:val="0"/>
              <w:jc w:val="center"/>
              <w:rPr>
                <w:color w:val="auto"/>
                <w:u w:val="none" w:color="auto"/>
              </w:rPr>
            </w:pPr>
          </w:p>
        </w:tc>
        <w:tc>
          <w:tcPr>
            <w:tcW w:w="2438" w:type="dxa"/>
            <w:tcBorders>
              <w:tl2br w:val="nil"/>
              <w:tr2bl w:val="nil"/>
            </w:tcBorders>
            <w:noWrap w:val="0"/>
            <w:vAlign w:val="center"/>
          </w:tcPr>
          <w:p w14:paraId="4D455422">
            <w:pPr>
              <w:pStyle w:val="24"/>
              <w:bidi w:val="0"/>
              <w:jc w:val="center"/>
              <w:rPr>
                <w:rFonts w:hint="default"/>
                <w:color w:val="auto"/>
                <w:u w:val="none" w:color="auto"/>
                <w:lang w:val="en-US" w:eastAsia="zh-CN"/>
              </w:rPr>
            </w:pPr>
            <w:r>
              <w:rPr>
                <w:rFonts w:hint="eastAsia"/>
                <w:color w:val="auto"/>
                <w:u w:val="none" w:color="auto"/>
                <w:lang w:val="en-US" w:eastAsia="zh-CN"/>
              </w:rPr>
              <w:t>4.6</w:t>
            </w:r>
          </w:p>
        </w:tc>
        <w:tc>
          <w:tcPr>
            <w:tcW w:w="1217" w:type="dxa"/>
            <w:tcBorders>
              <w:tl2br w:val="nil"/>
              <w:tr2bl w:val="nil"/>
            </w:tcBorders>
            <w:noWrap w:val="0"/>
            <w:vAlign w:val="center"/>
          </w:tcPr>
          <w:p w14:paraId="53CEC5A4">
            <w:pPr>
              <w:pStyle w:val="24"/>
              <w:bidi w:val="0"/>
              <w:jc w:val="center"/>
              <w:rPr>
                <w:rFonts w:hint="default"/>
                <w:color w:val="auto"/>
                <w:u w:val="none" w:color="auto"/>
                <w:lang w:val="en-US" w:eastAsia="zh-CN"/>
              </w:rPr>
            </w:pPr>
            <w:r>
              <w:rPr>
                <w:rFonts w:hint="eastAsia"/>
                <w:color w:val="auto"/>
                <w:u w:val="none" w:color="auto"/>
                <w:lang w:val="en-US" w:eastAsia="zh-CN"/>
              </w:rPr>
              <w:t>0.06</w:t>
            </w:r>
          </w:p>
        </w:tc>
      </w:tr>
      <w:tr w14:paraId="09DE4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noWrap w:val="0"/>
            <w:vAlign w:val="center"/>
          </w:tcPr>
          <w:p w14:paraId="1C0EEAD7">
            <w:pPr>
              <w:pStyle w:val="24"/>
              <w:bidi w:val="0"/>
              <w:jc w:val="center"/>
              <w:rPr>
                <w:color w:val="auto"/>
                <w:u w:val="none" w:color="auto"/>
              </w:rPr>
            </w:pPr>
          </w:p>
        </w:tc>
        <w:tc>
          <w:tcPr>
            <w:tcW w:w="1161" w:type="dxa"/>
            <w:vMerge w:val="restart"/>
            <w:tcBorders>
              <w:tl2br w:val="nil"/>
              <w:tr2bl w:val="nil"/>
            </w:tcBorders>
            <w:noWrap w:val="0"/>
            <w:vAlign w:val="center"/>
          </w:tcPr>
          <w:p w14:paraId="67F920E8">
            <w:pPr>
              <w:pStyle w:val="24"/>
              <w:bidi w:val="0"/>
              <w:jc w:val="center"/>
              <w:rPr>
                <w:color w:val="auto"/>
                <w:u w:val="none" w:color="auto"/>
              </w:rPr>
            </w:pPr>
            <w:r>
              <w:rPr>
                <w:rFonts w:hint="eastAsia"/>
                <w:color w:val="auto"/>
                <w:u w:val="none" w:color="auto"/>
                <w:lang w:val="en-US" w:eastAsia="zh-CN"/>
              </w:rPr>
              <w:t>2022.11.24</w:t>
            </w:r>
          </w:p>
        </w:tc>
        <w:tc>
          <w:tcPr>
            <w:tcW w:w="1207" w:type="dxa"/>
            <w:tcBorders>
              <w:tl2br w:val="nil"/>
              <w:tr2bl w:val="nil"/>
            </w:tcBorders>
            <w:noWrap w:val="0"/>
            <w:vAlign w:val="center"/>
          </w:tcPr>
          <w:p w14:paraId="1BD4DF48">
            <w:pPr>
              <w:pStyle w:val="24"/>
              <w:bidi w:val="0"/>
              <w:jc w:val="center"/>
              <w:rPr>
                <w:rFonts w:hint="eastAsia" w:ascii="Times New Roman" w:hAnsi="Times New Roman" w:eastAsia="宋体" w:cs="Times New Roman"/>
                <w:color w:val="auto"/>
                <w:kern w:val="2"/>
                <w:sz w:val="21"/>
                <w:szCs w:val="24"/>
                <w:u w:val="none" w:color="auto"/>
                <w:lang w:val="en-US" w:eastAsia="zh-CN" w:bidi="ar-SA"/>
              </w:rPr>
            </w:pPr>
            <w:r>
              <w:rPr>
                <w:rFonts w:hint="eastAsia"/>
                <w:color w:val="auto"/>
                <w:u w:val="none" w:color="auto"/>
                <w:lang w:eastAsia="zh-CN"/>
              </w:rPr>
              <w:t>进口</w:t>
            </w:r>
          </w:p>
        </w:tc>
        <w:tc>
          <w:tcPr>
            <w:tcW w:w="1209" w:type="dxa"/>
            <w:vMerge w:val="restart"/>
            <w:tcBorders>
              <w:tl2br w:val="nil"/>
              <w:tr2bl w:val="nil"/>
            </w:tcBorders>
            <w:noWrap w:val="0"/>
            <w:vAlign w:val="center"/>
          </w:tcPr>
          <w:p w14:paraId="35808017">
            <w:pPr>
              <w:pStyle w:val="24"/>
              <w:bidi w:val="0"/>
              <w:jc w:val="center"/>
              <w:rPr>
                <w:color w:val="auto"/>
                <w:u w:val="none" w:color="auto"/>
              </w:rPr>
            </w:pPr>
            <w:r>
              <w:rPr>
                <w:rFonts w:hint="eastAsia"/>
                <w:color w:val="auto"/>
                <w:u w:val="none" w:color="auto"/>
              </w:rPr>
              <w:t>VOCs</w:t>
            </w:r>
          </w:p>
        </w:tc>
        <w:tc>
          <w:tcPr>
            <w:tcW w:w="2438" w:type="dxa"/>
            <w:tcBorders>
              <w:tl2br w:val="nil"/>
              <w:tr2bl w:val="nil"/>
            </w:tcBorders>
            <w:noWrap w:val="0"/>
            <w:vAlign w:val="center"/>
          </w:tcPr>
          <w:p w14:paraId="674A65B8">
            <w:pPr>
              <w:pStyle w:val="24"/>
              <w:bidi w:val="0"/>
              <w:jc w:val="center"/>
              <w:rPr>
                <w:rFonts w:hint="default"/>
                <w:color w:val="auto"/>
                <w:u w:val="none" w:color="auto"/>
                <w:lang w:val="en-US" w:eastAsia="zh-CN"/>
              </w:rPr>
            </w:pPr>
            <w:r>
              <w:rPr>
                <w:rFonts w:hint="eastAsia"/>
                <w:color w:val="auto"/>
                <w:u w:val="none" w:color="auto"/>
                <w:lang w:val="en-US" w:eastAsia="zh-CN"/>
              </w:rPr>
              <w:t>34</w:t>
            </w:r>
          </w:p>
        </w:tc>
        <w:tc>
          <w:tcPr>
            <w:tcW w:w="1217" w:type="dxa"/>
            <w:tcBorders>
              <w:tl2br w:val="nil"/>
              <w:tr2bl w:val="nil"/>
            </w:tcBorders>
            <w:noWrap w:val="0"/>
            <w:vAlign w:val="center"/>
          </w:tcPr>
          <w:p w14:paraId="2A15308F">
            <w:pPr>
              <w:pStyle w:val="24"/>
              <w:bidi w:val="0"/>
              <w:jc w:val="center"/>
              <w:rPr>
                <w:rFonts w:hint="default"/>
                <w:color w:val="auto"/>
                <w:u w:val="none" w:color="auto"/>
                <w:lang w:val="en-US" w:eastAsia="zh-CN"/>
              </w:rPr>
            </w:pPr>
            <w:r>
              <w:rPr>
                <w:rFonts w:hint="eastAsia"/>
                <w:b/>
                <w:bCs/>
                <w:color w:val="auto"/>
                <w:u w:val="none" w:color="auto"/>
                <w:lang w:val="en-US" w:eastAsia="zh-CN"/>
              </w:rPr>
              <w:t>0.31</w:t>
            </w:r>
          </w:p>
        </w:tc>
      </w:tr>
      <w:tr w14:paraId="28C34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noWrap w:val="0"/>
            <w:vAlign w:val="center"/>
          </w:tcPr>
          <w:p w14:paraId="5FC1E29E">
            <w:pPr>
              <w:pStyle w:val="24"/>
              <w:bidi w:val="0"/>
              <w:jc w:val="center"/>
              <w:rPr>
                <w:color w:val="auto"/>
                <w:u w:val="none" w:color="auto"/>
              </w:rPr>
            </w:pPr>
          </w:p>
        </w:tc>
        <w:tc>
          <w:tcPr>
            <w:tcW w:w="1161" w:type="dxa"/>
            <w:vMerge w:val="continue"/>
            <w:tcBorders>
              <w:tl2br w:val="nil"/>
              <w:tr2bl w:val="nil"/>
            </w:tcBorders>
            <w:noWrap w:val="0"/>
            <w:vAlign w:val="center"/>
          </w:tcPr>
          <w:p w14:paraId="1AEB806B">
            <w:pPr>
              <w:pStyle w:val="24"/>
              <w:bidi w:val="0"/>
              <w:jc w:val="center"/>
              <w:rPr>
                <w:color w:val="auto"/>
                <w:u w:val="none" w:color="auto"/>
              </w:rPr>
            </w:pPr>
          </w:p>
        </w:tc>
        <w:tc>
          <w:tcPr>
            <w:tcW w:w="1207" w:type="dxa"/>
            <w:tcBorders>
              <w:tl2br w:val="nil"/>
              <w:tr2bl w:val="nil"/>
            </w:tcBorders>
            <w:noWrap w:val="0"/>
            <w:vAlign w:val="center"/>
          </w:tcPr>
          <w:p w14:paraId="38FDEDE8">
            <w:pPr>
              <w:pStyle w:val="24"/>
              <w:bidi w:val="0"/>
              <w:jc w:val="center"/>
              <w:rPr>
                <w:rFonts w:hint="eastAsia" w:ascii="Times New Roman" w:hAnsi="Times New Roman" w:eastAsia="宋体" w:cs="Times New Roman"/>
                <w:color w:val="auto"/>
                <w:kern w:val="2"/>
                <w:sz w:val="21"/>
                <w:szCs w:val="24"/>
                <w:u w:val="none" w:color="auto"/>
                <w:lang w:val="en-US" w:eastAsia="zh-CN" w:bidi="ar-SA"/>
              </w:rPr>
            </w:pPr>
            <w:r>
              <w:rPr>
                <w:rFonts w:hint="eastAsia"/>
                <w:color w:val="auto"/>
                <w:u w:val="none" w:color="auto"/>
                <w:lang w:eastAsia="zh-CN"/>
              </w:rPr>
              <w:t>出口</w:t>
            </w:r>
          </w:p>
        </w:tc>
        <w:tc>
          <w:tcPr>
            <w:tcW w:w="1209" w:type="dxa"/>
            <w:vMerge w:val="continue"/>
            <w:tcBorders>
              <w:tl2br w:val="nil"/>
              <w:tr2bl w:val="nil"/>
            </w:tcBorders>
            <w:noWrap w:val="0"/>
            <w:vAlign w:val="center"/>
          </w:tcPr>
          <w:p w14:paraId="22CB573F">
            <w:pPr>
              <w:pStyle w:val="24"/>
              <w:bidi w:val="0"/>
              <w:jc w:val="center"/>
              <w:rPr>
                <w:color w:val="auto"/>
                <w:u w:val="none" w:color="auto"/>
              </w:rPr>
            </w:pPr>
          </w:p>
        </w:tc>
        <w:tc>
          <w:tcPr>
            <w:tcW w:w="2438" w:type="dxa"/>
            <w:tcBorders>
              <w:tl2br w:val="nil"/>
              <w:tr2bl w:val="nil"/>
            </w:tcBorders>
            <w:noWrap w:val="0"/>
            <w:vAlign w:val="center"/>
          </w:tcPr>
          <w:p w14:paraId="7848ABC4">
            <w:pPr>
              <w:pStyle w:val="24"/>
              <w:bidi w:val="0"/>
              <w:jc w:val="center"/>
              <w:rPr>
                <w:rFonts w:hint="default"/>
                <w:color w:val="auto"/>
                <w:u w:val="none" w:color="auto"/>
                <w:lang w:val="en-US" w:eastAsia="zh-CN"/>
              </w:rPr>
            </w:pPr>
            <w:r>
              <w:rPr>
                <w:rFonts w:hint="eastAsia"/>
                <w:color w:val="auto"/>
                <w:u w:val="none" w:color="auto"/>
                <w:lang w:val="en-US" w:eastAsia="zh-CN"/>
              </w:rPr>
              <w:t>7.85</w:t>
            </w:r>
          </w:p>
        </w:tc>
        <w:tc>
          <w:tcPr>
            <w:tcW w:w="1217" w:type="dxa"/>
            <w:tcBorders>
              <w:tl2br w:val="nil"/>
              <w:tr2bl w:val="nil"/>
            </w:tcBorders>
            <w:noWrap w:val="0"/>
            <w:vAlign w:val="center"/>
          </w:tcPr>
          <w:p w14:paraId="2AFBB378">
            <w:pPr>
              <w:pStyle w:val="24"/>
              <w:bidi w:val="0"/>
              <w:jc w:val="center"/>
              <w:rPr>
                <w:rFonts w:hint="default"/>
                <w:color w:val="auto"/>
                <w:u w:val="none" w:color="auto"/>
                <w:lang w:val="en-US" w:eastAsia="zh-CN"/>
              </w:rPr>
            </w:pPr>
            <w:r>
              <w:rPr>
                <w:rFonts w:hint="eastAsia"/>
                <w:b/>
                <w:bCs/>
                <w:color w:val="auto"/>
                <w:u w:val="none" w:color="auto"/>
                <w:lang w:val="en-US" w:eastAsia="zh-CN"/>
              </w:rPr>
              <w:t>0.10</w:t>
            </w:r>
          </w:p>
        </w:tc>
      </w:tr>
      <w:tr w14:paraId="18B1D5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noWrap w:val="0"/>
            <w:vAlign w:val="center"/>
          </w:tcPr>
          <w:p w14:paraId="3AF0D606">
            <w:pPr>
              <w:pStyle w:val="24"/>
              <w:bidi w:val="0"/>
              <w:jc w:val="center"/>
              <w:rPr>
                <w:color w:val="auto"/>
                <w:u w:val="none" w:color="auto"/>
              </w:rPr>
            </w:pPr>
          </w:p>
        </w:tc>
        <w:tc>
          <w:tcPr>
            <w:tcW w:w="1161" w:type="dxa"/>
            <w:vMerge w:val="continue"/>
            <w:tcBorders>
              <w:tl2br w:val="nil"/>
              <w:tr2bl w:val="nil"/>
            </w:tcBorders>
            <w:noWrap w:val="0"/>
            <w:vAlign w:val="center"/>
          </w:tcPr>
          <w:p w14:paraId="259FBC56">
            <w:pPr>
              <w:pStyle w:val="24"/>
              <w:bidi w:val="0"/>
              <w:jc w:val="center"/>
              <w:rPr>
                <w:color w:val="auto"/>
                <w:u w:val="none" w:color="auto"/>
              </w:rPr>
            </w:pPr>
          </w:p>
        </w:tc>
        <w:tc>
          <w:tcPr>
            <w:tcW w:w="1207" w:type="dxa"/>
            <w:tcBorders>
              <w:tl2br w:val="nil"/>
              <w:tr2bl w:val="nil"/>
            </w:tcBorders>
            <w:noWrap w:val="0"/>
            <w:vAlign w:val="center"/>
          </w:tcPr>
          <w:p w14:paraId="6B02A3A3">
            <w:pPr>
              <w:pStyle w:val="24"/>
              <w:bidi w:val="0"/>
              <w:jc w:val="center"/>
              <w:rPr>
                <w:rFonts w:hint="eastAsia" w:ascii="Times New Roman" w:hAnsi="Times New Roman" w:eastAsia="宋体" w:cs="Times New Roman"/>
                <w:color w:val="auto"/>
                <w:kern w:val="2"/>
                <w:sz w:val="21"/>
                <w:szCs w:val="24"/>
                <w:u w:val="none" w:color="auto"/>
                <w:lang w:val="en-US" w:eastAsia="zh-CN" w:bidi="ar-SA"/>
              </w:rPr>
            </w:pPr>
            <w:r>
              <w:rPr>
                <w:rFonts w:hint="eastAsia"/>
                <w:color w:val="auto"/>
                <w:u w:val="none" w:color="auto"/>
                <w:lang w:eastAsia="zh-CN"/>
              </w:rPr>
              <w:t>进口</w:t>
            </w:r>
          </w:p>
        </w:tc>
        <w:tc>
          <w:tcPr>
            <w:tcW w:w="1209" w:type="dxa"/>
            <w:vMerge w:val="restart"/>
            <w:tcBorders>
              <w:tl2br w:val="nil"/>
              <w:tr2bl w:val="nil"/>
            </w:tcBorders>
            <w:noWrap w:val="0"/>
            <w:vAlign w:val="center"/>
          </w:tcPr>
          <w:p w14:paraId="1117DD55">
            <w:pPr>
              <w:pStyle w:val="24"/>
              <w:bidi w:val="0"/>
              <w:jc w:val="center"/>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氯化氢</w:t>
            </w:r>
          </w:p>
        </w:tc>
        <w:tc>
          <w:tcPr>
            <w:tcW w:w="2438" w:type="dxa"/>
            <w:tcBorders>
              <w:tl2br w:val="nil"/>
              <w:tr2bl w:val="nil"/>
            </w:tcBorders>
            <w:noWrap w:val="0"/>
            <w:vAlign w:val="center"/>
          </w:tcPr>
          <w:p w14:paraId="19A9A504">
            <w:pPr>
              <w:pStyle w:val="24"/>
              <w:bidi w:val="0"/>
              <w:jc w:val="center"/>
              <w:rPr>
                <w:rFonts w:hint="default"/>
                <w:color w:val="auto"/>
                <w:u w:val="none" w:color="auto"/>
                <w:lang w:val="en-US" w:eastAsia="zh-CN"/>
              </w:rPr>
            </w:pPr>
            <w:r>
              <w:rPr>
                <w:rFonts w:hint="eastAsia"/>
                <w:color w:val="auto"/>
                <w:u w:val="none" w:color="auto"/>
                <w:lang w:val="en-US" w:eastAsia="zh-CN"/>
              </w:rPr>
              <w:t>9.49</w:t>
            </w:r>
          </w:p>
        </w:tc>
        <w:tc>
          <w:tcPr>
            <w:tcW w:w="1217" w:type="dxa"/>
            <w:tcBorders>
              <w:tl2br w:val="nil"/>
              <w:tr2bl w:val="nil"/>
            </w:tcBorders>
            <w:noWrap w:val="0"/>
            <w:vAlign w:val="center"/>
          </w:tcPr>
          <w:p w14:paraId="4586993B">
            <w:pPr>
              <w:pStyle w:val="24"/>
              <w:bidi w:val="0"/>
              <w:jc w:val="center"/>
              <w:rPr>
                <w:rFonts w:hint="default"/>
                <w:b/>
                <w:bCs/>
                <w:color w:val="auto"/>
                <w:u w:val="none" w:color="auto"/>
                <w:lang w:val="en-US" w:eastAsia="zh-CN"/>
              </w:rPr>
            </w:pPr>
            <w:r>
              <w:rPr>
                <w:rFonts w:hint="eastAsia"/>
                <w:b/>
                <w:bCs/>
                <w:color w:val="auto"/>
                <w:u w:val="none" w:color="auto"/>
                <w:lang w:val="en-US" w:eastAsia="zh-CN"/>
              </w:rPr>
              <w:t>0.09</w:t>
            </w:r>
          </w:p>
        </w:tc>
      </w:tr>
      <w:tr w14:paraId="6FA1F8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noWrap w:val="0"/>
            <w:vAlign w:val="center"/>
          </w:tcPr>
          <w:p w14:paraId="361A05C8">
            <w:pPr>
              <w:pStyle w:val="24"/>
              <w:bidi w:val="0"/>
              <w:jc w:val="center"/>
              <w:rPr>
                <w:color w:val="auto"/>
                <w:u w:val="none" w:color="auto"/>
              </w:rPr>
            </w:pPr>
          </w:p>
        </w:tc>
        <w:tc>
          <w:tcPr>
            <w:tcW w:w="1161" w:type="dxa"/>
            <w:vMerge w:val="continue"/>
            <w:tcBorders>
              <w:tl2br w:val="nil"/>
              <w:tr2bl w:val="nil"/>
            </w:tcBorders>
            <w:noWrap w:val="0"/>
            <w:vAlign w:val="center"/>
          </w:tcPr>
          <w:p w14:paraId="7F520033">
            <w:pPr>
              <w:pStyle w:val="24"/>
              <w:bidi w:val="0"/>
              <w:jc w:val="center"/>
              <w:rPr>
                <w:color w:val="auto"/>
                <w:u w:val="none" w:color="auto"/>
              </w:rPr>
            </w:pPr>
          </w:p>
        </w:tc>
        <w:tc>
          <w:tcPr>
            <w:tcW w:w="1207" w:type="dxa"/>
            <w:tcBorders>
              <w:tl2br w:val="nil"/>
              <w:tr2bl w:val="nil"/>
            </w:tcBorders>
            <w:noWrap w:val="0"/>
            <w:vAlign w:val="center"/>
          </w:tcPr>
          <w:p w14:paraId="02688DAE">
            <w:pPr>
              <w:pStyle w:val="24"/>
              <w:bidi w:val="0"/>
              <w:jc w:val="center"/>
              <w:rPr>
                <w:rFonts w:hint="eastAsia" w:ascii="Times New Roman" w:hAnsi="Times New Roman" w:eastAsia="宋体" w:cs="Times New Roman"/>
                <w:color w:val="auto"/>
                <w:kern w:val="2"/>
                <w:sz w:val="21"/>
                <w:szCs w:val="24"/>
                <w:u w:val="none" w:color="auto"/>
                <w:lang w:val="en-US" w:eastAsia="zh-CN" w:bidi="ar-SA"/>
              </w:rPr>
            </w:pPr>
            <w:r>
              <w:rPr>
                <w:rFonts w:hint="eastAsia"/>
                <w:color w:val="auto"/>
                <w:u w:val="none" w:color="auto"/>
                <w:lang w:eastAsia="zh-CN"/>
              </w:rPr>
              <w:t>出口</w:t>
            </w:r>
          </w:p>
        </w:tc>
        <w:tc>
          <w:tcPr>
            <w:tcW w:w="1209" w:type="dxa"/>
            <w:vMerge w:val="continue"/>
            <w:tcBorders>
              <w:tl2br w:val="nil"/>
              <w:tr2bl w:val="nil"/>
            </w:tcBorders>
            <w:noWrap w:val="0"/>
            <w:vAlign w:val="center"/>
          </w:tcPr>
          <w:p w14:paraId="4F53EACD">
            <w:pPr>
              <w:pStyle w:val="24"/>
              <w:bidi w:val="0"/>
              <w:jc w:val="center"/>
              <w:rPr>
                <w:color w:val="auto"/>
                <w:u w:val="none" w:color="auto"/>
              </w:rPr>
            </w:pPr>
          </w:p>
        </w:tc>
        <w:tc>
          <w:tcPr>
            <w:tcW w:w="2438" w:type="dxa"/>
            <w:tcBorders>
              <w:tl2br w:val="nil"/>
              <w:tr2bl w:val="nil"/>
            </w:tcBorders>
            <w:noWrap w:val="0"/>
            <w:vAlign w:val="center"/>
          </w:tcPr>
          <w:p w14:paraId="7640FABB">
            <w:pPr>
              <w:pStyle w:val="24"/>
              <w:bidi w:val="0"/>
              <w:jc w:val="center"/>
              <w:rPr>
                <w:rFonts w:hint="default"/>
                <w:color w:val="auto"/>
                <w:u w:val="none" w:color="auto"/>
                <w:lang w:val="en-US" w:eastAsia="zh-CN"/>
              </w:rPr>
            </w:pPr>
            <w:r>
              <w:rPr>
                <w:rFonts w:hint="eastAsia"/>
                <w:color w:val="auto"/>
                <w:u w:val="none" w:color="auto"/>
                <w:lang w:val="en-US" w:eastAsia="zh-CN"/>
              </w:rPr>
              <w:t>4.78</w:t>
            </w:r>
          </w:p>
        </w:tc>
        <w:tc>
          <w:tcPr>
            <w:tcW w:w="1217" w:type="dxa"/>
            <w:tcBorders>
              <w:tl2br w:val="nil"/>
              <w:tr2bl w:val="nil"/>
            </w:tcBorders>
            <w:noWrap w:val="0"/>
            <w:vAlign w:val="center"/>
          </w:tcPr>
          <w:p w14:paraId="5DA20754">
            <w:pPr>
              <w:pStyle w:val="24"/>
              <w:bidi w:val="0"/>
              <w:jc w:val="center"/>
              <w:rPr>
                <w:rFonts w:hint="default"/>
                <w:b/>
                <w:bCs/>
                <w:color w:val="auto"/>
                <w:u w:val="none" w:color="auto"/>
                <w:lang w:val="en-US" w:eastAsia="zh-CN"/>
              </w:rPr>
            </w:pPr>
            <w:r>
              <w:rPr>
                <w:rFonts w:hint="eastAsia"/>
                <w:b/>
                <w:bCs/>
                <w:color w:val="auto"/>
                <w:u w:val="none" w:color="auto"/>
                <w:lang w:val="en-US" w:eastAsia="zh-CN"/>
              </w:rPr>
              <w:t>0.06</w:t>
            </w:r>
          </w:p>
        </w:tc>
      </w:tr>
      <w:tr w14:paraId="3A691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517" w:type="dxa"/>
            <w:gridSpan w:val="6"/>
            <w:tcBorders>
              <w:tl2br w:val="nil"/>
              <w:tr2bl w:val="nil"/>
            </w:tcBorders>
            <w:noWrap w:val="0"/>
            <w:vAlign w:val="center"/>
          </w:tcPr>
          <w:p w14:paraId="55C27E8C">
            <w:pPr>
              <w:pStyle w:val="24"/>
              <w:bidi w:val="0"/>
              <w:jc w:val="center"/>
              <w:rPr>
                <w:rFonts w:hint="eastAsia"/>
                <w:color w:val="auto"/>
                <w:u w:val="none" w:color="auto"/>
                <w:lang w:val="en-US" w:eastAsia="zh-CN"/>
              </w:rPr>
            </w:pPr>
            <w:r>
              <w:rPr>
                <w:rFonts w:hint="eastAsia"/>
                <w:color w:val="auto"/>
                <w:u w:val="none" w:color="auto"/>
                <w:lang w:val="en-US" w:eastAsia="zh-CN"/>
              </w:rPr>
              <w:t>备注：本项目数据均选取检测结果的最大值。</w:t>
            </w:r>
          </w:p>
        </w:tc>
      </w:tr>
    </w:tbl>
    <w:p w14:paraId="53530E08">
      <w:pPr>
        <w:pStyle w:val="20"/>
        <w:bidi w:val="0"/>
        <w:rPr>
          <w:rFonts w:hint="eastAsia"/>
          <w:color w:val="auto"/>
          <w:u w:val="none" w:color="auto"/>
          <w:lang w:eastAsia="zh-CN"/>
        </w:rPr>
      </w:pPr>
      <w:r>
        <w:rPr>
          <w:color w:val="auto"/>
          <w:u w:val="none" w:color="auto"/>
        </w:rPr>
        <w:t>根据其20</w:t>
      </w:r>
      <w:r>
        <w:rPr>
          <w:rFonts w:hint="eastAsia"/>
          <w:color w:val="auto"/>
          <w:u w:val="none" w:color="auto"/>
          <w:lang w:val="en-US" w:eastAsia="zh-CN"/>
        </w:rPr>
        <w:t>22</w:t>
      </w:r>
      <w:r>
        <w:rPr>
          <w:color w:val="auto"/>
          <w:u w:val="none" w:color="auto"/>
        </w:rPr>
        <w:t>年</w:t>
      </w:r>
      <w:r>
        <w:rPr>
          <w:rFonts w:hint="eastAsia"/>
          <w:color w:val="auto"/>
          <w:u w:val="none" w:color="auto"/>
        </w:rPr>
        <w:t>1</w:t>
      </w:r>
      <w:r>
        <w:rPr>
          <w:rFonts w:hint="eastAsia"/>
          <w:color w:val="auto"/>
          <w:u w:val="none" w:color="auto"/>
          <w:lang w:val="en-US" w:eastAsia="zh-CN"/>
        </w:rPr>
        <w:t>1</w:t>
      </w:r>
      <w:r>
        <w:rPr>
          <w:color w:val="auto"/>
          <w:u w:val="none" w:color="auto"/>
        </w:rPr>
        <w:t>月</w:t>
      </w:r>
      <w:r>
        <w:rPr>
          <w:rFonts w:hint="eastAsia"/>
          <w:color w:val="auto"/>
          <w:u w:val="none" w:color="auto"/>
          <w:lang w:val="en-US" w:eastAsia="zh-CN"/>
        </w:rPr>
        <w:t>23</w:t>
      </w:r>
      <w:r>
        <w:rPr>
          <w:color w:val="auto"/>
          <w:u w:val="none" w:color="auto"/>
        </w:rPr>
        <w:t>日~</w:t>
      </w:r>
      <w:r>
        <w:rPr>
          <w:rFonts w:hint="eastAsia"/>
          <w:color w:val="auto"/>
          <w:u w:val="none" w:color="auto"/>
          <w:lang w:val="en-US" w:eastAsia="zh-CN"/>
        </w:rPr>
        <w:t>24</w:t>
      </w:r>
      <w:r>
        <w:rPr>
          <w:color w:val="auto"/>
          <w:u w:val="none" w:color="auto"/>
        </w:rPr>
        <w:t>日的监测结果，该项目</w:t>
      </w:r>
      <w:r>
        <w:rPr>
          <w:rFonts w:hint="eastAsia"/>
          <w:color w:val="auto"/>
          <w:u w:val="none" w:color="auto"/>
        </w:rPr>
        <w:t>年产13300吨PVC墙板、5700吨PVC装饰线条</w:t>
      </w:r>
      <w:r>
        <w:rPr>
          <w:color w:val="auto"/>
          <w:u w:val="none" w:color="auto"/>
        </w:rPr>
        <w:t>，年工作时间为</w:t>
      </w:r>
      <w:r>
        <w:rPr>
          <w:rFonts w:hint="eastAsia"/>
          <w:color w:val="auto"/>
          <w:u w:val="none" w:color="auto"/>
        </w:rPr>
        <w:t>2400</w:t>
      </w:r>
      <w:r>
        <w:rPr>
          <w:color w:val="auto"/>
          <w:u w:val="none" w:color="auto"/>
        </w:rPr>
        <w:t>h，</w:t>
      </w:r>
      <w:r>
        <w:rPr>
          <w:rFonts w:hint="eastAsia"/>
          <w:color w:val="auto"/>
          <w:u w:val="none" w:color="auto"/>
          <w:lang w:val="en-US" w:eastAsia="zh-CN"/>
        </w:rPr>
        <w:t>验收工况为80%，</w:t>
      </w:r>
      <w:r>
        <w:rPr>
          <w:rFonts w:hint="eastAsia"/>
          <w:color w:val="auto"/>
          <w:u w:val="none" w:color="auto"/>
        </w:rPr>
        <w:t>集气罩收集效率按</w:t>
      </w:r>
      <w:r>
        <w:rPr>
          <w:rFonts w:hint="eastAsia"/>
          <w:color w:val="auto"/>
          <w:u w:val="none" w:color="auto"/>
          <w:lang w:val="en-US" w:eastAsia="zh-CN"/>
        </w:rPr>
        <w:t>8</w:t>
      </w:r>
      <w:r>
        <w:rPr>
          <w:rFonts w:hint="eastAsia"/>
          <w:color w:val="auto"/>
          <w:u w:val="none" w:color="auto"/>
        </w:rPr>
        <w:t>0%计，</w:t>
      </w:r>
      <w:r>
        <w:rPr>
          <w:color w:val="auto"/>
          <w:u w:val="none" w:color="auto"/>
        </w:rPr>
        <w:t>通过计算可以得到</w:t>
      </w:r>
      <w:r>
        <w:rPr>
          <w:rFonts w:hint="eastAsia"/>
          <w:color w:val="auto"/>
          <w:u w:val="none" w:color="auto"/>
        </w:rPr>
        <w:t>有机废气</w:t>
      </w:r>
      <w:r>
        <w:rPr>
          <w:color w:val="auto"/>
          <w:u w:val="none" w:color="auto"/>
        </w:rPr>
        <w:t>的产污系数为</w:t>
      </w:r>
      <w:r>
        <w:rPr>
          <w:rFonts w:hint="eastAsia"/>
          <w:color w:val="auto"/>
          <w:u w:val="none" w:color="auto"/>
        </w:rPr>
        <w:t>0.</w:t>
      </w:r>
      <w:r>
        <w:rPr>
          <w:rFonts w:hint="eastAsia"/>
          <w:color w:val="auto"/>
          <w:u w:val="none" w:color="auto"/>
          <w:lang w:val="en-US" w:eastAsia="zh-CN"/>
        </w:rPr>
        <w:t>066</w:t>
      </w:r>
      <w:r>
        <w:rPr>
          <w:color w:val="auto"/>
          <w:u w:val="none" w:color="auto"/>
        </w:rPr>
        <w:t>kg/t-产品</w:t>
      </w:r>
      <w:r>
        <w:rPr>
          <w:rFonts w:hint="eastAsia"/>
          <w:color w:val="auto"/>
          <w:u w:val="none" w:color="auto"/>
        </w:rPr>
        <w:t>，</w:t>
      </w:r>
      <w:r>
        <w:rPr>
          <w:rFonts w:hint="eastAsia"/>
          <w:color w:val="auto"/>
          <w:u w:val="none" w:color="auto"/>
          <w:lang w:val="en-US" w:eastAsia="zh-CN"/>
        </w:rPr>
        <w:t>氯化氢</w:t>
      </w:r>
      <w:r>
        <w:rPr>
          <w:color w:val="auto"/>
          <w:u w:val="none" w:color="auto"/>
        </w:rPr>
        <w:t>的产污系数为</w:t>
      </w:r>
      <w:r>
        <w:rPr>
          <w:rFonts w:hint="eastAsia"/>
          <w:color w:val="auto"/>
          <w:u w:val="none" w:color="auto"/>
        </w:rPr>
        <w:t>0.0</w:t>
      </w:r>
      <w:r>
        <w:rPr>
          <w:rFonts w:hint="eastAsia"/>
          <w:color w:val="auto"/>
          <w:u w:val="none" w:color="auto"/>
          <w:lang w:val="en-US" w:eastAsia="zh-CN"/>
        </w:rPr>
        <w:t>19</w:t>
      </w:r>
      <w:r>
        <w:rPr>
          <w:color w:val="auto"/>
          <w:u w:val="none" w:color="auto"/>
        </w:rPr>
        <w:t>kg/t-产品</w:t>
      </w:r>
      <w:r>
        <w:rPr>
          <w:rFonts w:hint="eastAsia"/>
          <w:color w:val="auto"/>
          <w:u w:val="none" w:color="auto"/>
          <w:lang w:eastAsia="zh-CN"/>
        </w:rPr>
        <w:t>。</w:t>
      </w:r>
    </w:p>
    <w:p w14:paraId="58D2234D">
      <w:pPr>
        <w:pStyle w:val="2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本项目年产30000吨PVC大板，</w:t>
      </w:r>
      <w:r>
        <w:rPr>
          <w:rFonts w:hint="default" w:ascii="Times New Roman" w:hAnsi="Times New Roman" w:eastAsia="宋体" w:cs="Times New Roman"/>
          <w:color w:val="auto"/>
          <w:u w:val="none" w:color="auto"/>
          <w:lang w:val="en-US" w:eastAsia="zh-CN"/>
        </w:rPr>
        <w:t>则非甲烷总烃的产生量为</w:t>
      </w:r>
      <w:r>
        <w:rPr>
          <w:rFonts w:hint="eastAsia" w:ascii="Times New Roman" w:hAnsi="Times New Roman" w:eastAsia="宋体" w:cs="Times New Roman"/>
          <w:color w:val="auto"/>
          <w:u w:val="none" w:color="auto"/>
          <w:lang w:val="en-US" w:eastAsia="zh-CN"/>
        </w:rPr>
        <w:t>1.98</w:t>
      </w:r>
      <w:r>
        <w:rPr>
          <w:rFonts w:hint="default" w:ascii="Times New Roman" w:hAnsi="Times New Roman" w:eastAsia="宋体" w:cs="Times New Roman"/>
          <w:color w:val="auto"/>
          <w:u w:val="none" w:color="auto"/>
          <w:lang w:val="en-US" w:eastAsia="zh-CN"/>
        </w:rPr>
        <w:t>t/a（</w:t>
      </w:r>
      <w:r>
        <w:rPr>
          <w:rFonts w:hint="eastAsia" w:ascii="Times New Roman" w:hAnsi="Times New Roman" w:eastAsia="宋体" w:cs="Times New Roman"/>
          <w:color w:val="auto"/>
          <w:u w:val="none" w:color="auto"/>
          <w:lang w:val="en-US" w:eastAsia="zh-CN"/>
        </w:rPr>
        <w:t>0.413</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，氯化氢的产生量为0.57t/a（0.119kg/h）</w:t>
      </w:r>
      <w:r>
        <w:rPr>
          <w:rFonts w:hint="default" w:ascii="Times New Roman" w:hAnsi="Times New Roman" w:eastAsia="宋体" w:cs="Times New Roman"/>
          <w:color w:val="auto"/>
          <w:u w:val="none" w:color="auto"/>
          <w:lang w:val="en-US" w:eastAsia="zh-CN"/>
        </w:rPr>
        <w:t>。</w:t>
      </w:r>
    </w:p>
    <w:p w14:paraId="6F833669">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项目拟采用集气罩+</w:t>
      </w:r>
      <w:r>
        <w:rPr>
          <w:rFonts w:hint="eastAsia" w:ascii="Times New Roman" w:hAnsi="Times New Roman" w:eastAsia="宋体" w:cs="Times New Roman"/>
          <w:color w:val="auto"/>
          <w:u w:val="none" w:color="auto"/>
          <w:lang w:val="en-US" w:eastAsia="zh-CN"/>
        </w:rPr>
        <w:t>垂帘+两级</w:t>
      </w:r>
      <w:r>
        <w:rPr>
          <w:rFonts w:hint="default" w:ascii="Times New Roman" w:hAnsi="Times New Roman" w:eastAsia="宋体" w:cs="Times New Roman"/>
          <w:color w:val="auto"/>
          <w:u w:val="none" w:color="auto"/>
          <w:lang w:val="en-US" w:eastAsia="zh-CN"/>
        </w:rPr>
        <w:t>活性炭吸附处理</w:t>
      </w:r>
      <w:r>
        <w:rPr>
          <w:rFonts w:hint="eastAsia" w:ascii="Times New Roman" w:hAnsi="Times New Roman" w:eastAsia="宋体" w:cs="Times New Roman"/>
          <w:color w:val="auto"/>
          <w:u w:val="none" w:color="auto"/>
          <w:lang w:val="en-US" w:eastAsia="zh-CN"/>
        </w:rPr>
        <w:t>1#厂房</w:t>
      </w:r>
      <w:r>
        <w:rPr>
          <w:rFonts w:hint="default" w:ascii="Times New Roman" w:hAnsi="Times New Roman" w:eastAsia="宋体" w:cs="Times New Roman"/>
          <w:color w:val="auto"/>
          <w:u w:val="none" w:color="auto"/>
          <w:lang w:val="en-US" w:eastAsia="zh-CN"/>
        </w:rPr>
        <w:t>挤出</w:t>
      </w:r>
      <w:r>
        <w:rPr>
          <w:rFonts w:hint="eastAsia" w:ascii="Times New Roman" w:hAnsi="Times New Roman" w:eastAsia="宋体" w:cs="Times New Roman"/>
          <w:color w:val="auto"/>
          <w:u w:val="none" w:color="auto"/>
          <w:lang w:val="en-US" w:eastAsia="zh-CN"/>
        </w:rPr>
        <w:t>、覆膜</w:t>
      </w:r>
      <w:r>
        <w:rPr>
          <w:rFonts w:hint="default" w:ascii="Times New Roman" w:hAnsi="Times New Roman" w:eastAsia="宋体" w:cs="Times New Roman"/>
          <w:color w:val="auto"/>
          <w:u w:val="none" w:color="auto"/>
          <w:lang w:val="en-US" w:eastAsia="zh-CN"/>
        </w:rPr>
        <w:t>工序废气，处理后的废气经</w:t>
      </w:r>
      <w:r>
        <w:rPr>
          <w:rFonts w:hint="eastAsia" w:ascii="Times New Roman" w:hAnsi="Times New Roman" w:eastAsia="宋体" w:cs="Times New Roman"/>
          <w:color w:val="auto"/>
          <w:u w:val="none" w:color="auto"/>
          <w:lang w:val="en-US" w:eastAsia="zh-CN"/>
        </w:rPr>
        <w:t>15</w:t>
      </w:r>
      <w:r>
        <w:rPr>
          <w:rFonts w:hint="default" w:ascii="Times New Roman" w:hAnsi="Times New Roman" w:eastAsia="宋体" w:cs="Times New Roman"/>
          <w:color w:val="auto"/>
          <w:u w:val="none" w:color="auto"/>
          <w:lang w:val="en-US" w:eastAsia="zh-CN"/>
        </w:rPr>
        <w:t>m高</w:t>
      </w:r>
      <w:r>
        <w:rPr>
          <w:rFonts w:hint="eastAsia" w:ascii="Times New Roman" w:hAnsi="Times New Roman" w:eastAsia="宋体" w:cs="Times New Roman"/>
          <w:color w:val="auto"/>
          <w:u w:val="none" w:color="auto"/>
          <w:lang w:val="en-US" w:eastAsia="zh-CN"/>
        </w:rPr>
        <w:t>DA002</w:t>
      </w:r>
      <w:r>
        <w:rPr>
          <w:rFonts w:hint="default" w:ascii="Times New Roman" w:hAnsi="Times New Roman" w:eastAsia="宋体" w:cs="Times New Roman"/>
          <w:color w:val="auto"/>
          <w:u w:val="none" w:color="auto"/>
          <w:lang w:val="en-US" w:eastAsia="zh-CN"/>
        </w:rPr>
        <w:t>排气筒排放；</w:t>
      </w:r>
      <w:r>
        <w:rPr>
          <w:rFonts w:hint="eastAsia" w:ascii="Times New Roman" w:hAnsi="Times New Roman" w:eastAsia="宋体" w:cs="Times New Roman"/>
          <w:color w:val="auto"/>
          <w:u w:val="none" w:color="auto"/>
          <w:lang w:val="en-US" w:eastAsia="zh-CN"/>
        </w:rPr>
        <w:t>集气罩采用顶吸收集，结合软帘等柔性材料，贴近废气源形成封闭负压空间，</w:t>
      </w:r>
      <w:r>
        <w:rPr>
          <w:rFonts w:hint="default" w:ascii="Times New Roman" w:hAnsi="Times New Roman" w:eastAsia="宋体" w:cs="Times New Roman"/>
          <w:color w:val="auto"/>
          <w:u w:val="none" w:color="auto"/>
          <w:lang w:val="en-US" w:eastAsia="zh-CN"/>
        </w:rPr>
        <w:t>收集效率以</w:t>
      </w:r>
      <w:r>
        <w:rPr>
          <w:rFonts w:hint="eastAsia" w:ascii="Times New Roman" w:hAnsi="Times New Roman" w:eastAsia="宋体" w:cs="Times New Roman"/>
          <w:color w:val="auto"/>
          <w:u w:val="none" w:color="auto"/>
          <w:lang w:val="en-US" w:eastAsia="zh-CN"/>
        </w:rPr>
        <w:t>85</w:t>
      </w:r>
      <w:r>
        <w:rPr>
          <w:rFonts w:hint="default" w:ascii="Times New Roman" w:hAnsi="Times New Roman" w:eastAsia="宋体" w:cs="Times New Roman"/>
          <w:color w:val="auto"/>
          <w:u w:val="none" w:color="auto"/>
          <w:lang w:val="en-US" w:eastAsia="zh-CN"/>
        </w:rPr>
        <w:t>%计，</w:t>
      </w:r>
      <w:r>
        <w:rPr>
          <w:rFonts w:hint="eastAsia" w:ascii="Times New Roman" w:hAnsi="Times New Roman" w:eastAsia="宋体" w:cs="Times New Roman"/>
          <w:color w:val="auto"/>
          <w:u w:val="none" w:color="auto"/>
          <w:lang w:val="en-US" w:eastAsia="zh-CN"/>
        </w:rPr>
        <w:t>两级</w:t>
      </w:r>
      <w:r>
        <w:rPr>
          <w:rFonts w:hint="default" w:ascii="Times New Roman" w:hAnsi="Times New Roman" w:eastAsia="宋体" w:cs="Times New Roman"/>
          <w:color w:val="auto"/>
          <w:u w:val="none" w:color="auto"/>
          <w:lang w:val="en-US" w:eastAsia="zh-CN"/>
        </w:rPr>
        <w:t>活性炭吸附对非甲烷总烃的处理效率为</w:t>
      </w:r>
      <w:r>
        <w:rPr>
          <w:rFonts w:hint="eastAsia" w:ascii="Times New Roman" w:hAnsi="Times New Roman" w:eastAsia="宋体" w:cs="Times New Roman"/>
          <w:color w:val="auto"/>
          <w:u w:val="none" w:color="auto"/>
          <w:lang w:val="en-US" w:eastAsia="zh-CN"/>
        </w:rPr>
        <w:t>7</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对氯化氢无处理效果，每套挤出机+覆膜机设备设置的</w:t>
      </w:r>
      <w:r>
        <w:rPr>
          <w:rFonts w:hint="default" w:ascii="Times New Roman" w:hAnsi="Times New Roman" w:eastAsia="宋体" w:cs="Times New Roman"/>
          <w:color w:val="auto"/>
          <w:u w:val="none" w:color="auto"/>
          <w:lang w:val="en-US" w:eastAsia="zh-CN"/>
        </w:rPr>
        <w:t>风机风量为</w:t>
      </w:r>
      <w:r>
        <w:rPr>
          <w:rFonts w:hint="eastAsia"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lang w:val="en-US" w:eastAsia="zh-CN"/>
        </w:rPr>
        <w:t>000m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/h，</w:t>
      </w:r>
      <w:r>
        <w:rPr>
          <w:rFonts w:hint="eastAsia" w:ascii="Times New Roman" w:hAnsi="Times New Roman" w:eastAsia="宋体" w:cs="Times New Roman"/>
          <w:color w:val="auto"/>
          <w:u w:val="none" w:color="auto"/>
          <w:lang w:val="en-US" w:eastAsia="zh-CN"/>
        </w:rPr>
        <w:t>总风量为400</w:t>
      </w:r>
      <w:r>
        <w:rPr>
          <w:rFonts w:hint="default" w:ascii="Times New Roman" w:hAnsi="Times New Roman" w:eastAsia="宋体" w:cs="Times New Roman"/>
          <w:color w:val="auto"/>
          <w:u w:val="none" w:color="auto"/>
          <w:lang w:val="en-US" w:eastAsia="zh-CN"/>
        </w:rPr>
        <w:t>00m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/h</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计算可得非甲烷总烃的有组织排放量为</w:t>
      </w:r>
      <w:r>
        <w:rPr>
          <w:rFonts w:hint="eastAsia" w:ascii="Times New Roman" w:hAnsi="Times New Roman" w:eastAsia="宋体" w:cs="Times New Roman"/>
          <w:color w:val="auto"/>
          <w:u w:val="none" w:color="auto"/>
          <w:lang w:val="en-US" w:eastAsia="zh-CN"/>
        </w:rPr>
        <w:t>0.505</w:t>
      </w:r>
      <w:r>
        <w:rPr>
          <w:rFonts w:hint="default" w:ascii="Times New Roman" w:hAnsi="Times New Roman" w:eastAsia="宋体" w:cs="Times New Roman"/>
          <w:color w:val="auto"/>
          <w:u w:val="none" w:color="auto"/>
          <w:lang w:val="en-US" w:eastAsia="zh-CN"/>
        </w:rPr>
        <w:t>t/a，排放速率</w:t>
      </w:r>
      <w:r>
        <w:rPr>
          <w:rFonts w:hint="eastAsia" w:ascii="Times New Roman" w:hAnsi="Times New Roman" w:eastAsia="宋体" w:cs="Times New Roman"/>
          <w:color w:val="auto"/>
          <w:u w:val="none" w:color="auto"/>
          <w:lang w:val="en-US" w:eastAsia="zh-CN"/>
        </w:rPr>
        <w:t>0.105</w:t>
      </w:r>
      <w:r>
        <w:rPr>
          <w:rFonts w:hint="default" w:ascii="Times New Roman" w:hAnsi="Times New Roman" w:eastAsia="宋体" w:cs="Times New Roman"/>
          <w:color w:val="auto"/>
          <w:u w:val="none" w:color="auto"/>
          <w:lang w:val="en-US" w:eastAsia="zh-CN"/>
        </w:rPr>
        <w:t>kg/h，排放浓度</w:t>
      </w:r>
      <w:r>
        <w:rPr>
          <w:rFonts w:hint="eastAsia" w:ascii="Times New Roman" w:hAnsi="Times New Roman" w:eastAsia="宋体" w:cs="Times New Roman"/>
          <w:color w:val="auto"/>
          <w:u w:val="none" w:color="auto"/>
          <w:lang w:val="en-US" w:eastAsia="zh-CN"/>
        </w:rPr>
        <w:t>2.63</w:t>
      </w:r>
      <w:r>
        <w:rPr>
          <w:rFonts w:hint="default" w:ascii="Times New Roman" w:hAnsi="Times New Roman" w:eastAsia="宋体" w:cs="Times New Roman"/>
          <w:color w:val="auto"/>
          <w:u w:val="none" w:color="auto"/>
          <w:lang w:val="en-US" w:eastAsia="zh-CN"/>
        </w:rPr>
        <w:t>mg/m</w:t>
      </w:r>
      <w:r>
        <w:rPr>
          <w:rFonts w:hint="default" w:ascii="Times New Roman" w:hAnsi="Times New Roman" w:eastAsia="宋体" w:cs="Times New Roman"/>
          <w:color w:val="auto"/>
          <w:u w:val="none" w:color="auto"/>
          <w:vertAlign w:val="superscript"/>
          <w:lang w:val="en-US" w:eastAsia="zh-CN"/>
        </w:rPr>
        <w:t>3</w:t>
      </w:r>
      <w:r>
        <w:rPr>
          <w:rFonts w:hint="default" w:ascii="Times New Roman" w:hAnsi="Times New Roman" w:eastAsia="宋体" w:cs="Times New Roman"/>
          <w:color w:val="auto"/>
          <w:u w:val="none" w:color="auto"/>
          <w:lang w:val="en-US" w:eastAsia="zh-CN"/>
        </w:rPr>
        <w:t>，无组织排放量</w:t>
      </w:r>
      <w:r>
        <w:rPr>
          <w:rFonts w:hint="eastAsia" w:ascii="Times New Roman" w:hAnsi="Times New Roman" w:eastAsia="宋体" w:cs="Times New Roman"/>
          <w:color w:val="auto"/>
          <w:u w:val="none" w:color="auto"/>
          <w:lang w:val="en-US" w:eastAsia="zh-CN"/>
        </w:rPr>
        <w:t>0.297</w:t>
      </w:r>
      <w:r>
        <w:rPr>
          <w:rFonts w:hint="default" w:ascii="Times New Roman" w:hAnsi="Times New Roman" w:eastAsia="宋体" w:cs="Times New Roman"/>
          <w:color w:val="auto"/>
          <w:u w:val="none" w:color="auto"/>
          <w:lang w:val="en-US" w:eastAsia="zh-CN"/>
        </w:rPr>
        <w:t>t/a，排放速率0.</w:t>
      </w:r>
      <w:r>
        <w:rPr>
          <w:rFonts w:hint="eastAsia" w:ascii="Times New Roman" w:hAnsi="Times New Roman" w:eastAsia="宋体" w:cs="Times New Roman"/>
          <w:color w:val="auto"/>
          <w:u w:val="none" w:color="auto"/>
          <w:lang w:val="en-US" w:eastAsia="zh-CN"/>
        </w:rPr>
        <w:t>062</w:t>
      </w:r>
      <w:r>
        <w:rPr>
          <w:rFonts w:hint="default" w:ascii="Times New Roman" w:hAnsi="Times New Roman" w:eastAsia="宋体" w:cs="Times New Roman"/>
          <w:color w:val="auto"/>
          <w:u w:val="none" w:color="auto"/>
          <w:lang w:val="en-US" w:eastAsia="zh-CN"/>
        </w:rPr>
        <w:t>kg/h</w:t>
      </w:r>
      <w:r>
        <w:rPr>
          <w:rFonts w:hint="eastAsia" w:ascii="Times New Roman" w:hAnsi="Times New Roman" w:eastAsia="宋体" w:cs="Times New Roman"/>
          <w:color w:val="auto"/>
          <w:u w:val="none" w:color="auto"/>
          <w:lang w:val="en-US" w:eastAsia="zh-CN"/>
        </w:rPr>
        <w:t>；氯化氢有组织排放量为0.484t/a，排放速率0.101kg/h，排放浓度2.524mg/m</w:t>
      </w:r>
      <w:r>
        <w:rPr>
          <w:rFonts w:hint="eastAsia" w:ascii="Times New Roman" w:hAnsi="Times New Roman" w:eastAsia="宋体" w:cs="Times New Roman"/>
          <w:color w:val="auto"/>
          <w:u w:val="none" w:color="auto"/>
          <w:vertAlign w:val="superscript"/>
          <w:lang w:val="en-US" w:eastAsia="zh-CN"/>
        </w:rPr>
        <w:t>3</w:t>
      </w:r>
      <w:r>
        <w:rPr>
          <w:rFonts w:hint="eastAsia" w:ascii="Times New Roman" w:hAnsi="Times New Roman" w:eastAsia="宋体" w:cs="Times New Roman"/>
          <w:color w:val="auto"/>
          <w:u w:val="none" w:color="auto"/>
          <w:vertAlign w:val="baseline"/>
          <w:lang w:val="en-US" w:eastAsia="zh-CN"/>
        </w:rPr>
        <w:t>，无组织排放量0.086t/a，排放速率0.018kg/h</w:t>
      </w:r>
      <w:r>
        <w:rPr>
          <w:rFonts w:hint="eastAsia" w:ascii="Times New Roman" w:hAnsi="Times New Roman" w:eastAsia="宋体" w:cs="Times New Roman"/>
          <w:color w:val="auto"/>
          <w:u w:val="none" w:color="auto"/>
          <w:lang w:val="en-US" w:eastAsia="zh-CN"/>
        </w:rPr>
        <w:t>。</w:t>
      </w:r>
    </w:p>
    <w:p w14:paraId="2495F815">
      <w:pPr>
        <w:pStyle w:val="20"/>
        <w:bidi w:val="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项目挤出时产生的有机废气，除上述污染物外，还伴随会产生一定异味——恶臭，由于挤出机机头废气集气罩收集不可能完全，会有少量的恶臭气体散发进入车间，生产中除提高集气罩的收集率外，还须加强车间通风，可在车间四周设置通风排气扇，将少量恶臭气体排放出车间，以保持较好的车间环境空气质量。</w:t>
      </w:r>
    </w:p>
    <w:p w14:paraId="450BAB45">
      <w:pPr>
        <w:pStyle w:val="20"/>
        <w:bidi w:val="0"/>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（3）2#厂房覆膜废气</w:t>
      </w:r>
    </w:p>
    <w:p w14:paraId="182E16B9">
      <w:pPr>
        <w:pStyle w:val="20"/>
        <w:bidi w:val="0"/>
        <w:rPr>
          <w:rFonts w:hint="eastAsia"/>
          <w:color w:val="auto"/>
          <w:u w:val="none" w:color="auto"/>
          <w:lang w:val="en-US" w:eastAsia="zh-CN"/>
        </w:rPr>
      </w:pPr>
      <w:r>
        <w:rPr>
          <w:rFonts w:hint="eastAsia"/>
          <w:color w:val="auto"/>
          <w:u w:val="none" w:color="auto"/>
          <w:lang w:val="en-US" w:eastAsia="zh-CN"/>
        </w:rPr>
        <w:t>覆膜时为增强包装膜与板材表面包裹的紧密性，需对已经缠过的PVC膜进行烤灼，温度最高为120℃（夏季高温时仅需加热至60℃），时间约5~10s。根据PVC（聚氯乙烯）理化性质可知，其热分解温度在170℃以上，因此本项目设定温度下不会导致聚氯乙烯热分解，不会产生焦碳链焦化气体，且烤灼时间很短，废气产生量很小，可以忽略不计，只有膜底层的背涂胶粘合剂会产生非甲烷总烃、二甲苯。</w:t>
      </w:r>
    </w:p>
    <w:p w14:paraId="295D77C1">
      <w:pPr>
        <w:pStyle w:val="20"/>
        <w:bidi w:val="0"/>
        <w:rPr>
          <w:rFonts w:hint="default"/>
          <w:color w:val="auto"/>
          <w:u w:val="none" w:color="auto"/>
          <w:lang w:val="en-US" w:eastAsia="zh-CN"/>
        </w:rPr>
      </w:pPr>
      <w:r>
        <w:rPr>
          <w:rFonts w:hint="eastAsia"/>
          <w:color w:val="auto"/>
          <w:u w:val="none" w:color="auto"/>
          <w:lang w:val="en-US" w:eastAsia="zh-CN"/>
        </w:rPr>
        <w:t>本项目PVC覆膜胶主要用于为了增强PVC膜的粘着力，达到更好的附着效果。根据产品特性及客户需要，本项目拟采用3种胶粘剂，其中1#厂房全部采用水基型胶粘剂，2#厂房PVC装饰线条覆膜全部采用水性聚氨酯墙板专用胶，PVC大板采用2种胶，包括1种水基型胶粘剂和1种溶剂型胶粘剂；根据附件中水性胶粘剂的MSDS资料可知，项目采用的水性胶粘剂均无挥发分，但考虑后续生产及环保要求，本次评价2#厂房覆膜废气计算中水性胶粘剂VOC含量参照《胶粘剂挥发性有机化合物限量》（GB33372-2020）标准要求。根据《胶粘剂挥发性有机化合物限量》（GB 33372-2020），室内装饰装修聚氨酯类≤50g/L，项目2#厂房水性PVC覆膜胶年用量为24.24t/a，密度约为1.1g/</w:t>
      </w:r>
      <w:r>
        <w:rPr>
          <w:rFonts w:hint="eastAsia" w:ascii="Times New Roman" w:hAnsi="Times New Roman" w:cs="Times New Roman"/>
          <w:b w:val="0"/>
          <w:bCs w:val="0"/>
          <w:color w:val="auto"/>
          <w:highlight w:val="none"/>
          <w:u w:val="none" w:color="auto"/>
          <w:lang w:val="en-US" w:eastAsia="zh-CN"/>
        </w:rPr>
        <w:t>cm</w:t>
      </w:r>
      <w:r>
        <w:rPr>
          <w:rFonts w:hint="eastAsia" w:ascii="Times New Roman" w:hAnsi="Times New Roman" w:cs="Times New Roman"/>
          <w:b w:val="0"/>
          <w:bCs w:val="0"/>
          <w:color w:val="auto"/>
          <w:highlight w:val="none"/>
          <w:u w:val="none" w:color="auto"/>
          <w:vertAlign w:val="superscript"/>
          <w:lang w:val="en-US" w:eastAsia="zh-CN"/>
        </w:rPr>
        <w:t>3</w:t>
      </w:r>
      <w:r>
        <w:rPr>
          <w:rFonts w:hint="eastAsia"/>
          <w:color w:val="auto"/>
          <w:u w:val="none" w:color="auto"/>
          <w:lang w:val="en-US" w:eastAsia="zh-CN"/>
        </w:rPr>
        <w:t>，则按最不利情况计算，生产车间内水性胶粘剂产生的非甲烷总烃为1.102t/a；根据附件中溶剂型胶粘剂的MSDS资料可知，该胶粘剂树脂含量最低为60%，其他均为挥发分，则本次评价VOC含量按40%计，其中二甲苯最高为10%，则2#厂房内溶剂型胶粘剂产生的非甲烷总烃为2.424t/a，二甲苯产生量为0.606t/a。综上，项目2#厂房覆膜时胶粘剂非甲烷总烃产生量为3.526t/a，二甲苯产生量为0.606t/a。</w:t>
      </w:r>
    </w:p>
    <w:p w14:paraId="0C4C6FF7">
      <w:pPr>
        <w:pStyle w:val="20"/>
        <w:bidi w:val="0"/>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项目拟在每台覆膜机上方设置集气罩，对有机废气由引风机引入两级活性炭吸附装置处理达标后排放，总风机风量25000m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lang w:val="en-US" w:eastAsia="zh-CN"/>
        </w:rPr>
        <w:t>/h，集气罩收集效率约80%，本评价要求建设单位于集气罩上加装软帘、2台使用溶剂型胶粘剂的覆膜机设置为半封闭区域，通过该措施，对有机废气的收集效率可分别提升至约85%、90%左右；两级活性炭处理效率按70%计，则本项目2#厂房非甲烷总烃有组织产生量为3.118t/a（1.299kg/h，51.972mg/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lang w:val="en-US" w:eastAsia="zh-CN"/>
        </w:rPr>
        <w:t>），非甲烷总烃有组织排放量0.936t/a（0.39kg/h，15.592mg/m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lang w:val="en-US" w:eastAsia="zh-CN"/>
        </w:rPr>
        <w:t>），无组织排放量为0.408t/a（0.17kg/h）；二甲苯有组织产生量为0.545t/a（0.114kg/h，2.841mg/m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lang w:val="en-US" w:eastAsia="zh-CN"/>
        </w:rPr>
        <w:t>），二甲苯有组织排放量0.164t/a（0.034kg/h，0.852mg/m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lang w:val="en-US" w:eastAsia="zh-CN"/>
        </w:rPr>
        <w:t>），无组织排放量为0.061t/a（0.013kg/h）。</w:t>
      </w:r>
    </w:p>
    <w:p w14:paraId="6CF6E66F">
      <w:pPr>
        <w:pStyle w:val="20"/>
        <w:bidi w:val="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sz w:val="24"/>
          <w:szCs w:val="24"/>
          <w:u w:val="none" w:color="auto"/>
          <w:lang w:val="en-US" w:eastAsia="zh-CN"/>
        </w:rPr>
        <w:t>综合上述废气分析可知，本项目营运期内废气产排情况分析详见下表。</w:t>
      </w:r>
    </w:p>
    <w:p w14:paraId="0A83EF0C">
      <w:pPr>
        <w:pStyle w:val="22"/>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表4.4-3 本项目营运期废气产排情况一览表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87"/>
        <w:gridCol w:w="973"/>
        <w:gridCol w:w="900"/>
        <w:gridCol w:w="1050"/>
        <w:gridCol w:w="956"/>
        <w:gridCol w:w="844"/>
        <w:gridCol w:w="1126"/>
        <w:gridCol w:w="892"/>
        <w:gridCol w:w="876"/>
      </w:tblGrid>
      <w:tr w14:paraId="728A9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restart"/>
            <w:noWrap w:val="0"/>
            <w:vAlign w:val="center"/>
          </w:tcPr>
          <w:p w14:paraId="7D4C9B5F">
            <w:pPr>
              <w:pStyle w:val="31"/>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rPr>
              <w:t>排放源</w:t>
            </w:r>
          </w:p>
        </w:tc>
        <w:tc>
          <w:tcPr>
            <w:tcW w:w="973" w:type="dxa"/>
            <w:vMerge w:val="restart"/>
            <w:noWrap w:val="0"/>
            <w:vAlign w:val="center"/>
          </w:tcPr>
          <w:p w14:paraId="2D95971B">
            <w:pPr>
              <w:pStyle w:val="31"/>
              <w:bidi w:val="0"/>
              <w:rPr>
                <w:rFonts w:hint="default" w:ascii="Times New Roman" w:hAnsi="Times New Roman" w:eastAsia="宋体" w:cs="Times New Roman"/>
                <w:b/>
                <w:bCs/>
                <w:i w:val="0"/>
                <w:iCs w:val="0"/>
                <w:color w:val="auto"/>
                <w:u w:val="none" w:color="auto"/>
                <w:lang w:eastAsia="zh-CN"/>
              </w:rPr>
            </w:pPr>
            <w:r>
              <w:rPr>
                <w:rFonts w:hint="default" w:ascii="Times New Roman" w:hAnsi="Times New Roman" w:eastAsia="宋体" w:cs="Times New Roman"/>
                <w:b/>
                <w:bCs/>
                <w:i w:val="0"/>
                <w:iCs w:val="0"/>
                <w:color w:val="auto"/>
                <w:u w:val="none" w:color="auto"/>
                <w:lang w:eastAsia="zh-CN"/>
              </w:rPr>
              <w:t>污染物</w:t>
            </w:r>
          </w:p>
        </w:tc>
        <w:tc>
          <w:tcPr>
            <w:tcW w:w="900" w:type="dxa"/>
            <w:vMerge w:val="restart"/>
            <w:noWrap w:val="0"/>
            <w:vAlign w:val="center"/>
          </w:tcPr>
          <w:p w14:paraId="647C0DE7">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排放形式</w:t>
            </w:r>
          </w:p>
        </w:tc>
        <w:tc>
          <w:tcPr>
            <w:tcW w:w="2850" w:type="dxa"/>
            <w:gridSpan w:val="3"/>
            <w:noWrap w:val="0"/>
            <w:vAlign w:val="center"/>
          </w:tcPr>
          <w:p w14:paraId="0D6DC40D">
            <w:pPr>
              <w:pStyle w:val="31"/>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eastAsia="zh-CN"/>
              </w:rPr>
              <w:t>产生情况</w:t>
            </w:r>
          </w:p>
        </w:tc>
        <w:tc>
          <w:tcPr>
            <w:tcW w:w="2894" w:type="dxa"/>
            <w:gridSpan w:val="3"/>
            <w:noWrap w:val="0"/>
            <w:vAlign w:val="center"/>
          </w:tcPr>
          <w:p w14:paraId="2139FDF2">
            <w:pPr>
              <w:pStyle w:val="31"/>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eastAsia="zh-CN"/>
              </w:rPr>
              <w:t>排放情况</w:t>
            </w:r>
          </w:p>
        </w:tc>
      </w:tr>
      <w:tr w14:paraId="7410D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24BA1192">
            <w:pPr>
              <w:pStyle w:val="31"/>
              <w:bidi w:val="0"/>
              <w:rPr>
                <w:rFonts w:hint="default" w:ascii="Times New Roman" w:hAnsi="Times New Roman" w:eastAsia="宋体" w:cs="Times New Roman"/>
                <w:b/>
                <w:bCs/>
                <w:i w:val="0"/>
                <w:iCs w:val="0"/>
                <w:color w:val="auto"/>
                <w:u w:val="none" w:color="auto"/>
                <w:lang w:val="en-US" w:eastAsia="zh-CN"/>
              </w:rPr>
            </w:pPr>
          </w:p>
        </w:tc>
        <w:tc>
          <w:tcPr>
            <w:tcW w:w="973" w:type="dxa"/>
            <w:vMerge w:val="continue"/>
            <w:noWrap w:val="0"/>
            <w:vAlign w:val="center"/>
          </w:tcPr>
          <w:p w14:paraId="440179BC">
            <w:pPr>
              <w:pStyle w:val="31"/>
              <w:bidi w:val="0"/>
              <w:rPr>
                <w:rFonts w:hint="default" w:ascii="Times New Roman" w:hAnsi="Times New Roman" w:eastAsia="宋体" w:cs="Times New Roman"/>
                <w:b/>
                <w:bCs/>
                <w:i w:val="0"/>
                <w:iCs w:val="0"/>
                <w:color w:val="auto"/>
                <w:u w:val="none" w:color="auto"/>
                <w:lang w:eastAsia="zh-CN"/>
              </w:rPr>
            </w:pPr>
          </w:p>
        </w:tc>
        <w:tc>
          <w:tcPr>
            <w:tcW w:w="900" w:type="dxa"/>
            <w:vMerge w:val="continue"/>
            <w:noWrap w:val="0"/>
            <w:vAlign w:val="center"/>
          </w:tcPr>
          <w:p w14:paraId="5067B4C9">
            <w:pPr>
              <w:pStyle w:val="31"/>
              <w:bidi w:val="0"/>
              <w:rPr>
                <w:rFonts w:hint="default" w:ascii="Times New Roman" w:hAnsi="Times New Roman" w:eastAsia="宋体" w:cs="Times New Roman"/>
                <w:b/>
                <w:bCs/>
                <w:i w:val="0"/>
                <w:iCs w:val="0"/>
                <w:color w:val="auto"/>
                <w:u w:val="none" w:color="auto"/>
                <w:lang w:val="en-US" w:eastAsia="zh-CN"/>
              </w:rPr>
            </w:pPr>
          </w:p>
        </w:tc>
        <w:tc>
          <w:tcPr>
            <w:tcW w:w="1050" w:type="dxa"/>
            <w:noWrap w:val="0"/>
            <w:vAlign w:val="center"/>
          </w:tcPr>
          <w:p w14:paraId="55437261">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产生浓度mg/m</w:t>
            </w:r>
            <w:r>
              <w:rPr>
                <w:rFonts w:hint="default" w:ascii="Times New Roman" w:hAnsi="Times New Roman" w:eastAsia="宋体" w:cs="Times New Roman"/>
                <w:b/>
                <w:bCs/>
                <w:i w:val="0"/>
                <w:iCs w:val="0"/>
                <w:color w:val="auto"/>
                <w:u w:val="none" w:color="auto"/>
                <w:vertAlign w:val="superscript"/>
                <w:lang w:val="en-US" w:eastAsia="zh-CN"/>
              </w:rPr>
              <w:t>3</w:t>
            </w:r>
          </w:p>
        </w:tc>
        <w:tc>
          <w:tcPr>
            <w:tcW w:w="956" w:type="dxa"/>
            <w:noWrap w:val="0"/>
            <w:vAlign w:val="center"/>
          </w:tcPr>
          <w:p w14:paraId="3EEC2D5D">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eastAsia="zh-CN"/>
              </w:rPr>
              <w:t>产生速率</w:t>
            </w:r>
            <w:r>
              <w:rPr>
                <w:rFonts w:hint="default" w:ascii="Times New Roman" w:hAnsi="Times New Roman" w:eastAsia="宋体" w:cs="Times New Roman"/>
                <w:b/>
                <w:bCs/>
                <w:i w:val="0"/>
                <w:iCs w:val="0"/>
                <w:color w:val="auto"/>
                <w:u w:val="none" w:color="auto"/>
                <w:lang w:val="en-US" w:eastAsia="zh-CN"/>
              </w:rPr>
              <w:t>kg/h</w:t>
            </w:r>
          </w:p>
        </w:tc>
        <w:tc>
          <w:tcPr>
            <w:tcW w:w="844" w:type="dxa"/>
            <w:noWrap w:val="0"/>
            <w:vAlign w:val="center"/>
          </w:tcPr>
          <w:p w14:paraId="45F95320">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eastAsia="zh-CN"/>
              </w:rPr>
              <w:t>产生量</w:t>
            </w:r>
            <w:r>
              <w:rPr>
                <w:rFonts w:hint="default" w:ascii="Times New Roman" w:hAnsi="Times New Roman" w:eastAsia="宋体" w:cs="Times New Roman"/>
                <w:b/>
                <w:bCs/>
                <w:i w:val="0"/>
                <w:iCs w:val="0"/>
                <w:color w:val="auto"/>
                <w:u w:val="none" w:color="auto"/>
                <w:lang w:val="en-US" w:eastAsia="zh-CN"/>
              </w:rPr>
              <w:t>t/a</w:t>
            </w:r>
          </w:p>
        </w:tc>
        <w:tc>
          <w:tcPr>
            <w:tcW w:w="1126" w:type="dxa"/>
            <w:noWrap w:val="0"/>
            <w:vAlign w:val="center"/>
          </w:tcPr>
          <w:p w14:paraId="622AA4E5">
            <w:pPr>
              <w:pStyle w:val="31"/>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val="en-US" w:eastAsia="zh-CN"/>
              </w:rPr>
              <w:t>排放浓度mg/m</w:t>
            </w:r>
            <w:r>
              <w:rPr>
                <w:rFonts w:hint="default" w:ascii="Times New Roman" w:hAnsi="Times New Roman" w:eastAsia="宋体" w:cs="Times New Roman"/>
                <w:b/>
                <w:bCs/>
                <w:i w:val="0"/>
                <w:iCs w:val="0"/>
                <w:color w:val="auto"/>
                <w:u w:val="none" w:color="auto"/>
                <w:vertAlign w:val="superscript"/>
                <w:lang w:val="en-US" w:eastAsia="zh-CN"/>
              </w:rPr>
              <w:t>3</w:t>
            </w:r>
          </w:p>
        </w:tc>
        <w:tc>
          <w:tcPr>
            <w:tcW w:w="892" w:type="dxa"/>
            <w:noWrap w:val="0"/>
            <w:vAlign w:val="center"/>
          </w:tcPr>
          <w:p w14:paraId="3B36DDE3">
            <w:pPr>
              <w:pStyle w:val="31"/>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eastAsia="zh-CN"/>
              </w:rPr>
              <w:t>排放速率</w:t>
            </w:r>
            <w:r>
              <w:rPr>
                <w:rFonts w:hint="default" w:ascii="Times New Roman" w:hAnsi="Times New Roman" w:eastAsia="宋体" w:cs="Times New Roman"/>
                <w:b/>
                <w:bCs/>
                <w:i w:val="0"/>
                <w:iCs w:val="0"/>
                <w:color w:val="auto"/>
                <w:u w:val="none" w:color="auto"/>
                <w:lang w:val="en-US" w:eastAsia="zh-CN"/>
              </w:rPr>
              <w:t>kg/h</w:t>
            </w:r>
          </w:p>
        </w:tc>
        <w:tc>
          <w:tcPr>
            <w:tcW w:w="876" w:type="dxa"/>
            <w:noWrap w:val="0"/>
            <w:vAlign w:val="center"/>
          </w:tcPr>
          <w:p w14:paraId="636A5EBD">
            <w:pPr>
              <w:pStyle w:val="31"/>
              <w:bidi w:val="0"/>
              <w:rPr>
                <w:rFonts w:hint="default" w:ascii="Times New Roman" w:hAnsi="Times New Roman" w:eastAsia="宋体" w:cs="Times New Roman"/>
                <w:b/>
                <w:bCs/>
                <w:i w:val="0"/>
                <w:iCs w:val="0"/>
                <w:color w:val="auto"/>
                <w:u w:val="none" w:color="auto"/>
                <w:lang w:eastAsia="zh-CN"/>
              </w:rPr>
            </w:pPr>
            <w:r>
              <w:rPr>
                <w:rFonts w:hint="default" w:ascii="Times New Roman" w:hAnsi="Times New Roman" w:eastAsia="宋体" w:cs="Times New Roman"/>
                <w:b/>
                <w:bCs/>
                <w:i w:val="0"/>
                <w:iCs w:val="0"/>
                <w:color w:val="auto"/>
                <w:u w:val="none" w:color="auto"/>
                <w:lang w:eastAsia="zh-CN"/>
              </w:rPr>
              <w:t>排放量</w:t>
            </w:r>
          </w:p>
          <w:p w14:paraId="131823FB">
            <w:pPr>
              <w:pStyle w:val="31"/>
              <w:bidi w:val="0"/>
              <w:rPr>
                <w:rFonts w:hint="default" w:ascii="Times New Roman" w:hAnsi="Times New Roman" w:eastAsia="宋体" w:cs="Times New Roman"/>
                <w:b/>
                <w:bCs/>
                <w:i w:val="0"/>
                <w:iCs w:val="0"/>
                <w:color w:val="auto"/>
                <w:u w:val="none" w:color="auto"/>
              </w:rPr>
            </w:pPr>
            <w:r>
              <w:rPr>
                <w:rFonts w:hint="default" w:ascii="Times New Roman" w:hAnsi="Times New Roman" w:eastAsia="宋体" w:cs="Times New Roman"/>
                <w:b/>
                <w:bCs/>
                <w:i w:val="0"/>
                <w:iCs w:val="0"/>
                <w:color w:val="auto"/>
                <w:u w:val="none" w:color="auto"/>
                <w:lang w:val="en-US" w:eastAsia="zh-CN"/>
              </w:rPr>
              <w:t>t/a</w:t>
            </w:r>
          </w:p>
        </w:tc>
      </w:tr>
      <w:tr w14:paraId="4F106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noWrap w:val="0"/>
            <w:vAlign w:val="center"/>
          </w:tcPr>
          <w:p w14:paraId="68C3690B">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主要原料投料废气</w:t>
            </w:r>
          </w:p>
        </w:tc>
        <w:tc>
          <w:tcPr>
            <w:tcW w:w="973" w:type="dxa"/>
            <w:noWrap w:val="0"/>
            <w:vAlign w:val="center"/>
          </w:tcPr>
          <w:p w14:paraId="36E48402">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颗粒物</w:t>
            </w:r>
          </w:p>
        </w:tc>
        <w:tc>
          <w:tcPr>
            <w:tcW w:w="900" w:type="dxa"/>
            <w:noWrap w:val="0"/>
            <w:vAlign w:val="center"/>
          </w:tcPr>
          <w:p w14:paraId="10EEC997">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41EFD92B">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956" w:type="dxa"/>
            <w:noWrap w:val="0"/>
            <w:vAlign w:val="center"/>
          </w:tcPr>
          <w:p w14:paraId="22EDBF9B">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0.681</w:t>
            </w:r>
          </w:p>
        </w:tc>
        <w:tc>
          <w:tcPr>
            <w:tcW w:w="844" w:type="dxa"/>
            <w:noWrap w:val="0"/>
            <w:vAlign w:val="center"/>
          </w:tcPr>
          <w:p w14:paraId="7D1AD0F4">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3.27</w:t>
            </w:r>
          </w:p>
        </w:tc>
        <w:tc>
          <w:tcPr>
            <w:tcW w:w="1126" w:type="dxa"/>
            <w:noWrap w:val="0"/>
            <w:vAlign w:val="center"/>
          </w:tcPr>
          <w:p w14:paraId="4EE7696D">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892" w:type="dxa"/>
            <w:noWrap w:val="0"/>
            <w:vAlign w:val="center"/>
          </w:tcPr>
          <w:p w14:paraId="0AACD2F7">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0.075</w:t>
            </w:r>
          </w:p>
        </w:tc>
        <w:tc>
          <w:tcPr>
            <w:tcW w:w="876" w:type="dxa"/>
            <w:noWrap w:val="0"/>
            <w:vAlign w:val="center"/>
          </w:tcPr>
          <w:p w14:paraId="001F5D1E">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0.357</w:t>
            </w:r>
          </w:p>
        </w:tc>
      </w:tr>
      <w:tr w14:paraId="6179A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restart"/>
            <w:noWrap w:val="0"/>
            <w:vAlign w:val="center"/>
          </w:tcPr>
          <w:p w14:paraId="18A3264B">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破碎、磨粉、其他辅料投料、</w:t>
            </w:r>
            <w:r>
              <w:rPr>
                <w:rFonts w:hint="default" w:ascii="Times New Roman" w:hAnsi="Times New Roman" w:eastAsia="宋体" w:cs="Times New Roman"/>
                <w:i w:val="0"/>
                <w:iCs w:val="0"/>
                <w:color w:val="auto"/>
                <w:u w:val="none" w:color="auto"/>
                <w:lang w:val="en-US" w:eastAsia="zh-CN"/>
              </w:rPr>
              <w:t>混料废气</w:t>
            </w:r>
          </w:p>
        </w:tc>
        <w:tc>
          <w:tcPr>
            <w:tcW w:w="973" w:type="dxa"/>
            <w:vMerge w:val="restart"/>
            <w:noWrap w:val="0"/>
            <w:vAlign w:val="center"/>
          </w:tcPr>
          <w:p w14:paraId="49A62E1C">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颗粒物</w:t>
            </w:r>
          </w:p>
        </w:tc>
        <w:tc>
          <w:tcPr>
            <w:tcW w:w="900" w:type="dxa"/>
            <w:noWrap w:val="0"/>
            <w:vAlign w:val="center"/>
          </w:tcPr>
          <w:p w14:paraId="448461E4">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1EDCC0FE">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86.277</w:t>
            </w:r>
          </w:p>
        </w:tc>
        <w:tc>
          <w:tcPr>
            <w:tcW w:w="956" w:type="dxa"/>
            <w:noWrap w:val="0"/>
            <w:vAlign w:val="center"/>
          </w:tcPr>
          <w:p w14:paraId="5E224EDC">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1.726</w:t>
            </w:r>
          </w:p>
        </w:tc>
        <w:tc>
          <w:tcPr>
            <w:tcW w:w="844" w:type="dxa"/>
            <w:noWrap w:val="0"/>
            <w:vAlign w:val="center"/>
          </w:tcPr>
          <w:p w14:paraId="122D9533">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6.399</w:t>
            </w:r>
          </w:p>
        </w:tc>
        <w:tc>
          <w:tcPr>
            <w:tcW w:w="1126" w:type="dxa"/>
            <w:noWrap w:val="0"/>
            <w:vAlign w:val="center"/>
          </w:tcPr>
          <w:p w14:paraId="3BCDBEB1">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0.863</w:t>
            </w:r>
          </w:p>
        </w:tc>
        <w:tc>
          <w:tcPr>
            <w:tcW w:w="892" w:type="dxa"/>
            <w:noWrap w:val="0"/>
            <w:vAlign w:val="center"/>
          </w:tcPr>
          <w:p w14:paraId="556D434C">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0.017</w:t>
            </w:r>
          </w:p>
        </w:tc>
        <w:tc>
          <w:tcPr>
            <w:tcW w:w="876" w:type="dxa"/>
            <w:noWrap w:val="0"/>
            <w:vAlign w:val="center"/>
          </w:tcPr>
          <w:p w14:paraId="44F84A28">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0.064</w:t>
            </w:r>
          </w:p>
        </w:tc>
      </w:tr>
      <w:tr w14:paraId="3F03E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0260C578">
            <w:pPr>
              <w:pStyle w:val="31"/>
              <w:bidi w:val="0"/>
              <w:rPr>
                <w:rFonts w:hint="default" w:ascii="Times New Roman" w:hAnsi="Times New Roman" w:eastAsia="宋体" w:cs="Times New Roman"/>
                <w:i w:val="0"/>
                <w:iCs w:val="0"/>
                <w:color w:val="auto"/>
                <w:u w:val="none" w:color="auto"/>
                <w:lang w:val="en-US" w:eastAsia="zh-CN"/>
              </w:rPr>
            </w:pPr>
          </w:p>
        </w:tc>
        <w:tc>
          <w:tcPr>
            <w:tcW w:w="973" w:type="dxa"/>
            <w:vMerge w:val="continue"/>
            <w:noWrap w:val="0"/>
            <w:vAlign w:val="center"/>
          </w:tcPr>
          <w:p w14:paraId="50B04DE3">
            <w:pPr>
              <w:pStyle w:val="31"/>
              <w:bidi w:val="0"/>
              <w:rPr>
                <w:rFonts w:hint="default" w:ascii="Times New Roman" w:hAnsi="Times New Roman" w:eastAsia="宋体" w:cs="Times New Roman"/>
                <w:i w:val="0"/>
                <w:iCs w:val="0"/>
                <w:color w:val="auto"/>
                <w:u w:val="none" w:color="auto"/>
                <w:lang w:val="en-US" w:eastAsia="zh-CN"/>
              </w:rPr>
            </w:pPr>
          </w:p>
        </w:tc>
        <w:tc>
          <w:tcPr>
            <w:tcW w:w="900" w:type="dxa"/>
            <w:noWrap w:val="0"/>
            <w:vAlign w:val="center"/>
          </w:tcPr>
          <w:p w14:paraId="44B081A0">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56C6C4A2">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956" w:type="dxa"/>
            <w:noWrap w:val="0"/>
            <w:vAlign w:val="center"/>
          </w:tcPr>
          <w:p w14:paraId="34AB0DA4">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0.192</w:t>
            </w:r>
          </w:p>
        </w:tc>
        <w:tc>
          <w:tcPr>
            <w:tcW w:w="844" w:type="dxa"/>
            <w:noWrap w:val="0"/>
            <w:vAlign w:val="center"/>
          </w:tcPr>
          <w:p w14:paraId="0B31E24A">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0.711</w:t>
            </w:r>
          </w:p>
        </w:tc>
        <w:tc>
          <w:tcPr>
            <w:tcW w:w="1126" w:type="dxa"/>
            <w:noWrap w:val="0"/>
            <w:vAlign w:val="center"/>
          </w:tcPr>
          <w:p w14:paraId="358593DA">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892" w:type="dxa"/>
            <w:noWrap w:val="0"/>
            <w:vAlign w:val="center"/>
          </w:tcPr>
          <w:p w14:paraId="41E5EC6E">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0.192</w:t>
            </w:r>
          </w:p>
        </w:tc>
        <w:tc>
          <w:tcPr>
            <w:tcW w:w="876" w:type="dxa"/>
            <w:noWrap w:val="0"/>
            <w:vAlign w:val="center"/>
          </w:tcPr>
          <w:p w14:paraId="1F6BEC76">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0.711</w:t>
            </w:r>
          </w:p>
        </w:tc>
      </w:tr>
      <w:tr w14:paraId="768DA8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restart"/>
            <w:noWrap w:val="0"/>
            <w:vAlign w:val="center"/>
          </w:tcPr>
          <w:p w14:paraId="4FFB0366">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1#厂房</w:t>
            </w:r>
            <w:r>
              <w:rPr>
                <w:rFonts w:hint="default" w:ascii="Times New Roman" w:hAnsi="Times New Roman" w:eastAsia="宋体" w:cs="Times New Roman"/>
                <w:i w:val="0"/>
                <w:iCs w:val="0"/>
                <w:color w:val="auto"/>
                <w:u w:val="none" w:color="auto"/>
                <w:lang w:val="en-US" w:eastAsia="zh-CN"/>
              </w:rPr>
              <w:t>挤出</w:t>
            </w:r>
            <w:r>
              <w:rPr>
                <w:rFonts w:hint="eastAsia" w:ascii="Times New Roman" w:hAnsi="Times New Roman" w:eastAsia="宋体" w:cs="Times New Roman"/>
                <w:i w:val="0"/>
                <w:iCs w:val="0"/>
                <w:color w:val="auto"/>
                <w:u w:val="none" w:color="auto"/>
                <w:lang w:val="en-US" w:eastAsia="zh-CN"/>
              </w:rPr>
              <w:t>、覆膜</w:t>
            </w:r>
            <w:r>
              <w:rPr>
                <w:rFonts w:hint="default" w:ascii="Times New Roman" w:hAnsi="Times New Roman" w:eastAsia="宋体" w:cs="Times New Roman"/>
                <w:i w:val="0"/>
                <w:iCs w:val="0"/>
                <w:color w:val="auto"/>
                <w:u w:val="none" w:color="auto"/>
                <w:lang w:val="en-US" w:eastAsia="zh-CN"/>
              </w:rPr>
              <w:t>废气</w:t>
            </w:r>
          </w:p>
        </w:tc>
        <w:tc>
          <w:tcPr>
            <w:tcW w:w="973" w:type="dxa"/>
            <w:vMerge w:val="restart"/>
            <w:noWrap w:val="0"/>
            <w:vAlign w:val="center"/>
          </w:tcPr>
          <w:p w14:paraId="63C97C45">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非甲烷总烃</w:t>
            </w:r>
          </w:p>
        </w:tc>
        <w:tc>
          <w:tcPr>
            <w:tcW w:w="900" w:type="dxa"/>
            <w:noWrap w:val="0"/>
            <w:vAlign w:val="center"/>
          </w:tcPr>
          <w:p w14:paraId="77EE7CDD">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08C615A8">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8.766</w:t>
            </w:r>
          </w:p>
        </w:tc>
        <w:tc>
          <w:tcPr>
            <w:tcW w:w="956" w:type="dxa"/>
            <w:noWrap w:val="0"/>
            <w:vAlign w:val="center"/>
          </w:tcPr>
          <w:p w14:paraId="5B64CABE">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0.351</w:t>
            </w:r>
          </w:p>
        </w:tc>
        <w:tc>
          <w:tcPr>
            <w:tcW w:w="844" w:type="dxa"/>
            <w:noWrap w:val="0"/>
            <w:vAlign w:val="center"/>
          </w:tcPr>
          <w:p w14:paraId="50436AC4">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1.683</w:t>
            </w:r>
          </w:p>
        </w:tc>
        <w:tc>
          <w:tcPr>
            <w:tcW w:w="1126" w:type="dxa"/>
            <w:noWrap w:val="0"/>
            <w:vAlign w:val="center"/>
          </w:tcPr>
          <w:p w14:paraId="58AB12C9">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2.63</w:t>
            </w:r>
          </w:p>
        </w:tc>
        <w:tc>
          <w:tcPr>
            <w:tcW w:w="892" w:type="dxa"/>
            <w:noWrap w:val="0"/>
            <w:vAlign w:val="center"/>
          </w:tcPr>
          <w:p w14:paraId="044FE4F4">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0.105</w:t>
            </w:r>
          </w:p>
        </w:tc>
        <w:tc>
          <w:tcPr>
            <w:tcW w:w="876" w:type="dxa"/>
            <w:noWrap w:val="0"/>
            <w:vAlign w:val="center"/>
          </w:tcPr>
          <w:p w14:paraId="3AABEC48">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0.505</w:t>
            </w:r>
          </w:p>
        </w:tc>
      </w:tr>
      <w:tr w14:paraId="68F3A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00B23FBD">
            <w:pPr>
              <w:pStyle w:val="31"/>
              <w:bidi w:val="0"/>
              <w:rPr>
                <w:rFonts w:hint="default" w:ascii="Times New Roman" w:hAnsi="Times New Roman" w:eastAsia="宋体" w:cs="Times New Roman"/>
                <w:i w:val="0"/>
                <w:iCs w:val="0"/>
                <w:color w:val="auto"/>
                <w:u w:val="none" w:color="auto"/>
                <w:lang w:val="en-US" w:eastAsia="zh-CN"/>
              </w:rPr>
            </w:pPr>
          </w:p>
        </w:tc>
        <w:tc>
          <w:tcPr>
            <w:tcW w:w="973" w:type="dxa"/>
            <w:vMerge w:val="continue"/>
            <w:noWrap w:val="0"/>
            <w:vAlign w:val="center"/>
          </w:tcPr>
          <w:p w14:paraId="5644DB67">
            <w:pPr>
              <w:pStyle w:val="31"/>
              <w:bidi w:val="0"/>
              <w:rPr>
                <w:rFonts w:hint="default" w:ascii="Times New Roman" w:hAnsi="Times New Roman" w:eastAsia="宋体" w:cs="Times New Roman"/>
                <w:i w:val="0"/>
                <w:iCs w:val="0"/>
                <w:color w:val="auto"/>
                <w:u w:val="none" w:color="auto"/>
                <w:lang w:val="en-US" w:eastAsia="zh-CN"/>
              </w:rPr>
            </w:pPr>
          </w:p>
        </w:tc>
        <w:tc>
          <w:tcPr>
            <w:tcW w:w="900" w:type="dxa"/>
            <w:noWrap w:val="0"/>
            <w:vAlign w:val="center"/>
          </w:tcPr>
          <w:p w14:paraId="55A5599A">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17EBDCF5">
            <w:pPr>
              <w:pStyle w:val="24"/>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w:t>
            </w:r>
          </w:p>
        </w:tc>
        <w:tc>
          <w:tcPr>
            <w:tcW w:w="956" w:type="dxa"/>
            <w:noWrap w:val="0"/>
            <w:vAlign w:val="center"/>
          </w:tcPr>
          <w:p w14:paraId="21703AAD">
            <w:pPr>
              <w:pStyle w:val="24"/>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0.062</w:t>
            </w:r>
          </w:p>
        </w:tc>
        <w:tc>
          <w:tcPr>
            <w:tcW w:w="844" w:type="dxa"/>
            <w:noWrap w:val="0"/>
            <w:vAlign w:val="center"/>
          </w:tcPr>
          <w:p w14:paraId="3840B0CF">
            <w:pPr>
              <w:pStyle w:val="24"/>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0.297</w:t>
            </w:r>
          </w:p>
        </w:tc>
        <w:tc>
          <w:tcPr>
            <w:tcW w:w="1126" w:type="dxa"/>
            <w:noWrap w:val="0"/>
            <w:vAlign w:val="center"/>
          </w:tcPr>
          <w:p w14:paraId="7A39BF45">
            <w:pPr>
              <w:pStyle w:val="24"/>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892" w:type="dxa"/>
            <w:noWrap w:val="0"/>
            <w:vAlign w:val="center"/>
          </w:tcPr>
          <w:p w14:paraId="176105F7">
            <w:pPr>
              <w:pStyle w:val="24"/>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0.062</w:t>
            </w:r>
          </w:p>
        </w:tc>
        <w:tc>
          <w:tcPr>
            <w:tcW w:w="876" w:type="dxa"/>
            <w:noWrap w:val="0"/>
            <w:vAlign w:val="center"/>
          </w:tcPr>
          <w:p w14:paraId="1AD87D96">
            <w:pPr>
              <w:pStyle w:val="24"/>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0.297</w:t>
            </w:r>
          </w:p>
        </w:tc>
      </w:tr>
      <w:tr w14:paraId="53B7AF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2575C2A6">
            <w:pPr>
              <w:pStyle w:val="31"/>
              <w:bidi w:val="0"/>
              <w:rPr>
                <w:rFonts w:hint="default" w:ascii="Times New Roman" w:hAnsi="Times New Roman" w:eastAsia="宋体" w:cs="Times New Roman"/>
                <w:i w:val="0"/>
                <w:iCs w:val="0"/>
                <w:color w:val="auto"/>
                <w:u w:val="none" w:color="auto"/>
                <w:lang w:val="en-US" w:eastAsia="zh-CN"/>
              </w:rPr>
            </w:pPr>
          </w:p>
        </w:tc>
        <w:tc>
          <w:tcPr>
            <w:tcW w:w="973" w:type="dxa"/>
            <w:vMerge w:val="restart"/>
            <w:noWrap w:val="0"/>
            <w:vAlign w:val="center"/>
          </w:tcPr>
          <w:p w14:paraId="17C8D3EF">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氯化氢</w:t>
            </w:r>
          </w:p>
        </w:tc>
        <w:tc>
          <w:tcPr>
            <w:tcW w:w="900" w:type="dxa"/>
            <w:noWrap w:val="0"/>
            <w:vAlign w:val="center"/>
          </w:tcPr>
          <w:p w14:paraId="475F1DC3">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66884F00">
            <w:pPr>
              <w:pStyle w:val="24"/>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2.524</w:t>
            </w:r>
          </w:p>
        </w:tc>
        <w:tc>
          <w:tcPr>
            <w:tcW w:w="956" w:type="dxa"/>
            <w:noWrap w:val="0"/>
            <w:vAlign w:val="center"/>
          </w:tcPr>
          <w:p w14:paraId="01C8627A">
            <w:pPr>
              <w:pStyle w:val="24"/>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0.101</w:t>
            </w:r>
          </w:p>
        </w:tc>
        <w:tc>
          <w:tcPr>
            <w:tcW w:w="844" w:type="dxa"/>
            <w:noWrap w:val="0"/>
            <w:vAlign w:val="center"/>
          </w:tcPr>
          <w:p w14:paraId="6662D389">
            <w:pPr>
              <w:pStyle w:val="24"/>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0.484</w:t>
            </w:r>
          </w:p>
        </w:tc>
        <w:tc>
          <w:tcPr>
            <w:tcW w:w="1126" w:type="dxa"/>
            <w:noWrap w:val="0"/>
            <w:vAlign w:val="center"/>
          </w:tcPr>
          <w:p w14:paraId="266906F2">
            <w:pPr>
              <w:pStyle w:val="24"/>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2.524</w:t>
            </w:r>
          </w:p>
        </w:tc>
        <w:tc>
          <w:tcPr>
            <w:tcW w:w="892" w:type="dxa"/>
            <w:noWrap w:val="0"/>
            <w:vAlign w:val="center"/>
          </w:tcPr>
          <w:p w14:paraId="12FF9E9A">
            <w:pPr>
              <w:pStyle w:val="24"/>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0.101</w:t>
            </w:r>
          </w:p>
        </w:tc>
        <w:tc>
          <w:tcPr>
            <w:tcW w:w="876" w:type="dxa"/>
            <w:noWrap w:val="0"/>
            <w:vAlign w:val="center"/>
          </w:tcPr>
          <w:p w14:paraId="3FD55D40">
            <w:pPr>
              <w:pStyle w:val="24"/>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0.484</w:t>
            </w:r>
          </w:p>
        </w:tc>
      </w:tr>
      <w:tr w14:paraId="04864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50D3DC84">
            <w:pPr>
              <w:pStyle w:val="31"/>
              <w:bidi w:val="0"/>
              <w:rPr>
                <w:rFonts w:hint="default" w:ascii="Times New Roman" w:hAnsi="Times New Roman" w:eastAsia="宋体" w:cs="Times New Roman"/>
                <w:i w:val="0"/>
                <w:iCs w:val="0"/>
                <w:color w:val="auto"/>
                <w:u w:val="none" w:color="auto"/>
                <w:lang w:val="en-US" w:eastAsia="zh-CN"/>
              </w:rPr>
            </w:pPr>
          </w:p>
        </w:tc>
        <w:tc>
          <w:tcPr>
            <w:tcW w:w="973" w:type="dxa"/>
            <w:vMerge w:val="continue"/>
            <w:noWrap w:val="0"/>
            <w:vAlign w:val="center"/>
          </w:tcPr>
          <w:p w14:paraId="25180052">
            <w:pPr>
              <w:pStyle w:val="31"/>
              <w:bidi w:val="0"/>
              <w:rPr>
                <w:rFonts w:hint="default" w:ascii="Times New Roman" w:hAnsi="Times New Roman" w:eastAsia="宋体" w:cs="Times New Roman"/>
                <w:i w:val="0"/>
                <w:iCs w:val="0"/>
                <w:color w:val="auto"/>
                <w:u w:val="none" w:color="auto"/>
                <w:lang w:val="en-US" w:eastAsia="zh-CN"/>
              </w:rPr>
            </w:pPr>
          </w:p>
        </w:tc>
        <w:tc>
          <w:tcPr>
            <w:tcW w:w="900" w:type="dxa"/>
            <w:noWrap w:val="0"/>
            <w:vAlign w:val="center"/>
          </w:tcPr>
          <w:p w14:paraId="27946EB0">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0DBA208B">
            <w:pPr>
              <w:pStyle w:val="24"/>
              <w:bidi w:val="0"/>
              <w:rPr>
                <w:rFonts w:hint="default"/>
                <w:color w:val="auto"/>
                <w:u w:val="none" w:color="auto"/>
                <w:lang w:val="en-US" w:eastAsia="zh-CN"/>
              </w:rPr>
            </w:pPr>
            <w:r>
              <w:rPr>
                <w:rFonts w:hint="eastAsia"/>
                <w:color w:val="auto"/>
                <w:u w:val="none" w:color="auto"/>
                <w:lang w:val="en-US" w:eastAsia="zh-CN"/>
              </w:rPr>
              <w:t>/</w:t>
            </w:r>
          </w:p>
        </w:tc>
        <w:tc>
          <w:tcPr>
            <w:tcW w:w="956" w:type="dxa"/>
            <w:noWrap w:val="0"/>
            <w:vAlign w:val="center"/>
          </w:tcPr>
          <w:p w14:paraId="6E5FCFD2">
            <w:pPr>
              <w:pStyle w:val="24"/>
              <w:bidi w:val="0"/>
              <w:rPr>
                <w:rFonts w:hint="default"/>
                <w:color w:val="auto"/>
                <w:u w:val="none" w:color="auto"/>
                <w:lang w:val="en-US" w:eastAsia="zh-CN"/>
              </w:rPr>
            </w:pPr>
            <w:r>
              <w:rPr>
                <w:rFonts w:hint="eastAsia"/>
                <w:color w:val="auto"/>
                <w:u w:val="none" w:color="auto"/>
                <w:lang w:val="en-US" w:eastAsia="zh-CN"/>
              </w:rPr>
              <w:t>0.018</w:t>
            </w:r>
          </w:p>
        </w:tc>
        <w:tc>
          <w:tcPr>
            <w:tcW w:w="844" w:type="dxa"/>
            <w:noWrap w:val="0"/>
            <w:vAlign w:val="center"/>
          </w:tcPr>
          <w:p w14:paraId="2129BE9F">
            <w:pPr>
              <w:pStyle w:val="24"/>
              <w:bidi w:val="0"/>
              <w:rPr>
                <w:rFonts w:hint="default"/>
                <w:color w:val="auto"/>
                <w:u w:val="none" w:color="auto"/>
                <w:lang w:val="en-US" w:eastAsia="zh-CN"/>
              </w:rPr>
            </w:pPr>
            <w:r>
              <w:rPr>
                <w:rFonts w:hint="eastAsia"/>
                <w:color w:val="auto"/>
                <w:u w:val="none" w:color="auto"/>
                <w:lang w:val="en-US" w:eastAsia="zh-CN"/>
              </w:rPr>
              <w:t>0.086</w:t>
            </w:r>
          </w:p>
        </w:tc>
        <w:tc>
          <w:tcPr>
            <w:tcW w:w="1126" w:type="dxa"/>
            <w:noWrap w:val="0"/>
            <w:vAlign w:val="center"/>
          </w:tcPr>
          <w:p w14:paraId="401ED9B2">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w:t>
            </w:r>
          </w:p>
        </w:tc>
        <w:tc>
          <w:tcPr>
            <w:tcW w:w="892" w:type="dxa"/>
            <w:noWrap w:val="0"/>
            <w:vAlign w:val="center"/>
          </w:tcPr>
          <w:p w14:paraId="2B6ED63B">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0.018</w:t>
            </w:r>
          </w:p>
        </w:tc>
        <w:tc>
          <w:tcPr>
            <w:tcW w:w="876" w:type="dxa"/>
            <w:noWrap w:val="0"/>
            <w:vAlign w:val="center"/>
          </w:tcPr>
          <w:p w14:paraId="12ACB3D4">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0.086</w:t>
            </w:r>
          </w:p>
        </w:tc>
      </w:tr>
      <w:tr w14:paraId="36778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restart"/>
            <w:noWrap w:val="0"/>
            <w:vAlign w:val="center"/>
          </w:tcPr>
          <w:p w14:paraId="34A18132">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2#厂房覆膜废气</w:t>
            </w:r>
          </w:p>
        </w:tc>
        <w:tc>
          <w:tcPr>
            <w:tcW w:w="973" w:type="dxa"/>
            <w:vMerge w:val="restart"/>
            <w:noWrap w:val="0"/>
            <w:vAlign w:val="center"/>
          </w:tcPr>
          <w:p w14:paraId="44FA193D">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非甲烷总烃</w:t>
            </w:r>
          </w:p>
        </w:tc>
        <w:tc>
          <w:tcPr>
            <w:tcW w:w="900" w:type="dxa"/>
            <w:noWrap w:val="0"/>
            <w:vAlign w:val="center"/>
          </w:tcPr>
          <w:p w14:paraId="3A812D29">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48A979E3">
            <w:pPr>
              <w:pStyle w:val="24"/>
              <w:bidi w:val="0"/>
              <w:rPr>
                <w:rFonts w:hint="default"/>
                <w:color w:val="auto"/>
                <w:u w:val="none" w:color="auto"/>
                <w:lang w:val="en-US" w:eastAsia="zh-CN"/>
              </w:rPr>
            </w:pPr>
            <w:r>
              <w:rPr>
                <w:rFonts w:hint="eastAsia"/>
                <w:color w:val="auto"/>
                <w:u w:val="none" w:color="auto"/>
                <w:lang w:val="en-US" w:eastAsia="zh-CN"/>
              </w:rPr>
              <w:t>51.972</w:t>
            </w:r>
          </w:p>
        </w:tc>
        <w:tc>
          <w:tcPr>
            <w:tcW w:w="956" w:type="dxa"/>
            <w:noWrap w:val="0"/>
            <w:vAlign w:val="center"/>
          </w:tcPr>
          <w:p w14:paraId="0DC735D4">
            <w:pPr>
              <w:pStyle w:val="24"/>
              <w:bidi w:val="0"/>
              <w:rPr>
                <w:rFonts w:hint="default"/>
                <w:color w:val="auto"/>
                <w:u w:val="none" w:color="auto"/>
                <w:lang w:val="en-US" w:eastAsia="zh-CN"/>
              </w:rPr>
            </w:pPr>
            <w:r>
              <w:rPr>
                <w:rFonts w:hint="eastAsia"/>
                <w:color w:val="auto"/>
                <w:u w:val="none" w:color="auto"/>
                <w:lang w:val="en-US" w:eastAsia="zh-CN"/>
              </w:rPr>
              <w:t>1.299</w:t>
            </w:r>
          </w:p>
        </w:tc>
        <w:tc>
          <w:tcPr>
            <w:tcW w:w="844" w:type="dxa"/>
            <w:noWrap w:val="0"/>
            <w:vAlign w:val="center"/>
          </w:tcPr>
          <w:p w14:paraId="68047DA7">
            <w:pPr>
              <w:pStyle w:val="24"/>
              <w:bidi w:val="0"/>
              <w:rPr>
                <w:rFonts w:hint="default"/>
                <w:color w:val="auto"/>
                <w:u w:val="none" w:color="auto"/>
                <w:lang w:val="en-US" w:eastAsia="zh-CN"/>
              </w:rPr>
            </w:pPr>
            <w:r>
              <w:rPr>
                <w:rFonts w:hint="eastAsia"/>
                <w:color w:val="auto"/>
                <w:u w:val="none" w:color="auto"/>
                <w:lang w:val="en-US" w:eastAsia="zh-CN"/>
              </w:rPr>
              <w:t>3.118</w:t>
            </w:r>
          </w:p>
        </w:tc>
        <w:tc>
          <w:tcPr>
            <w:tcW w:w="1126" w:type="dxa"/>
            <w:noWrap w:val="0"/>
            <w:vAlign w:val="center"/>
          </w:tcPr>
          <w:p w14:paraId="010E07CB">
            <w:pPr>
              <w:pStyle w:val="24"/>
              <w:bidi w:val="0"/>
              <w:rPr>
                <w:rFonts w:hint="default"/>
                <w:color w:val="auto"/>
                <w:u w:val="none" w:color="auto"/>
                <w:lang w:val="en-US" w:eastAsia="zh-CN"/>
              </w:rPr>
            </w:pPr>
            <w:r>
              <w:rPr>
                <w:rFonts w:hint="eastAsia"/>
                <w:color w:val="auto"/>
                <w:u w:val="none" w:color="auto"/>
                <w:lang w:val="en-US" w:eastAsia="zh-CN"/>
              </w:rPr>
              <w:t>15.592</w:t>
            </w:r>
          </w:p>
        </w:tc>
        <w:tc>
          <w:tcPr>
            <w:tcW w:w="892" w:type="dxa"/>
            <w:noWrap w:val="0"/>
            <w:vAlign w:val="center"/>
          </w:tcPr>
          <w:p w14:paraId="1AE64695">
            <w:pPr>
              <w:pStyle w:val="24"/>
              <w:bidi w:val="0"/>
              <w:rPr>
                <w:rFonts w:hint="default"/>
                <w:color w:val="auto"/>
                <w:u w:val="none" w:color="auto"/>
                <w:lang w:val="en-US" w:eastAsia="zh-CN"/>
              </w:rPr>
            </w:pPr>
            <w:r>
              <w:rPr>
                <w:rFonts w:hint="eastAsia"/>
                <w:color w:val="auto"/>
                <w:u w:val="none" w:color="auto"/>
                <w:lang w:val="en-US" w:eastAsia="zh-CN"/>
              </w:rPr>
              <w:t>0.39</w:t>
            </w:r>
          </w:p>
        </w:tc>
        <w:tc>
          <w:tcPr>
            <w:tcW w:w="876" w:type="dxa"/>
            <w:noWrap w:val="0"/>
            <w:vAlign w:val="center"/>
          </w:tcPr>
          <w:p w14:paraId="7B7B6663">
            <w:pPr>
              <w:pStyle w:val="24"/>
              <w:bidi w:val="0"/>
              <w:rPr>
                <w:rFonts w:hint="default"/>
                <w:color w:val="auto"/>
                <w:u w:val="none" w:color="auto"/>
                <w:lang w:val="en-US" w:eastAsia="zh-CN"/>
              </w:rPr>
            </w:pPr>
            <w:r>
              <w:rPr>
                <w:rFonts w:hint="eastAsia"/>
                <w:color w:val="auto"/>
                <w:u w:val="none" w:color="auto"/>
                <w:lang w:val="en-US" w:eastAsia="zh-CN"/>
              </w:rPr>
              <w:t>0.936</w:t>
            </w:r>
          </w:p>
        </w:tc>
      </w:tr>
      <w:tr w14:paraId="3F468C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67CEA560">
            <w:pPr>
              <w:pStyle w:val="31"/>
              <w:bidi w:val="0"/>
              <w:rPr>
                <w:rFonts w:hint="eastAsia" w:ascii="Times New Roman" w:hAnsi="Times New Roman" w:eastAsia="宋体" w:cs="Times New Roman"/>
                <w:i w:val="0"/>
                <w:iCs w:val="0"/>
                <w:color w:val="auto"/>
                <w:u w:val="none" w:color="auto"/>
                <w:lang w:val="en-US" w:eastAsia="zh-CN"/>
              </w:rPr>
            </w:pPr>
          </w:p>
        </w:tc>
        <w:tc>
          <w:tcPr>
            <w:tcW w:w="973" w:type="dxa"/>
            <w:vMerge w:val="continue"/>
            <w:noWrap w:val="0"/>
            <w:vAlign w:val="center"/>
          </w:tcPr>
          <w:p w14:paraId="18DF48C2">
            <w:pPr>
              <w:pStyle w:val="31"/>
              <w:bidi w:val="0"/>
              <w:rPr>
                <w:rFonts w:hint="default" w:ascii="Times New Roman" w:hAnsi="Times New Roman" w:eastAsia="宋体" w:cs="Times New Roman"/>
                <w:i w:val="0"/>
                <w:iCs w:val="0"/>
                <w:color w:val="auto"/>
                <w:u w:val="none" w:color="auto"/>
                <w:lang w:val="en-US" w:eastAsia="zh-CN"/>
              </w:rPr>
            </w:pPr>
          </w:p>
        </w:tc>
        <w:tc>
          <w:tcPr>
            <w:tcW w:w="900" w:type="dxa"/>
            <w:noWrap w:val="0"/>
            <w:vAlign w:val="center"/>
          </w:tcPr>
          <w:p w14:paraId="27BB3E68">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2F0751BC">
            <w:pPr>
              <w:pStyle w:val="24"/>
              <w:bidi w:val="0"/>
              <w:rPr>
                <w:rFonts w:hint="default"/>
                <w:color w:val="auto"/>
                <w:u w:val="none" w:color="auto"/>
                <w:lang w:val="en-US" w:eastAsia="zh-CN"/>
              </w:rPr>
            </w:pPr>
            <w:r>
              <w:rPr>
                <w:rFonts w:hint="eastAsia"/>
                <w:color w:val="auto"/>
                <w:u w:val="none" w:color="auto"/>
                <w:lang w:val="en-US" w:eastAsia="zh-CN"/>
              </w:rPr>
              <w:t>/</w:t>
            </w:r>
          </w:p>
        </w:tc>
        <w:tc>
          <w:tcPr>
            <w:tcW w:w="956" w:type="dxa"/>
            <w:noWrap w:val="0"/>
            <w:vAlign w:val="center"/>
          </w:tcPr>
          <w:p w14:paraId="5B43EF86">
            <w:pPr>
              <w:pStyle w:val="24"/>
              <w:bidi w:val="0"/>
              <w:rPr>
                <w:rFonts w:hint="default"/>
                <w:color w:val="auto"/>
                <w:u w:val="none" w:color="auto"/>
                <w:lang w:val="en-US" w:eastAsia="zh-CN"/>
              </w:rPr>
            </w:pPr>
            <w:r>
              <w:rPr>
                <w:rFonts w:hint="eastAsia"/>
                <w:color w:val="auto"/>
                <w:u w:val="none" w:color="auto"/>
                <w:lang w:val="en-US" w:eastAsia="zh-CN"/>
              </w:rPr>
              <w:t>0.17</w:t>
            </w:r>
          </w:p>
        </w:tc>
        <w:tc>
          <w:tcPr>
            <w:tcW w:w="844" w:type="dxa"/>
            <w:noWrap w:val="0"/>
            <w:vAlign w:val="center"/>
          </w:tcPr>
          <w:p w14:paraId="3A4091E2">
            <w:pPr>
              <w:pStyle w:val="24"/>
              <w:bidi w:val="0"/>
              <w:rPr>
                <w:rFonts w:hint="default"/>
                <w:color w:val="auto"/>
                <w:u w:val="none" w:color="auto"/>
                <w:lang w:val="en-US" w:eastAsia="zh-CN"/>
              </w:rPr>
            </w:pPr>
            <w:r>
              <w:rPr>
                <w:rFonts w:hint="eastAsia"/>
                <w:color w:val="auto"/>
                <w:u w:val="none" w:color="auto"/>
                <w:lang w:val="en-US" w:eastAsia="zh-CN"/>
              </w:rPr>
              <w:t>0.408</w:t>
            </w:r>
          </w:p>
        </w:tc>
        <w:tc>
          <w:tcPr>
            <w:tcW w:w="1126" w:type="dxa"/>
            <w:noWrap w:val="0"/>
            <w:vAlign w:val="center"/>
          </w:tcPr>
          <w:p w14:paraId="6D408A6E">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w:t>
            </w:r>
          </w:p>
        </w:tc>
        <w:tc>
          <w:tcPr>
            <w:tcW w:w="892" w:type="dxa"/>
            <w:noWrap w:val="0"/>
            <w:vAlign w:val="center"/>
          </w:tcPr>
          <w:p w14:paraId="414A0E26">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0.17</w:t>
            </w:r>
          </w:p>
        </w:tc>
        <w:tc>
          <w:tcPr>
            <w:tcW w:w="876" w:type="dxa"/>
            <w:noWrap w:val="0"/>
            <w:vAlign w:val="center"/>
          </w:tcPr>
          <w:p w14:paraId="4A315427">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0.408</w:t>
            </w:r>
          </w:p>
        </w:tc>
      </w:tr>
      <w:tr w14:paraId="436D7E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63F6441C">
            <w:pPr>
              <w:pStyle w:val="31"/>
              <w:bidi w:val="0"/>
              <w:rPr>
                <w:rFonts w:hint="eastAsia" w:ascii="Times New Roman" w:hAnsi="Times New Roman" w:eastAsia="宋体" w:cs="Times New Roman"/>
                <w:i w:val="0"/>
                <w:iCs w:val="0"/>
                <w:color w:val="auto"/>
                <w:u w:val="none" w:color="auto"/>
                <w:lang w:val="en-US" w:eastAsia="zh-CN"/>
              </w:rPr>
            </w:pPr>
          </w:p>
        </w:tc>
        <w:tc>
          <w:tcPr>
            <w:tcW w:w="973" w:type="dxa"/>
            <w:vMerge w:val="restart"/>
            <w:noWrap w:val="0"/>
            <w:vAlign w:val="center"/>
          </w:tcPr>
          <w:p w14:paraId="0DD1D53F">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二甲苯</w:t>
            </w:r>
          </w:p>
        </w:tc>
        <w:tc>
          <w:tcPr>
            <w:tcW w:w="900" w:type="dxa"/>
            <w:noWrap w:val="0"/>
            <w:vAlign w:val="center"/>
          </w:tcPr>
          <w:p w14:paraId="441D6AA0">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有组织</w:t>
            </w:r>
          </w:p>
        </w:tc>
        <w:tc>
          <w:tcPr>
            <w:tcW w:w="1050" w:type="dxa"/>
            <w:noWrap w:val="0"/>
            <w:vAlign w:val="center"/>
          </w:tcPr>
          <w:p w14:paraId="033ABE38">
            <w:pPr>
              <w:pStyle w:val="24"/>
              <w:bidi w:val="0"/>
              <w:rPr>
                <w:rFonts w:hint="default"/>
                <w:color w:val="auto"/>
                <w:u w:val="none" w:color="auto"/>
                <w:lang w:val="en-US" w:eastAsia="zh-CN"/>
              </w:rPr>
            </w:pPr>
            <w:r>
              <w:rPr>
                <w:rFonts w:hint="eastAsia"/>
                <w:color w:val="auto"/>
                <w:u w:val="none" w:color="auto"/>
                <w:lang w:val="en-US" w:eastAsia="zh-CN"/>
              </w:rPr>
              <w:t>2.841</w:t>
            </w:r>
          </w:p>
        </w:tc>
        <w:tc>
          <w:tcPr>
            <w:tcW w:w="956" w:type="dxa"/>
            <w:noWrap w:val="0"/>
            <w:vAlign w:val="center"/>
          </w:tcPr>
          <w:p w14:paraId="35C1AE71">
            <w:pPr>
              <w:pStyle w:val="24"/>
              <w:bidi w:val="0"/>
              <w:rPr>
                <w:rFonts w:hint="default"/>
                <w:color w:val="auto"/>
                <w:u w:val="none" w:color="auto"/>
                <w:lang w:val="en-US" w:eastAsia="zh-CN"/>
              </w:rPr>
            </w:pPr>
            <w:r>
              <w:rPr>
                <w:rFonts w:hint="eastAsia"/>
                <w:color w:val="auto"/>
                <w:u w:val="none" w:color="auto"/>
                <w:lang w:val="en-US" w:eastAsia="zh-CN"/>
              </w:rPr>
              <w:t>0.114</w:t>
            </w:r>
          </w:p>
        </w:tc>
        <w:tc>
          <w:tcPr>
            <w:tcW w:w="844" w:type="dxa"/>
            <w:noWrap w:val="0"/>
            <w:vAlign w:val="center"/>
          </w:tcPr>
          <w:p w14:paraId="135F6739">
            <w:pPr>
              <w:pStyle w:val="24"/>
              <w:bidi w:val="0"/>
              <w:rPr>
                <w:rFonts w:hint="default"/>
                <w:color w:val="auto"/>
                <w:u w:val="none" w:color="auto"/>
                <w:lang w:val="en-US" w:eastAsia="zh-CN"/>
              </w:rPr>
            </w:pPr>
            <w:r>
              <w:rPr>
                <w:rFonts w:hint="eastAsia"/>
                <w:color w:val="auto"/>
                <w:u w:val="none" w:color="auto"/>
                <w:lang w:val="en-US" w:eastAsia="zh-CN"/>
              </w:rPr>
              <w:t>0.545</w:t>
            </w:r>
          </w:p>
        </w:tc>
        <w:tc>
          <w:tcPr>
            <w:tcW w:w="1126" w:type="dxa"/>
            <w:noWrap w:val="0"/>
            <w:vAlign w:val="center"/>
          </w:tcPr>
          <w:p w14:paraId="05844455">
            <w:pPr>
              <w:pStyle w:val="24"/>
              <w:bidi w:val="0"/>
              <w:rPr>
                <w:rFonts w:hint="default"/>
                <w:color w:val="auto"/>
                <w:u w:val="none" w:color="auto"/>
                <w:lang w:val="en-US" w:eastAsia="zh-CN"/>
              </w:rPr>
            </w:pPr>
            <w:r>
              <w:rPr>
                <w:rFonts w:hint="eastAsia"/>
                <w:color w:val="auto"/>
                <w:u w:val="none" w:color="auto"/>
                <w:lang w:val="en-US" w:eastAsia="zh-CN"/>
              </w:rPr>
              <w:t>0.852</w:t>
            </w:r>
          </w:p>
        </w:tc>
        <w:tc>
          <w:tcPr>
            <w:tcW w:w="892" w:type="dxa"/>
            <w:noWrap w:val="0"/>
            <w:vAlign w:val="center"/>
          </w:tcPr>
          <w:p w14:paraId="704F5FC1">
            <w:pPr>
              <w:pStyle w:val="24"/>
              <w:bidi w:val="0"/>
              <w:rPr>
                <w:rFonts w:hint="default"/>
                <w:color w:val="auto"/>
                <w:u w:val="none" w:color="auto"/>
                <w:lang w:val="en-US" w:eastAsia="zh-CN"/>
              </w:rPr>
            </w:pPr>
            <w:r>
              <w:rPr>
                <w:rFonts w:hint="eastAsia"/>
                <w:color w:val="auto"/>
                <w:u w:val="none" w:color="auto"/>
                <w:lang w:val="en-US" w:eastAsia="zh-CN"/>
              </w:rPr>
              <w:t>0.034</w:t>
            </w:r>
          </w:p>
        </w:tc>
        <w:tc>
          <w:tcPr>
            <w:tcW w:w="876" w:type="dxa"/>
            <w:noWrap w:val="0"/>
            <w:vAlign w:val="center"/>
          </w:tcPr>
          <w:p w14:paraId="5E6F64BA">
            <w:pPr>
              <w:pStyle w:val="24"/>
              <w:bidi w:val="0"/>
              <w:rPr>
                <w:rFonts w:hint="default"/>
                <w:color w:val="auto"/>
                <w:u w:val="none" w:color="auto"/>
                <w:lang w:val="en-US" w:eastAsia="zh-CN"/>
              </w:rPr>
            </w:pPr>
            <w:r>
              <w:rPr>
                <w:rFonts w:hint="eastAsia"/>
                <w:color w:val="auto"/>
                <w:u w:val="none" w:color="auto"/>
                <w:lang w:val="en-US" w:eastAsia="zh-CN"/>
              </w:rPr>
              <w:t>0.164</w:t>
            </w:r>
          </w:p>
        </w:tc>
      </w:tr>
      <w:tr w14:paraId="2A26CD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87" w:type="dxa"/>
            <w:vMerge w:val="continue"/>
            <w:noWrap w:val="0"/>
            <w:vAlign w:val="center"/>
          </w:tcPr>
          <w:p w14:paraId="1B67EB67">
            <w:pPr>
              <w:pStyle w:val="31"/>
              <w:bidi w:val="0"/>
              <w:rPr>
                <w:rFonts w:hint="eastAsia" w:ascii="Times New Roman" w:hAnsi="Times New Roman" w:eastAsia="宋体" w:cs="Times New Roman"/>
                <w:i w:val="0"/>
                <w:iCs w:val="0"/>
                <w:color w:val="auto"/>
                <w:u w:val="none" w:color="auto"/>
                <w:lang w:val="en-US" w:eastAsia="zh-CN"/>
              </w:rPr>
            </w:pPr>
          </w:p>
        </w:tc>
        <w:tc>
          <w:tcPr>
            <w:tcW w:w="973" w:type="dxa"/>
            <w:vMerge w:val="continue"/>
            <w:noWrap w:val="0"/>
            <w:vAlign w:val="center"/>
          </w:tcPr>
          <w:p w14:paraId="45BEDB89">
            <w:pPr>
              <w:pStyle w:val="31"/>
              <w:bidi w:val="0"/>
              <w:rPr>
                <w:rFonts w:hint="default" w:ascii="Times New Roman" w:hAnsi="Times New Roman" w:eastAsia="宋体" w:cs="Times New Roman"/>
                <w:i w:val="0"/>
                <w:iCs w:val="0"/>
                <w:color w:val="auto"/>
                <w:u w:val="none" w:color="auto"/>
                <w:lang w:val="en-US" w:eastAsia="zh-CN"/>
              </w:rPr>
            </w:pPr>
          </w:p>
        </w:tc>
        <w:tc>
          <w:tcPr>
            <w:tcW w:w="900" w:type="dxa"/>
            <w:noWrap w:val="0"/>
            <w:vAlign w:val="center"/>
          </w:tcPr>
          <w:p w14:paraId="5BDE3CCD">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无组织</w:t>
            </w:r>
          </w:p>
        </w:tc>
        <w:tc>
          <w:tcPr>
            <w:tcW w:w="1050" w:type="dxa"/>
            <w:noWrap w:val="0"/>
            <w:vAlign w:val="center"/>
          </w:tcPr>
          <w:p w14:paraId="4334D4E4">
            <w:pPr>
              <w:pStyle w:val="24"/>
              <w:bidi w:val="0"/>
              <w:rPr>
                <w:rFonts w:hint="default"/>
                <w:color w:val="auto"/>
                <w:u w:val="none" w:color="auto"/>
                <w:lang w:val="en-US" w:eastAsia="zh-CN"/>
              </w:rPr>
            </w:pPr>
            <w:r>
              <w:rPr>
                <w:rFonts w:hint="eastAsia"/>
                <w:color w:val="auto"/>
                <w:u w:val="none" w:color="auto"/>
                <w:lang w:val="en-US" w:eastAsia="zh-CN"/>
              </w:rPr>
              <w:t>/</w:t>
            </w:r>
          </w:p>
        </w:tc>
        <w:tc>
          <w:tcPr>
            <w:tcW w:w="956" w:type="dxa"/>
            <w:noWrap w:val="0"/>
            <w:vAlign w:val="center"/>
          </w:tcPr>
          <w:p w14:paraId="7207D1F8">
            <w:pPr>
              <w:pStyle w:val="24"/>
              <w:bidi w:val="0"/>
              <w:rPr>
                <w:rFonts w:hint="default"/>
                <w:color w:val="auto"/>
                <w:u w:val="none" w:color="auto"/>
                <w:lang w:val="en-US" w:eastAsia="zh-CN"/>
              </w:rPr>
            </w:pPr>
            <w:r>
              <w:rPr>
                <w:rFonts w:hint="eastAsia"/>
                <w:color w:val="auto"/>
                <w:u w:val="none" w:color="auto"/>
                <w:lang w:val="en-US" w:eastAsia="zh-CN"/>
              </w:rPr>
              <w:t>0.013</w:t>
            </w:r>
          </w:p>
        </w:tc>
        <w:tc>
          <w:tcPr>
            <w:tcW w:w="844" w:type="dxa"/>
            <w:noWrap w:val="0"/>
            <w:vAlign w:val="center"/>
          </w:tcPr>
          <w:p w14:paraId="00ACA020">
            <w:pPr>
              <w:pStyle w:val="24"/>
              <w:bidi w:val="0"/>
              <w:rPr>
                <w:rFonts w:hint="default"/>
                <w:color w:val="auto"/>
                <w:u w:val="none" w:color="auto"/>
                <w:lang w:val="en-US" w:eastAsia="zh-CN"/>
              </w:rPr>
            </w:pPr>
            <w:r>
              <w:rPr>
                <w:rFonts w:hint="eastAsia"/>
                <w:color w:val="auto"/>
                <w:u w:val="none" w:color="auto"/>
                <w:lang w:val="en-US" w:eastAsia="zh-CN"/>
              </w:rPr>
              <w:t>0.061</w:t>
            </w:r>
          </w:p>
        </w:tc>
        <w:tc>
          <w:tcPr>
            <w:tcW w:w="1126" w:type="dxa"/>
            <w:noWrap w:val="0"/>
            <w:vAlign w:val="center"/>
          </w:tcPr>
          <w:p w14:paraId="76A59EC6">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w:t>
            </w:r>
          </w:p>
        </w:tc>
        <w:tc>
          <w:tcPr>
            <w:tcW w:w="892" w:type="dxa"/>
            <w:noWrap w:val="0"/>
            <w:vAlign w:val="center"/>
          </w:tcPr>
          <w:p w14:paraId="1E9FCAAD">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0.013</w:t>
            </w:r>
          </w:p>
        </w:tc>
        <w:tc>
          <w:tcPr>
            <w:tcW w:w="876" w:type="dxa"/>
            <w:noWrap w:val="0"/>
            <w:vAlign w:val="center"/>
          </w:tcPr>
          <w:p w14:paraId="51D47AB3">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0.061</w:t>
            </w:r>
          </w:p>
        </w:tc>
      </w:tr>
    </w:tbl>
    <w:p w14:paraId="7D256893">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b/>
          <w:bCs/>
          <w:color w:val="auto"/>
          <w:u w:val="none" w:color="auto"/>
          <w:lang w:val="en-US" w:eastAsia="zh-CN"/>
        </w:rPr>
        <w:t>非正常排放废气</w:t>
      </w:r>
    </w:p>
    <w:p w14:paraId="2B0257E1">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根据《环境影响评价技术导则 大气环境》（HJ2.2-2018）中对废气非正常排放的定义，</w:t>
      </w:r>
      <w:r>
        <w:rPr>
          <w:rFonts w:hint="eastAsia" w:ascii="宋体" w:hAnsi="宋体" w:eastAsia="宋体" w:cs="宋体"/>
          <w:color w:val="auto"/>
          <w:u w:val="none" w:color="auto"/>
          <w:lang w:val="en-US" w:eastAsia="zh-CN"/>
        </w:rPr>
        <w:t>“生</w:t>
      </w:r>
      <w:r>
        <w:rPr>
          <w:rFonts w:hint="default" w:ascii="Times New Roman" w:hAnsi="Times New Roman" w:eastAsia="宋体" w:cs="Times New Roman"/>
          <w:color w:val="auto"/>
          <w:u w:val="none" w:color="auto"/>
          <w:lang w:val="en-US" w:eastAsia="zh-CN"/>
        </w:rPr>
        <w:t>产过程中开停车（工、炉）、设备检修、工艺设备运转异常等非正常工况下的污染物排放，以及污染物排放控制措施达不到应有效率等情况下的排放</w:t>
      </w:r>
      <w:r>
        <w:rPr>
          <w:rFonts w:hint="eastAsia" w:ascii="宋体" w:hAnsi="宋体" w:eastAsia="宋体" w:cs="宋体"/>
          <w:color w:val="auto"/>
          <w:u w:val="none" w:color="auto"/>
          <w:lang w:val="en-US" w:eastAsia="zh-CN"/>
        </w:rPr>
        <w:t>”</w:t>
      </w:r>
      <w:r>
        <w:rPr>
          <w:rFonts w:hint="default" w:ascii="Times New Roman" w:hAnsi="Times New Roman" w:eastAsia="宋体" w:cs="Times New Roman"/>
          <w:color w:val="auto"/>
          <w:u w:val="none" w:color="auto"/>
          <w:lang w:val="en-US" w:eastAsia="zh-CN"/>
        </w:rPr>
        <w:t>。本评价非正常排放主要考虑布袋除尘器、活性炭吸附装置失效的情况，具体非正常排放情况见下表。</w:t>
      </w:r>
    </w:p>
    <w:p w14:paraId="604BBA9B">
      <w:pPr>
        <w:pStyle w:val="22"/>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表4.4-4 本项目非正常排放参数表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961"/>
        <w:gridCol w:w="1635"/>
        <w:gridCol w:w="1214"/>
        <w:gridCol w:w="1321"/>
        <w:gridCol w:w="1425"/>
        <w:gridCol w:w="1020"/>
        <w:gridCol w:w="928"/>
      </w:tblGrid>
      <w:tr w14:paraId="73F8C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7" w:hRule="atLeast"/>
          <w:jc w:val="center"/>
        </w:trPr>
        <w:tc>
          <w:tcPr>
            <w:tcW w:w="961" w:type="dxa"/>
            <w:noWrap w:val="0"/>
            <w:vAlign w:val="center"/>
          </w:tcPr>
          <w:p w14:paraId="3130C260">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非正常排放源</w:t>
            </w:r>
          </w:p>
        </w:tc>
        <w:tc>
          <w:tcPr>
            <w:tcW w:w="1635" w:type="dxa"/>
            <w:noWrap w:val="0"/>
            <w:vAlign w:val="center"/>
          </w:tcPr>
          <w:p w14:paraId="2333A2B2">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非正常排放原因</w:t>
            </w:r>
          </w:p>
        </w:tc>
        <w:tc>
          <w:tcPr>
            <w:tcW w:w="1214" w:type="dxa"/>
            <w:noWrap w:val="0"/>
            <w:vAlign w:val="center"/>
          </w:tcPr>
          <w:p w14:paraId="53C2DA99">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污染物</w:t>
            </w:r>
          </w:p>
        </w:tc>
        <w:tc>
          <w:tcPr>
            <w:tcW w:w="1321" w:type="dxa"/>
            <w:noWrap w:val="0"/>
            <w:vAlign w:val="center"/>
          </w:tcPr>
          <w:p w14:paraId="569FD8CE">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非正常排放速率（kg/h）</w:t>
            </w:r>
          </w:p>
        </w:tc>
        <w:tc>
          <w:tcPr>
            <w:tcW w:w="1425" w:type="dxa"/>
            <w:noWrap w:val="0"/>
            <w:vAlign w:val="center"/>
          </w:tcPr>
          <w:p w14:paraId="09921E0B">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非正常排放浓度/（mg/m</w:t>
            </w:r>
            <w:r>
              <w:rPr>
                <w:rFonts w:hint="default" w:ascii="Times New Roman" w:hAnsi="Times New Roman" w:eastAsia="宋体" w:cs="Times New Roman"/>
                <w:b/>
                <w:bCs/>
                <w:i w:val="0"/>
                <w:iCs w:val="0"/>
                <w:color w:val="auto"/>
                <w:u w:val="none" w:color="auto"/>
                <w:vertAlign w:val="superscript"/>
                <w:lang w:val="en-US" w:eastAsia="zh-CN"/>
              </w:rPr>
              <w:t>3</w:t>
            </w:r>
            <w:r>
              <w:rPr>
                <w:rFonts w:hint="default" w:ascii="Times New Roman" w:hAnsi="Times New Roman" w:eastAsia="宋体" w:cs="Times New Roman"/>
                <w:b/>
                <w:bCs/>
                <w:i w:val="0"/>
                <w:iCs w:val="0"/>
                <w:color w:val="auto"/>
                <w:u w:val="none" w:color="auto"/>
                <w:lang w:val="en-US" w:eastAsia="zh-CN"/>
              </w:rPr>
              <w:t>）</w:t>
            </w:r>
          </w:p>
        </w:tc>
        <w:tc>
          <w:tcPr>
            <w:tcW w:w="1020" w:type="dxa"/>
            <w:noWrap w:val="0"/>
            <w:vAlign w:val="center"/>
          </w:tcPr>
          <w:p w14:paraId="5E2D0107">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单次持续时间/h</w:t>
            </w:r>
          </w:p>
        </w:tc>
        <w:tc>
          <w:tcPr>
            <w:tcW w:w="928" w:type="dxa"/>
            <w:noWrap w:val="0"/>
            <w:vAlign w:val="center"/>
          </w:tcPr>
          <w:p w14:paraId="5731A0F6">
            <w:pPr>
              <w:pStyle w:val="31"/>
              <w:bidi w:val="0"/>
              <w:rPr>
                <w:rFonts w:hint="default" w:ascii="Times New Roman" w:hAnsi="Times New Roman" w:eastAsia="宋体" w:cs="Times New Roman"/>
                <w:b/>
                <w:bCs/>
                <w:i w:val="0"/>
                <w:iCs w:val="0"/>
                <w:color w:val="auto"/>
                <w:u w:val="none" w:color="auto"/>
                <w:lang w:val="en-US" w:eastAsia="zh-CN"/>
              </w:rPr>
            </w:pPr>
            <w:r>
              <w:rPr>
                <w:rFonts w:hint="default" w:ascii="Times New Roman" w:hAnsi="Times New Roman" w:eastAsia="宋体" w:cs="Times New Roman"/>
                <w:b/>
                <w:bCs/>
                <w:i w:val="0"/>
                <w:iCs w:val="0"/>
                <w:color w:val="auto"/>
                <w:u w:val="none" w:color="auto"/>
                <w:lang w:val="en-US" w:eastAsia="zh-CN"/>
              </w:rPr>
              <w:t>年发生频次/次</w:t>
            </w:r>
          </w:p>
        </w:tc>
      </w:tr>
      <w:tr w14:paraId="28D1F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416" w:hRule="atLeast"/>
          <w:jc w:val="center"/>
        </w:trPr>
        <w:tc>
          <w:tcPr>
            <w:tcW w:w="961" w:type="dxa"/>
            <w:noWrap w:val="0"/>
            <w:vAlign w:val="center"/>
          </w:tcPr>
          <w:p w14:paraId="2DC146D4">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DA001</w:t>
            </w:r>
            <w:r>
              <w:rPr>
                <w:rFonts w:hint="default" w:ascii="Times New Roman" w:hAnsi="Times New Roman" w:eastAsia="宋体" w:cs="Times New Roman"/>
                <w:i w:val="0"/>
                <w:iCs w:val="0"/>
                <w:color w:val="auto"/>
                <w:u w:val="none" w:color="auto"/>
                <w:lang w:val="en-US" w:eastAsia="zh-CN"/>
              </w:rPr>
              <w:t>排气筒</w:t>
            </w:r>
          </w:p>
        </w:tc>
        <w:tc>
          <w:tcPr>
            <w:tcW w:w="1635" w:type="dxa"/>
            <w:noWrap w:val="0"/>
            <w:vAlign w:val="center"/>
          </w:tcPr>
          <w:p w14:paraId="298B58D3">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布袋除尘器失效</w:t>
            </w:r>
          </w:p>
        </w:tc>
        <w:tc>
          <w:tcPr>
            <w:tcW w:w="1214" w:type="dxa"/>
            <w:noWrap w:val="0"/>
            <w:vAlign w:val="center"/>
          </w:tcPr>
          <w:p w14:paraId="636F68EE">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颗粒物</w:t>
            </w:r>
          </w:p>
        </w:tc>
        <w:tc>
          <w:tcPr>
            <w:tcW w:w="1321" w:type="dxa"/>
            <w:noWrap w:val="0"/>
            <w:vAlign w:val="center"/>
          </w:tcPr>
          <w:p w14:paraId="1248ADD8">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1.726</w:t>
            </w:r>
          </w:p>
        </w:tc>
        <w:tc>
          <w:tcPr>
            <w:tcW w:w="1425" w:type="dxa"/>
            <w:noWrap w:val="0"/>
            <w:vAlign w:val="center"/>
          </w:tcPr>
          <w:p w14:paraId="5E3DA6CA">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86.277</w:t>
            </w:r>
          </w:p>
        </w:tc>
        <w:tc>
          <w:tcPr>
            <w:tcW w:w="1020" w:type="dxa"/>
            <w:noWrap w:val="0"/>
            <w:vAlign w:val="center"/>
          </w:tcPr>
          <w:p w14:paraId="53AF4E9B">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1</w:t>
            </w:r>
          </w:p>
        </w:tc>
        <w:tc>
          <w:tcPr>
            <w:tcW w:w="928" w:type="dxa"/>
            <w:noWrap w:val="0"/>
            <w:vAlign w:val="center"/>
          </w:tcPr>
          <w:p w14:paraId="33F381E0">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0~1</w:t>
            </w:r>
          </w:p>
        </w:tc>
      </w:tr>
      <w:tr w14:paraId="2F624B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416" w:hRule="atLeast"/>
          <w:jc w:val="center"/>
        </w:trPr>
        <w:tc>
          <w:tcPr>
            <w:tcW w:w="961" w:type="dxa"/>
            <w:vMerge w:val="restart"/>
            <w:noWrap w:val="0"/>
            <w:vAlign w:val="center"/>
          </w:tcPr>
          <w:p w14:paraId="0CE0D1EA">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DA002排气筒</w:t>
            </w:r>
          </w:p>
        </w:tc>
        <w:tc>
          <w:tcPr>
            <w:tcW w:w="1635" w:type="dxa"/>
            <w:vMerge w:val="restart"/>
            <w:noWrap w:val="0"/>
            <w:vAlign w:val="center"/>
          </w:tcPr>
          <w:p w14:paraId="155E83D3">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活性炭吸附装置失效</w:t>
            </w:r>
          </w:p>
        </w:tc>
        <w:tc>
          <w:tcPr>
            <w:tcW w:w="1214" w:type="dxa"/>
            <w:noWrap w:val="0"/>
            <w:vAlign w:val="center"/>
          </w:tcPr>
          <w:p w14:paraId="08E0CC3D">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非甲烷总烃</w:t>
            </w:r>
          </w:p>
        </w:tc>
        <w:tc>
          <w:tcPr>
            <w:tcW w:w="1321" w:type="dxa"/>
            <w:noWrap w:val="0"/>
            <w:vAlign w:val="center"/>
          </w:tcPr>
          <w:p w14:paraId="2FBE5C30">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0.351</w:t>
            </w:r>
          </w:p>
        </w:tc>
        <w:tc>
          <w:tcPr>
            <w:tcW w:w="1425" w:type="dxa"/>
            <w:noWrap w:val="0"/>
            <w:vAlign w:val="center"/>
          </w:tcPr>
          <w:p w14:paraId="4C9D7E58">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8.766</w:t>
            </w:r>
          </w:p>
        </w:tc>
        <w:tc>
          <w:tcPr>
            <w:tcW w:w="1020" w:type="dxa"/>
            <w:vMerge w:val="restart"/>
            <w:noWrap w:val="0"/>
            <w:vAlign w:val="center"/>
          </w:tcPr>
          <w:p w14:paraId="6A4D76FB">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1</w:t>
            </w:r>
          </w:p>
        </w:tc>
        <w:tc>
          <w:tcPr>
            <w:tcW w:w="928" w:type="dxa"/>
            <w:vMerge w:val="restart"/>
            <w:noWrap w:val="0"/>
            <w:vAlign w:val="center"/>
          </w:tcPr>
          <w:p w14:paraId="26A5FB4A">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default" w:ascii="Times New Roman" w:hAnsi="Times New Roman" w:eastAsia="宋体" w:cs="Times New Roman"/>
                <w:i w:val="0"/>
                <w:iCs w:val="0"/>
                <w:color w:val="auto"/>
                <w:u w:val="none" w:color="auto"/>
                <w:lang w:val="en-US" w:eastAsia="zh-CN"/>
              </w:rPr>
              <w:t>0~1</w:t>
            </w:r>
          </w:p>
        </w:tc>
      </w:tr>
      <w:tr w14:paraId="5F72C8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416" w:hRule="atLeast"/>
          <w:jc w:val="center"/>
        </w:trPr>
        <w:tc>
          <w:tcPr>
            <w:tcW w:w="961" w:type="dxa"/>
            <w:vMerge w:val="continue"/>
            <w:noWrap w:val="0"/>
            <w:vAlign w:val="center"/>
          </w:tcPr>
          <w:p w14:paraId="1560C030">
            <w:pPr>
              <w:pStyle w:val="31"/>
              <w:bidi w:val="0"/>
              <w:rPr>
                <w:rFonts w:hint="eastAsia" w:ascii="Times New Roman" w:hAnsi="Times New Roman" w:eastAsia="宋体" w:cs="Times New Roman"/>
                <w:i w:val="0"/>
                <w:iCs w:val="0"/>
                <w:color w:val="auto"/>
                <w:u w:val="none" w:color="auto"/>
                <w:lang w:val="en-US" w:eastAsia="zh-CN"/>
              </w:rPr>
            </w:pPr>
          </w:p>
        </w:tc>
        <w:tc>
          <w:tcPr>
            <w:tcW w:w="1635" w:type="dxa"/>
            <w:vMerge w:val="continue"/>
            <w:noWrap w:val="0"/>
            <w:vAlign w:val="center"/>
          </w:tcPr>
          <w:p w14:paraId="69F5CDB3">
            <w:pPr>
              <w:pStyle w:val="31"/>
              <w:bidi w:val="0"/>
              <w:rPr>
                <w:rFonts w:hint="default" w:ascii="Times New Roman" w:hAnsi="Times New Roman" w:eastAsia="宋体" w:cs="Times New Roman"/>
                <w:i w:val="0"/>
                <w:iCs w:val="0"/>
                <w:color w:val="auto"/>
                <w:u w:val="none" w:color="auto"/>
                <w:lang w:val="en-US" w:eastAsia="zh-CN"/>
              </w:rPr>
            </w:pPr>
          </w:p>
        </w:tc>
        <w:tc>
          <w:tcPr>
            <w:tcW w:w="1214" w:type="dxa"/>
            <w:noWrap w:val="0"/>
            <w:vAlign w:val="center"/>
          </w:tcPr>
          <w:p w14:paraId="171914B3">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氯化氢</w:t>
            </w:r>
          </w:p>
        </w:tc>
        <w:tc>
          <w:tcPr>
            <w:tcW w:w="1321" w:type="dxa"/>
            <w:noWrap w:val="0"/>
            <w:vAlign w:val="center"/>
          </w:tcPr>
          <w:p w14:paraId="42C7ACFC">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0.101</w:t>
            </w:r>
          </w:p>
        </w:tc>
        <w:tc>
          <w:tcPr>
            <w:tcW w:w="1425" w:type="dxa"/>
            <w:noWrap w:val="0"/>
            <w:vAlign w:val="center"/>
          </w:tcPr>
          <w:p w14:paraId="195955CC">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2.524</w:t>
            </w:r>
          </w:p>
        </w:tc>
        <w:tc>
          <w:tcPr>
            <w:tcW w:w="1020" w:type="dxa"/>
            <w:vMerge w:val="continue"/>
            <w:noWrap w:val="0"/>
            <w:vAlign w:val="center"/>
          </w:tcPr>
          <w:p w14:paraId="685231E5">
            <w:pPr>
              <w:pStyle w:val="31"/>
              <w:bidi w:val="0"/>
              <w:rPr>
                <w:rFonts w:hint="default" w:ascii="Times New Roman" w:hAnsi="Times New Roman" w:eastAsia="宋体" w:cs="Times New Roman"/>
                <w:i w:val="0"/>
                <w:iCs w:val="0"/>
                <w:color w:val="auto"/>
                <w:u w:val="none" w:color="auto"/>
                <w:lang w:val="en-US" w:eastAsia="zh-CN"/>
              </w:rPr>
            </w:pPr>
          </w:p>
        </w:tc>
        <w:tc>
          <w:tcPr>
            <w:tcW w:w="928" w:type="dxa"/>
            <w:vMerge w:val="continue"/>
            <w:noWrap w:val="0"/>
            <w:vAlign w:val="center"/>
          </w:tcPr>
          <w:p w14:paraId="1DEB4E37">
            <w:pPr>
              <w:pStyle w:val="31"/>
              <w:bidi w:val="0"/>
              <w:rPr>
                <w:rFonts w:hint="default" w:ascii="Times New Roman" w:hAnsi="Times New Roman" w:eastAsia="宋体" w:cs="Times New Roman"/>
                <w:i w:val="0"/>
                <w:iCs w:val="0"/>
                <w:color w:val="auto"/>
                <w:u w:val="none" w:color="auto"/>
                <w:lang w:val="en-US" w:eastAsia="zh-CN"/>
              </w:rPr>
            </w:pPr>
          </w:p>
        </w:tc>
      </w:tr>
      <w:tr w14:paraId="59291E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416" w:hRule="atLeast"/>
          <w:jc w:val="center"/>
        </w:trPr>
        <w:tc>
          <w:tcPr>
            <w:tcW w:w="961" w:type="dxa"/>
            <w:vMerge w:val="restart"/>
            <w:noWrap w:val="0"/>
            <w:vAlign w:val="center"/>
          </w:tcPr>
          <w:p w14:paraId="79A410D4">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DA003</w:t>
            </w:r>
            <w:r>
              <w:rPr>
                <w:rFonts w:hint="default" w:ascii="Times New Roman" w:hAnsi="Times New Roman" w:eastAsia="宋体" w:cs="Times New Roman"/>
                <w:i w:val="0"/>
                <w:iCs w:val="0"/>
                <w:color w:val="auto"/>
                <w:u w:val="none" w:color="auto"/>
                <w:lang w:val="en-US" w:eastAsia="zh-CN"/>
              </w:rPr>
              <w:t>排气筒</w:t>
            </w:r>
          </w:p>
        </w:tc>
        <w:tc>
          <w:tcPr>
            <w:tcW w:w="1635" w:type="dxa"/>
            <w:vMerge w:val="restart"/>
            <w:noWrap w:val="0"/>
            <w:vAlign w:val="center"/>
          </w:tcPr>
          <w:p w14:paraId="51E92348">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活性炭吸附装置失效</w:t>
            </w:r>
          </w:p>
        </w:tc>
        <w:tc>
          <w:tcPr>
            <w:tcW w:w="1214" w:type="dxa"/>
            <w:noWrap w:val="0"/>
            <w:vAlign w:val="center"/>
          </w:tcPr>
          <w:p w14:paraId="6A8F1AAA">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非甲烷总烃</w:t>
            </w:r>
          </w:p>
        </w:tc>
        <w:tc>
          <w:tcPr>
            <w:tcW w:w="1321" w:type="dxa"/>
            <w:noWrap w:val="0"/>
            <w:vAlign w:val="center"/>
          </w:tcPr>
          <w:p w14:paraId="4E3B439D">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1.299</w:t>
            </w:r>
          </w:p>
        </w:tc>
        <w:tc>
          <w:tcPr>
            <w:tcW w:w="1425" w:type="dxa"/>
            <w:noWrap w:val="0"/>
            <w:vAlign w:val="center"/>
          </w:tcPr>
          <w:p w14:paraId="6582CDF3">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51.972</w:t>
            </w:r>
          </w:p>
        </w:tc>
        <w:tc>
          <w:tcPr>
            <w:tcW w:w="1020" w:type="dxa"/>
            <w:vMerge w:val="restart"/>
            <w:noWrap w:val="0"/>
            <w:vAlign w:val="center"/>
          </w:tcPr>
          <w:p w14:paraId="2BA8E8FF">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1</w:t>
            </w:r>
          </w:p>
        </w:tc>
        <w:tc>
          <w:tcPr>
            <w:tcW w:w="928" w:type="dxa"/>
            <w:vMerge w:val="restart"/>
            <w:noWrap w:val="0"/>
            <w:vAlign w:val="center"/>
          </w:tcPr>
          <w:p w14:paraId="56621B06">
            <w:pPr>
              <w:pStyle w:val="31"/>
              <w:bidi w:val="0"/>
              <w:rPr>
                <w:rFonts w:hint="default" w:ascii="Times New Roman" w:hAnsi="Times New Roman" w:eastAsia="宋体" w:cs="Times New Roman"/>
                <w:i w:val="0"/>
                <w:iCs w:val="0"/>
                <w:color w:val="auto"/>
                <w:u w:val="none" w:color="auto"/>
                <w:lang w:val="en-US" w:eastAsia="zh-CN"/>
              </w:rPr>
            </w:pPr>
            <w:r>
              <w:rPr>
                <w:rFonts w:hint="default" w:ascii="Times New Roman" w:hAnsi="Times New Roman" w:eastAsia="宋体" w:cs="Times New Roman"/>
                <w:i w:val="0"/>
                <w:iCs w:val="0"/>
                <w:color w:val="auto"/>
                <w:u w:val="none" w:color="auto"/>
                <w:lang w:val="en-US" w:eastAsia="zh-CN"/>
              </w:rPr>
              <w:t>0~1</w:t>
            </w:r>
          </w:p>
        </w:tc>
      </w:tr>
      <w:tr w14:paraId="5EEF0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416" w:hRule="atLeast"/>
          <w:jc w:val="center"/>
        </w:trPr>
        <w:tc>
          <w:tcPr>
            <w:tcW w:w="961" w:type="dxa"/>
            <w:vMerge w:val="continue"/>
            <w:noWrap w:val="0"/>
            <w:vAlign w:val="center"/>
          </w:tcPr>
          <w:p w14:paraId="3A1B4DD0">
            <w:pPr>
              <w:pStyle w:val="31"/>
              <w:bidi w:val="0"/>
              <w:rPr>
                <w:rFonts w:hint="default" w:ascii="Times New Roman" w:hAnsi="Times New Roman" w:eastAsia="宋体" w:cs="Times New Roman"/>
                <w:color w:val="auto"/>
                <w:u w:val="none" w:color="auto"/>
              </w:rPr>
            </w:pPr>
          </w:p>
        </w:tc>
        <w:tc>
          <w:tcPr>
            <w:tcW w:w="1635" w:type="dxa"/>
            <w:vMerge w:val="continue"/>
            <w:noWrap w:val="0"/>
            <w:vAlign w:val="center"/>
          </w:tcPr>
          <w:p w14:paraId="0EE7B375">
            <w:pPr>
              <w:pStyle w:val="31"/>
              <w:bidi w:val="0"/>
              <w:rPr>
                <w:rFonts w:hint="default" w:ascii="Times New Roman" w:hAnsi="Times New Roman" w:eastAsia="宋体" w:cs="Times New Roman"/>
                <w:color w:val="auto"/>
                <w:u w:val="none" w:color="auto"/>
              </w:rPr>
            </w:pPr>
          </w:p>
        </w:tc>
        <w:tc>
          <w:tcPr>
            <w:tcW w:w="1214" w:type="dxa"/>
            <w:noWrap w:val="0"/>
            <w:vAlign w:val="center"/>
          </w:tcPr>
          <w:p w14:paraId="586AFC73">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二甲苯</w:t>
            </w:r>
          </w:p>
        </w:tc>
        <w:tc>
          <w:tcPr>
            <w:tcW w:w="1321" w:type="dxa"/>
            <w:noWrap w:val="0"/>
            <w:vAlign w:val="center"/>
          </w:tcPr>
          <w:p w14:paraId="6E22C8CA">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0.114</w:t>
            </w:r>
          </w:p>
        </w:tc>
        <w:tc>
          <w:tcPr>
            <w:tcW w:w="1425" w:type="dxa"/>
            <w:noWrap w:val="0"/>
            <w:vAlign w:val="center"/>
          </w:tcPr>
          <w:p w14:paraId="30E8202D">
            <w:pPr>
              <w:pStyle w:val="31"/>
              <w:bidi w:val="0"/>
              <w:rPr>
                <w:rFonts w:hint="default" w:ascii="Times New Roman" w:hAnsi="Times New Roman" w:eastAsia="宋体" w:cs="Times New Roman"/>
                <w:i w:val="0"/>
                <w:iCs w:val="0"/>
                <w:color w:val="auto"/>
                <w:u w:val="none" w:color="auto"/>
                <w:lang w:val="en-US" w:eastAsia="zh-CN"/>
              </w:rPr>
            </w:pPr>
            <w:r>
              <w:rPr>
                <w:rFonts w:hint="eastAsia" w:ascii="Times New Roman" w:hAnsi="Times New Roman" w:eastAsia="宋体" w:cs="Times New Roman"/>
                <w:i w:val="0"/>
                <w:iCs w:val="0"/>
                <w:color w:val="auto"/>
                <w:u w:val="none" w:color="auto"/>
                <w:lang w:val="en-US" w:eastAsia="zh-CN"/>
              </w:rPr>
              <w:t>2.841</w:t>
            </w:r>
          </w:p>
        </w:tc>
        <w:tc>
          <w:tcPr>
            <w:tcW w:w="1020" w:type="dxa"/>
            <w:vMerge w:val="continue"/>
            <w:noWrap w:val="0"/>
            <w:vAlign w:val="center"/>
          </w:tcPr>
          <w:p w14:paraId="53BF8CBF">
            <w:pPr>
              <w:pStyle w:val="31"/>
              <w:bidi w:val="0"/>
              <w:rPr>
                <w:rFonts w:hint="default" w:ascii="Times New Roman" w:hAnsi="Times New Roman" w:eastAsia="宋体" w:cs="Times New Roman"/>
                <w:i w:val="0"/>
                <w:iCs w:val="0"/>
                <w:color w:val="auto"/>
                <w:u w:val="none" w:color="auto"/>
                <w:lang w:val="en-US" w:eastAsia="zh-CN"/>
              </w:rPr>
            </w:pPr>
          </w:p>
        </w:tc>
        <w:tc>
          <w:tcPr>
            <w:tcW w:w="928" w:type="dxa"/>
            <w:vMerge w:val="continue"/>
            <w:noWrap w:val="0"/>
            <w:vAlign w:val="center"/>
          </w:tcPr>
          <w:p w14:paraId="1B9FCAD4">
            <w:pPr>
              <w:pStyle w:val="31"/>
              <w:bidi w:val="0"/>
              <w:rPr>
                <w:rFonts w:hint="default" w:ascii="Times New Roman" w:hAnsi="Times New Roman" w:eastAsia="宋体" w:cs="Times New Roman"/>
                <w:i w:val="0"/>
                <w:iCs w:val="0"/>
                <w:color w:val="auto"/>
                <w:u w:val="none" w:color="auto"/>
                <w:lang w:val="en-US" w:eastAsia="zh-CN"/>
              </w:rPr>
            </w:pPr>
          </w:p>
        </w:tc>
      </w:tr>
    </w:tbl>
    <w:p w14:paraId="69CF0A0F">
      <w:pPr>
        <w:pStyle w:val="20"/>
        <w:bidi w:val="0"/>
        <w:rPr>
          <w:rFonts w:hint="eastAsia"/>
          <w:b/>
          <w:bCs/>
          <w:color w:val="auto"/>
          <w:u w:val="none" w:color="auto"/>
          <w:lang w:val="en-US" w:eastAsia="zh-CN"/>
        </w:rPr>
      </w:pPr>
      <w:r>
        <w:rPr>
          <w:rFonts w:hint="eastAsia"/>
          <w:b/>
          <w:bCs/>
          <w:color w:val="auto"/>
          <w:u w:val="none" w:color="auto"/>
          <w:lang w:eastAsia="zh-CN"/>
        </w:rPr>
        <w:t>（</w:t>
      </w:r>
      <w:r>
        <w:rPr>
          <w:rFonts w:hint="eastAsia"/>
          <w:b/>
          <w:bCs/>
          <w:color w:val="auto"/>
          <w:u w:val="none" w:color="auto"/>
          <w:lang w:val="en-US" w:eastAsia="zh-CN"/>
        </w:rPr>
        <w:t>3</w:t>
      </w:r>
      <w:r>
        <w:rPr>
          <w:rFonts w:hint="eastAsia"/>
          <w:b/>
          <w:bCs/>
          <w:color w:val="auto"/>
          <w:u w:val="none" w:color="auto"/>
          <w:lang w:eastAsia="zh-CN"/>
        </w:rPr>
        <w:t>）</w:t>
      </w:r>
      <w:r>
        <w:rPr>
          <w:rFonts w:hint="eastAsia"/>
          <w:b/>
          <w:bCs/>
          <w:color w:val="auto"/>
          <w:u w:val="none" w:color="auto"/>
          <w:lang w:val="en-US" w:eastAsia="zh-CN"/>
        </w:rPr>
        <w:t>噪声污染源</w:t>
      </w:r>
    </w:p>
    <w:p w14:paraId="3D8704D7">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本项目生产线使用的设备较多也较为集中，运行时会产生一定的噪声。主要的噪声设备为挤出机、</w:t>
      </w:r>
      <w:r>
        <w:rPr>
          <w:rFonts w:hint="eastAsia" w:ascii="Times New Roman" w:hAnsi="Times New Roman" w:eastAsia="宋体" w:cs="Times New Roman"/>
          <w:color w:val="auto"/>
          <w:u w:val="none" w:color="auto"/>
          <w:lang w:val="en-US" w:eastAsia="zh-CN"/>
        </w:rPr>
        <w:t>破碎</w:t>
      </w:r>
      <w:r>
        <w:rPr>
          <w:rFonts w:hint="default" w:ascii="Times New Roman" w:hAnsi="Times New Roman" w:eastAsia="宋体" w:cs="Times New Roman"/>
          <w:color w:val="auto"/>
          <w:u w:val="none" w:color="auto"/>
          <w:lang w:val="en-US" w:eastAsia="zh-CN"/>
        </w:rPr>
        <w:t>机、</w:t>
      </w:r>
      <w:r>
        <w:rPr>
          <w:rFonts w:hint="eastAsia" w:ascii="Times New Roman" w:hAnsi="Times New Roman" w:eastAsia="宋体" w:cs="Times New Roman"/>
          <w:color w:val="auto"/>
          <w:u w:val="none" w:color="auto"/>
          <w:lang w:val="en-US" w:eastAsia="zh-CN"/>
        </w:rPr>
        <w:t>磨粉</w:t>
      </w:r>
      <w:r>
        <w:rPr>
          <w:rFonts w:hint="default" w:ascii="Times New Roman" w:hAnsi="Times New Roman" w:eastAsia="宋体" w:cs="Times New Roman"/>
          <w:color w:val="auto"/>
          <w:u w:val="none" w:color="auto"/>
          <w:lang w:val="en-US" w:eastAsia="zh-CN"/>
        </w:rPr>
        <w:t>机、风机、水泵等。项目各噪声设备的源强具体见下表。</w:t>
      </w:r>
    </w:p>
    <w:p w14:paraId="6720CDE6">
      <w:pPr>
        <w:pStyle w:val="22"/>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表4.4-5 项目的主要噪声源强表 单位：dB（A）</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55"/>
        <w:gridCol w:w="3204"/>
        <w:gridCol w:w="2080"/>
        <w:gridCol w:w="2083"/>
      </w:tblGrid>
      <w:tr w14:paraId="58F9105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5A5BD837">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3204" w:type="dxa"/>
            <w:tcBorders>
              <w:tl2br w:val="nil"/>
              <w:tr2bl w:val="nil"/>
            </w:tcBorders>
            <w:noWrap w:val="0"/>
            <w:vAlign w:val="center"/>
          </w:tcPr>
          <w:p w14:paraId="7DBC782F">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噪声源</w:t>
            </w:r>
          </w:p>
        </w:tc>
        <w:tc>
          <w:tcPr>
            <w:tcW w:w="2080" w:type="dxa"/>
            <w:tcBorders>
              <w:tl2br w:val="nil"/>
              <w:tr2bl w:val="nil"/>
            </w:tcBorders>
            <w:noWrap w:val="0"/>
            <w:vAlign w:val="center"/>
          </w:tcPr>
          <w:p w14:paraId="7F8852B5">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声压级</w:t>
            </w:r>
          </w:p>
        </w:tc>
        <w:tc>
          <w:tcPr>
            <w:tcW w:w="2083" w:type="dxa"/>
            <w:tcBorders>
              <w:tl2br w:val="nil"/>
              <w:tr2bl w:val="nil"/>
            </w:tcBorders>
            <w:noWrap w:val="0"/>
            <w:vAlign w:val="center"/>
          </w:tcPr>
          <w:p w14:paraId="4FDD5954">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数量</w:t>
            </w:r>
          </w:p>
        </w:tc>
      </w:tr>
      <w:tr w14:paraId="2C5AC3D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38B15D3A">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3204" w:type="dxa"/>
            <w:tcBorders>
              <w:tl2br w:val="nil"/>
              <w:tr2bl w:val="nil"/>
            </w:tcBorders>
            <w:noWrap w:val="0"/>
            <w:vAlign w:val="center"/>
          </w:tcPr>
          <w:p w14:paraId="5519D49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破碎机</w:t>
            </w:r>
          </w:p>
        </w:tc>
        <w:tc>
          <w:tcPr>
            <w:tcW w:w="2080" w:type="dxa"/>
            <w:tcBorders>
              <w:tl2br w:val="nil"/>
              <w:tr2bl w:val="nil"/>
            </w:tcBorders>
            <w:noWrap w:val="0"/>
            <w:vAlign w:val="center"/>
          </w:tcPr>
          <w:p w14:paraId="4F5E1A8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w:t>
            </w:r>
            <w:r>
              <w:rPr>
                <w:rFonts w:hint="eastAsia"/>
                <w:color w:val="auto"/>
                <w:sz w:val="21"/>
                <w:szCs w:val="21"/>
                <w:u w:val="none" w:color="auto"/>
              </w:rPr>
              <w:t>5</w:t>
            </w:r>
            <w:r>
              <w:rPr>
                <w:color w:val="auto"/>
                <w:sz w:val="21"/>
                <w:szCs w:val="21"/>
                <w:u w:val="none" w:color="auto"/>
              </w:rPr>
              <w:t>dB(A)</w:t>
            </w:r>
          </w:p>
        </w:tc>
        <w:tc>
          <w:tcPr>
            <w:tcW w:w="2083" w:type="dxa"/>
            <w:tcBorders>
              <w:tl2br w:val="nil"/>
              <w:tr2bl w:val="nil"/>
            </w:tcBorders>
            <w:noWrap w:val="0"/>
            <w:vAlign w:val="center"/>
          </w:tcPr>
          <w:p w14:paraId="3B06A00B">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4台</w:t>
            </w:r>
          </w:p>
        </w:tc>
      </w:tr>
      <w:tr w14:paraId="0FE4434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42B7D5E7">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3204" w:type="dxa"/>
            <w:tcBorders>
              <w:tl2br w:val="nil"/>
              <w:tr2bl w:val="nil"/>
            </w:tcBorders>
            <w:noWrap w:val="0"/>
            <w:vAlign w:val="center"/>
          </w:tcPr>
          <w:p w14:paraId="1BBDF2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磨粉机</w:t>
            </w:r>
          </w:p>
        </w:tc>
        <w:tc>
          <w:tcPr>
            <w:tcW w:w="2080" w:type="dxa"/>
            <w:tcBorders>
              <w:tl2br w:val="nil"/>
              <w:tr2bl w:val="nil"/>
            </w:tcBorders>
            <w:noWrap w:val="0"/>
            <w:vAlign w:val="center"/>
          </w:tcPr>
          <w:p w14:paraId="30310914">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80</w:t>
            </w:r>
            <w:r>
              <w:rPr>
                <w:color w:val="auto"/>
                <w:sz w:val="21"/>
                <w:szCs w:val="21"/>
                <w:u w:val="none" w:color="auto"/>
              </w:rPr>
              <w:t>dB(A)</w:t>
            </w:r>
          </w:p>
        </w:tc>
        <w:tc>
          <w:tcPr>
            <w:tcW w:w="2083" w:type="dxa"/>
            <w:tcBorders>
              <w:tl2br w:val="nil"/>
              <w:tr2bl w:val="nil"/>
            </w:tcBorders>
            <w:noWrap w:val="0"/>
            <w:vAlign w:val="center"/>
          </w:tcPr>
          <w:p w14:paraId="07909D0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12台</w:t>
            </w:r>
          </w:p>
        </w:tc>
      </w:tr>
      <w:tr w14:paraId="7B13EB6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54843E0E">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3204" w:type="dxa"/>
            <w:tcBorders>
              <w:tl2br w:val="nil"/>
              <w:tr2bl w:val="nil"/>
            </w:tcBorders>
            <w:noWrap w:val="0"/>
            <w:vAlign w:val="center"/>
          </w:tcPr>
          <w:p w14:paraId="0AA355D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全自动供料系统</w:t>
            </w:r>
          </w:p>
        </w:tc>
        <w:tc>
          <w:tcPr>
            <w:tcW w:w="2080" w:type="dxa"/>
            <w:tcBorders>
              <w:tl2br w:val="nil"/>
              <w:tr2bl w:val="nil"/>
            </w:tcBorders>
            <w:noWrap w:val="0"/>
            <w:vAlign w:val="center"/>
          </w:tcPr>
          <w:p w14:paraId="639F028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w:t>
            </w:r>
            <w:r>
              <w:rPr>
                <w:rFonts w:hint="eastAsia"/>
                <w:color w:val="auto"/>
                <w:sz w:val="21"/>
                <w:szCs w:val="21"/>
                <w:u w:val="none" w:color="auto"/>
              </w:rPr>
              <w:t>5</w:t>
            </w:r>
            <w:r>
              <w:rPr>
                <w:color w:val="auto"/>
                <w:sz w:val="21"/>
                <w:szCs w:val="21"/>
                <w:u w:val="none" w:color="auto"/>
              </w:rPr>
              <w:t>dB(A)</w:t>
            </w:r>
          </w:p>
        </w:tc>
        <w:tc>
          <w:tcPr>
            <w:tcW w:w="2083" w:type="dxa"/>
            <w:tcBorders>
              <w:tl2br w:val="nil"/>
              <w:tr2bl w:val="nil"/>
            </w:tcBorders>
            <w:noWrap w:val="0"/>
            <w:vAlign w:val="center"/>
          </w:tcPr>
          <w:p w14:paraId="21D7E7E1">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1套</w:t>
            </w:r>
          </w:p>
        </w:tc>
      </w:tr>
      <w:tr w14:paraId="1E25998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6F04A5A8">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w:t>
            </w:r>
          </w:p>
        </w:tc>
        <w:tc>
          <w:tcPr>
            <w:tcW w:w="3204" w:type="dxa"/>
            <w:tcBorders>
              <w:tl2br w:val="nil"/>
              <w:tr2bl w:val="nil"/>
            </w:tcBorders>
            <w:noWrap w:val="0"/>
            <w:vAlign w:val="center"/>
          </w:tcPr>
          <w:p w14:paraId="50C1C76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搅拌机</w:t>
            </w:r>
          </w:p>
        </w:tc>
        <w:tc>
          <w:tcPr>
            <w:tcW w:w="2080" w:type="dxa"/>
            <w:tcBorders>
              <w:tl2br w:val="nil"/>
              <w:tr2bl w:val="nil"/>
            </w:tcBorders>
            <w:noWrap w:val="0"/>
            <w:vAlign w:val="center"/>
          </w:tcPr>
          <w:p w14:paraId="2368E7A7">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80</w:t>
            </w:r>
            <w:r>
              <w:rPr>
                <w:color w:val="auto"/>
                <w:sz w:val="21"/>
                <w:szCs w:val="21"/>
                <w:u w:val="none" w:color="auto"/>
              </w:rPr>
              <w:t>dB(A)</w:t>
            </w:r>
          </w:p>
        </w:tc>
        <w:tc>
          <w:tcPr>
            <w:tcW w:w="2083" w:type="dxa"/>
            <w:tcBorders>
              <w:tl2br w:val="nil"/>
              <w:tr2bl w:val="nil"/>
            </w:tcBorders>
            <w:noWrap w:val="0"/>
            <w:vAlign w:val="center"/>
          </w:tcPr>
          <w:p w14:paraId="488B194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6台</w:t>
            </w:r>
          </w:p>
        </w:tc>
      </w:tr>
      <w:tr w14:paraId="394BE83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3A0BB796">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3204" w:type="dxa"/>
            <w:tcBorders>
              <w:tl2br w:val="nil"/>
              <w:tr2bl w:val="nil"/>
            </w:tcBorders>
            <w:noWrap w:val="0"/>
            <w:vAlign w:val="center"/>
          </w:tcPr>
          <w:p w14:paraId="023EB07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挤出机</w:t>
            </w:r>
          </w:p>
        </w:tc>
        <w:tc>
          <w:tcPr>
            <w:tcW w:w="2080" w:type="dxa"/>
            <w:tcBorders>
              <w:tl2br w:val="nil"/>
              <w:tr2bl w:val="nil"/>
            </w:tcBorders>
            <w:noWrap w:val="0"/>
            <w:vAlign w:val="center"/>
          </w:tcPr>
          <w:p w14:paraId="029B5C8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80</w:t>
            </w:r>
            <w:r>
              <w:rPr>
                <w:color w:val="auto"/>
                <w:sz w:val="21"/>
                <w:szCs w:val="21"/>
                <w:u w:val="none" w:color="auto"/>
              </w:rPr>
              <w:t>dB(A)</w:t>
            </w:r>
          </w:p>
        </w:tc>
        <w:tc>
          <w:tcPr>
            <w:tcW w:w="2083" w:type="dxa"/>
            <w:tcBorders>
              <w:tl2br w:val="nil"/>
              <w:tr2bl w:val="nil"/>
            </w:tcBorders>
            <w:noWrap w:val="0"/>
            <w:vAlign w:val="center"/>
          </w:tcPr>
          <w:p w14:paraId="76E40E6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20台</w:t>
            </w:r>
          </w:p>
        </w:tc>
      </w:tr>
      <w:tr w14:paraId="7F01754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49D5A84D">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w:t>
            </w:r>
          </w:p>
        </w:tc>
        <w:tc>
          <w:tcPr>
            <w:tcW w:w="3204" w:type="dxa"/>
            <w:tcBorders>
              <w:tl2br w:val="nil"/>
              <w:tr2bl w:val="nil"/>
            </w:tcBorders>
            <w:noWrap w:val="0"/>
            <w:vAlign w:val="center"/>
          </w:tcPr>
          <w:p w14:paraId="6E59DA0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lang w:eastAsia="zh-CN"/>
              </w:rPr>
              <w:t>自动裁切机</w:t>
            </w:r>
          </w:p>
        </w:tc>
        <w:tc>
          <w:tcPr>
            <w:tcW w:w="2080" w:type="dxa"/>
            <w:tcBorders>
              <w:tl2br w:val="nil"/>
              <w:tr2bl w:val="nil"/>
            </w:tcBorders>
            <w:noWrap w:val="0"/>
            <w:vAlign w:val="center"/>
          </w:tcPr>
          <w:p w14:paraId="535874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w:t>
            </w:r>
            <w:r>
              <w:rPr>
                <w:rFonts w:hint="eastAsia"/>
                <w:color w:val="auto"/>
                <w:sz w:val="21"/>
                <w:szCs w:val="21"/>
                <w:u w:val="none" w:color="auto"/>
              </w:rPr>
              <w:t>5</w:t>
            </w:r>
            <w:r>
              <w:rPr>
                <w:color w:val="auto"/>
                <w:sz w:val="21"/>
                <w:szCs w:val="21"/>
                <w:u w:val="none" w:color="auto"/>
              </w:rPr>
              <w:t>dB(A)</w:t>
            </w:r>
          </w:p>
        </w:tc>
        <w:tc>
          <w:tcPr>
            <w:tcW w:w="2083" w:type="dxa"/>
            <w:tcBorders>
              <w:tl2br w:val="nil"/>
              <w:tr2bl w:val="nil"/>
            </w:tcBorders>
            <w:noWrap w:val="0"/>
            <w:vAlign w:val="center"/>
          </w:tcPr>
          <w:p w14:paraId="1B7A9FF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23</w:t>
            </w:r>
            <w:r>
              <w:rPr>
                <w:rFonts w:hint="eastAsia"/>
                <w:color w:val="auto"/>
                <w:sz w:val="21"/>
                <w:szCs w:val="21"/>
                <w:u w:val="none" w:color="auto"/>
              </w:rPr>
              <w:t>台</w:t>
            </w:r>
          </w:p>
        </w:tc>
      </w:tr>
      <w:tr w14:paraId="74E5848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21367BE3">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w:t>
            </w:r>
          </w:p>
        </w:tc>
        <w:tc>
          <w:tcPr>
            <w:tcW w:w="3204" w:type="dxa"/>
            <w:tcBorders>
              <w:tl2br w:val="nil"/>
              <w:tr2bl w:val="nil"/>
            </w:tcBorders>
            <w:noWrap w:val="0"/>
            <w:vAlign w:val="center"/>
          </w:tcPr>
          <w:p w14:paraId="139D96E0">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大板覆膜机</w:t>
            </w:r>
          </w:p>
        </w:tc>
        <w:tc>
          <w:tcPr>
            <w:tcW w:w="2080" w:type="dxa"/>
            <w:tcBorders>
              <w:tl2br w:val="nil"/>
              <w:tr2bl w:val="nil"/>
            </w:tcBorders>
            <w:noWrap w:val="0"/>
            <w:vAlign w:val="center"/>
          </w:tcPr>
          <w:p w14:paraId="22B0CBD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rPr>
              <w:t>7</w:t>
            </w:r>
            <w:r>
              <w:rPr>
                <w:rFonts w:hint="eastAsia"/>
                <w:color w:val="auto"/>
                <w:sz w:val="21"/>
                <w:szCs w:val="21"/>
                <w:u w:val="none" w:color="auto"/>
                <w:lang w:val="en-US" w:eastAsia="zh-CN"/>
              </w:rPr>
              <w:t>5</w:t>
            </w:r>
            <w:r>
              <w:rPr>
                <w:color w:val="auto"/>
                <w:sz w:val="21"/>
                <w:szCs w:val="21"/>
                <w:u w:val="none" w:color="auto"/>
              </w:rPr>
              <w:t>dB(A)</w:t>
            </w:r>
          </w:p>
        </w:tc>
        <w:tc>
          <w:tcPr>
            <w:tcW w:w="2083" w:type="dxa"/>
            <w:tcBorders>
              <w:tl2br w:val="nil"/>
              <w:tr2bl w:val="nil"/>
            </w:tcBorders>
            <w:noWrap w:val="0"/>
            <w:vAlign w:val="center"/>
          </w:tcPr>
          <w:p w14:paraId="1BE9E9D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26</w:t>
            </w:r>
            <w:r>
              <w:rPr>
                <w:rFonts w:hint="eastAsia"/>
                <w:color w:val="auto"/>
                <w:sz w:val="21"/>
                <w:szCs w:val="21"/>
                <w:u w:val="none" w:color="auto"/>
              </w:rPr>
              <w:t>台</w:t>
            </w:r>
          </w:p>
        </w:tc>
      </w:tr>
      <w:tr w14:paraId="003CF0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133C55D2">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w:t>
            </w:r>
          </w:p>
        </w:tc>
        <w:tc>
          <w:tcPr>
            <w:tcW w:w="3204" w:type="dxa"/>
            <w:tcBorders>
              <w:tl2br w:val="nil"/>
              <w:tr2bl w:val="nil"/>
            </w:tcBorders>
            <w:noWrap w:val="0"/>
            <w:vAlign w:val="center"/>
          </w:tcPr>
          <w:p w14:paraId="4DDF6AA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线条覆膜机</w:t>
            </w:r>
          </w:p>
        </w:tc>
        <w:tc>
          <w:tcPr>
            <w:tcW w:w="2080" w:type="dxa"/>
            <w:tcBorders>
              <w:tl2br w:val="nil"/>
              <w:tr2bl w:val="nil"/>
            </w:tcBorders>
            <w:noWrap w:val="0"/>
            <w:vAlign w:val="center"/>
          </w:tcPr>
          <w:p w14:paraId="327D6D9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75</w:t>
            </w:r>
            <w:r>
              <w:rPr>
                <w:color w:val="auto"/>
                <w:sz w:val="21"/>
                <w:szCs w:val="21"/>
                <w:u w:val="none" w:color="auto"/>
              </w:rPr>
              <w:t>dB(A)</w:t>
            </w:r>
          </w:p>
        </w:tc>
        <w:tc>
          <w:tcPr>
            <w:tcW w:w="2083" w:type="dxa"/>
            <w:tcBorders>
              <w:tl2br w:val="nil"/>
              <w:tr2bl w:val="nil"/>
            </w:tcBorders>
            <w:noWrap w:val="0"/>
            <w:vAlign w:val="center"/>
          </w:tcPr>
          <w:p w14:paraId="2FEC752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20</w:t>
            </w:r>
            <w:r>
              <w:rPr>
                <w:rFonts w:hint="eastAsia"/>
                <w:color w:val="auto"/>
                <w:sz w:val="21"/>
                <w:szCs w:val="21"/>
                <w:u w:val="none" w:color="auto"/>
              </w:rPr>
              <w:t>台</w:t>
            </w:r>
          </w:p>
        </w:tc>
      </w:tr>
      <w:tr w14:paraId="09A49C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30" w:hRule="exact"/>
          <w:jc w:val="center"/>
        </w:trPr>
        <w:tc>
          <w:tcPr>
            <w:tcW w:w="1155" w:type="dxa"/>
            <w:tcBorders>
              <w:tl2br w:val="nil"/>
              <w:tr2bl w:val="nil"/>
            </w:tcBorders>
            <w:noWrap w:val="0"/>
            <w:vAlign w:val="center"/>
          </w:tcPr>
          <w:p w14:paraId="0ED2E83A">
            <w:pPr>
              <w:jc w:val="center"/>
              <w:rPr>
                <w:rFonts w:hint="eastAsia" w:ascii="Times New Roman" w:hAnsi="Times New Roman" w:eastAsia="宋体" w:cs="Times New Roman"/>
                <w:color w:val="auto"/>
                <w:sz w:val="21"/>
                <w:szCs w:val="21"/>
                <w:u w:val="none" w:color="auto"/>
                <w:lang w:val="en-US" w:eastAsia="zh-CN"/>
              </w:rPr>
            </w:pPr>
          </w:p>
        </w:tc>
        <w:tc>
          <w:tcPr>
            <w:tcW w:w="3204" w:type="dxa"/>
            <w:tcBorders>
              <w:tl2br w:val="nil"/>
              <w:tr2bl w:val="nil"/>
            </w:tcBorders>
            <w:noWrap w:val="0"/>
            <w:vAlign w:val="center"/>
          </w:tcPr>
          <w:p w14:paraId="669793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kern w:val="2"/>
                <w:sz w:val="21"/>
                <w:szCs w:val="21"/>
                <w:u w:val="none" w:color="auto"/>
                <w:lang w:val="en-US" w:eastAsia="zh-CN" w:bidi="ar-SA"/>
              </w:rPr>
              <w:t>风机</w:t>
            </w:r>
          </w:p>
        </w:tc>
        <w:tc>
          <w:tcPr>
            <w:tcW w:w="2080" w:type="dxa"/>
            <w:tcBorders>
              <w:tl2br w:val="nil"/>
              <w:tr2bl w:val="nil"/>
            </w:tcBorders>
            <w:noWrap w:val="0"/>
            <w:vAlign w:val="center"/>
          </w:tcPr>
          <w:p w14:paraId="13C49A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80</w:t>
            </w:r>
            <w:r>
              <w:rPr>
                <w:color w:val="auto"/>
                <w:sz w:val="21"/>
                <w:szCs w:val="21"/>
                <w:u w:val="none" w:color="auto"/>
              </w:rPr>
              <w:t>dB(A)</w:t>
            </w:r>
          </w:p>
        </w:tc>
        <w:tc>
          <w:tcPr>
            <w:tcW w:w="2083" w:type="dxa"/>
            <w:tcBorders>
              <w:tl2br w:val="nil"/>
              <w:tr2bl w:val="nil"/>
            </w:tcBorders>
            <w:noWrap w:val="0"/>
            <w:vAlign w:val="center"/>
          </w:tcPr>
          <w:p w14:paraId="484141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color w:val="auto"/>
                <w:sz w:val="21"/>
                <w:szCs w:val="21"/>
                <w:u w:val="none" w:color="auto"/>
                <w:lang w:val="en-US" w:eastAsia="zh-CN"/>
              </w:rPr>
              <w:t>23</w:t>
            </w:r>
            <w:r>
              <w:rPr>
                <w:rFonts w:hint="eastAsia"/>
                <w:color w:val="auto"/>
                <w:sz w:val="21"/>
                <w:szCs w:val="21"/>
                <w:u w:val="none" w:color="auto"/>
              </w:rPr>
              <w:t>台</w:t>
            </w:r>
          </w:p>
        </w:tc>
      </w:tr>
    </w:tbl>
    <w:p w14:paraId="2C0A0E90">
      <w:pPr>
        <w:pStyle w:val="20"/>
        <w:bidi w:val="0"/>
        <w:rPr>
          <w:rFonts w:hint="eastAsia"/>
          <w:b/>
          <w:bCs/>
          <w:color w:val="auto"/>
          <w:u w:val="none" w:color="auto"/>
          <w:lang w:val="en-US" w:eastAsia="zh-CN"/>
        </w:rPr>
      </w:pPr>
      <w:r>
        <w:rPr>
          <w:rFonts w:hint="eastAsia"/>
          <w:b/>
          <w:bCs/>
          <w:color w:val="auto"/>
          <w:u w:val="none" w:color="auto"/>
          <w:lang w:val="en-US" w:eastAsia="zh-CN"/>
        </w:rPr>
        <w:t>（4）固体废物污染源</w:t>
      </w:r>
    </w:p>
    <w:bookmarkEnd w:id="553"/>
    <w:bookmarkEnd w:id="554"/>
    <w:bookmarkEnd w:id="555"/>
    <w:bookmarkEnd w:id="556"/>
    <w:bookmarkEnd w:id="557"/>
    <w:bookmarkEnd w:id="558"/>
    <w:bookmarkEnd w:id="559"/>
    <w:bookmarkEnd w:id="565"/>
    <w:bookmarkEnd w:id="566"/>
    <w:bookmarkEnd w:id="567"/>
    <w:p w14:paraId="643D3B61">
      <w:pPr>
        <w:pStyle w:val="20"/>
        <w:bidi w:val="0"/>
        <w:rPr>
          <w:rFonts w:hint="default" w:ascii="Times New Roman" w:hAnsi="Times New Roman" w:eastAsia="宋体" w:cs="Times New Roman"/>
          <w:b w:val="0"/>
          <w:bCs w:val="0"/>
          <w:color w:val="auto"/>
          <w:u w:val="none" w:color="auto"/>
          <w:lang w:val="en-US" w:eastAsia="zh-CN"/>
        </w:rPr>
      </w:pPr>
      <w:bookmarkStart w:id="650" w:name="_Toc5668"/>
      <w:bookmarkStart w:id="651" w:name="_Toc24197"/>
      <w:bookmarkStart w:id="652" w:name="_Toc9877"/>
      <w:r>
        <w:rPr>
          <w:rFonts w:hint="default" w:ascii="Times New Roman" w:hAnsi="Times New Roman" w:eastAsia="宋体" w:cs="Times New Roman"/>
          <w:b w:val="0"/>
          <w:bCs w:val="0"/>
          <w:color w:val="auto"/>
          <w:u w:val="none" w:color="auto"/>
          <w:lang w:val="en-US" w:eastAsia="zh-CN"/>
        </w:rPr>
        <w:t>本项目营运期中，产生的固体废物主要包括生活垃圾、</w:t>
      </w:r>
      <w:r>
        <w:rPr>
          <w:rFonts w:hint="eastAsia" w:ascii="Times New Roman" w:hAnsi="Times New Roman" w:eastAsia="宋体" w:cs="Times New Roman"/>
          <w:b w:val="0"/>
          <w:bCs w:val="0"/>
          <w:color w:val="auto"/>
          <w:u w:val="none" w:color="auto"/>
          <w:lang w:val="en-US" w:eastAsia="zh-CN"/>
        </w:rPr>
        <w:t>循环沉淀池沉渣、</w:t>
      </w:r>
      <w:r>
        <w:rPr>
          <w:rFonts w:hint="default" w:ascii="Times New Roman" w:hAnsi="Times New Roman" w:eastAsia="宋体" w:cs="Times New Roman"/>
          <w:b w:val="0"/>
          <w:bCs w:val="0"/>
          <w:color w:val="auto"/>
          <w:u w:val="none" w:color="auto"/>
          <w:lang w:val="en-US" w:eastAsia="zh-CN"/>
        </w:rPr>
        <w:t>不合格产品</w:t>
      </w:r>
      <w:r>
        <w:rPr>
          <w:rFonts w:hint="eastAsia" w:ascii="Times New Roman" w:hAnsi="Times New Roman" w:eastAsia="宋体" w:cs="Times New Roman"/>
          <w:b w:val="0"/>
          <w:bCs w:val="0"/>
          <w:color w:val="auto"/>
          <w:u w:val="none" w:color="auto"/>
          <w:lang w:val="en-US" w:eastAsia="zh-CN"/>
        </w:rPr>
        <w:t>及边角料</w:t>
      </w:r>
      <w:r>
        <w:rPr>
          <w:rFonts w:hint="default" w:ascii="Times New Roman" w:hAnsi="Times New Roman" w:eastAsia="宋体" w:cs="Times New Roman"/>
          <w:b w:val="0"/>
          <w:bCs w:val="0"/>
          <w:color w:val="auto"/>
          <w:u w:val="none" w:color="auto"/>
          <w:lang w:val="en-US" w:eastAsia="zh-CN"/>
        </w:rPr>
        <w:t>、废膜、</w:t>
      </w:r>
      <w:r>
        <w:rPr>
          <w:rFonts w:hint="eastAsia" w:ascii="Times New Roman" w:hAnsi="Times New Roman" w:eastAsia="宋体" w:cs="Times New Roman"/>
          <w:b w:val="0"/>
          <w:bCs w:val="0"/>
          <w:color w:val="auto"/>
          <w:u w:val="none" w:color="auto"/>
          <w:lang w:val="en-US" w:eastAsia="zh-CN"/>
        </w:rPr>
        <w:t>收集到的粉尘、</w:t>
      </w:r>
      <w:r>
        <w:rPr>
          <w:rFonts w:hint="default" w:ascii="Times New Roman" w:hAnsi="Times New Roman" w:eastAsia="宋体" w:cs="Times New Roman"/>
          <w:b w:val="0"/>
          <w:bCs w:val="0"/>
          <w:color w:val="auto"/>
          <w:u w:val="none" w:color="auto"/>
          <w:lang w:val="en-US" w:eastAsia="zh-CN"/>
        </w:rPr>
        <w:t>一般性废包装材料等一般固废和废矿物油、废活性炭、溶剂型胶粘剂包装桶等危险废物。</w:t>
      </w:r>
    </w:p>
    <w:p w14:paraId="63E12D81">
      <w:pPr>
        <w:pStyle w:val="20"/>
        <w:bidi w:val="0"/>
        <w:rPr>
          <w:rFonts w:hint="default" w:ascii="Times New Roman" w:hAnsi="Times New Roman" w:eastAsia="宋体" w:cs="Times New Roman"/>
          <w:b w:val="0"/>
          <w:bCs w:val="0"/>
          <w:color w:val="auto"/>
          <w:u w:val="none" w:color="auto"/>
          <w:lang w:val="en-US" w:eastAsia="zh-CN"/>
        </w:rPr>
      </w:pPr>
      <w:r>
        <w:rPr>
          <w:rFonts w:hint="default" w:ascii="Times New Roman" w:hAnsi="Times New Roman" w:eastAsia="宋体" w:cs="Times New Roman"/>
          <w:b w:val="0"/>
          <w:bCs w:val="0"/>
          <w:color w:val="auto"/>
          <w:u w:val="none" w:color="auto"/>
          <w:lang w:val="en-US" w:eastAsia="zh-CN"/>
        </w:rPr>
        <w:t>①生活垃圾</w:t>
      </w:r>
    </w:p>
    <w:p w14:paraId="6AAA88F6">
      <w:pPr>
        <w:pStyle w:val="20"/>
        <w:bidi w:val="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本项目生活垃圾产生按0.5kg/（人·d）计，</w:t>
      </w:r>
      <w:r>
        <w:rPr>
          <w:rFonts w:hint="default" w:ascii="Times New Roman" w:hAnsi="Times New Roman" w:eastAsia="宋体" w:cs="Times New Roman"/>
          <w:color w:val="auto"/>
          <w:u w:val="none" w:color="auto"/>
          <w:lang w:val="en-US" w:eastAsia="zh-CN"/>
        </w:rPr>
        <w:t>项目劳动定员</w:t>
      </w:r>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lang w:val="en-US" w:eastAsia="zh-CN"/>
        </w:rPr>
        <w:t>0</w:t>
      </w:r>
      <w:r>
        <w:rPr>
          <w:rFonts w:hint="default" w:ascii="Times New Roman" w:hAnsi="Times New Roman" w:eastAsia="宋体" w:cs="Times New Roman"/>
          <w:color w:val="auto"/>
          <w:u w:val="none" w:color="auto"/>
        </w:rPr>
        <w:t>人，则生活垃圾产生量为</w:t>
      </w:r>
      <w:r>
        <w:rPr>
          <w:rFonts w:hint="eastAsia"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0</w:t>
      </w:r>
      <w:r>
        <w:rPr>
          <w:rFonts w:hint="default" w:ascii="Times New Roman" w:hAnsi="Times New Roman" w:eastAsia="宋体" w:cs="Times New Roman"/>
          <w:color w:val="auto"/>
          <w:u w:val="none" w:color="auto"/>
        </w:rPr>
        <w:t>kg/d（</w:t>
      </w:r>
      <w:r>
        <w:rPr>
          <w:rFonts w:hint="eastAsia" w:ascii="Times New Roman" w:hAnsi="Times New Roman" w:eastAsia="宋体" w:cs="Times New Roman"/>
          <w:color w:val="auto"/>
          <w:u w:val="none" w:color="auto"/>
          <w:lang w:val="en-US" w:eastAsia="zh-CN"/>
        </w:rPr>
        <w:t>9</w:t>
      </w:r>
      <w:r>
        <w:rPr>
          <w:rFonts w:hint="default" w:ascii="Times New Roman" w:hAnsi="Times New Roman" w:eastAsia="宋体" w:cs="Times New Roman"/>
          <w:color w:val="auto"/>
          <w:u w:val="none" w:color="auto"/>
        </w:rPr>
        <w:t>t/a）</w:t>
      </w:r>
      <w:r>
        <w:rPr>
          <w:rFonts w:hint="default" w:ascii="Times New Roman" w:hAnsi="Times New Roman" w:eastAsia="宋体" w:cs="Times New Roman"/>
          <w:color w:val="auto"/>
          <w:u w:val="none" w:color="auto"/>
          <w:lang w:eastAsia="zh-CN"/>
        </w:rPr>
        <w:t>，经收集后交由环卫部门处理</w:t>
      </w:r>
      <w:r>
        <w:rPr>
          <w:rFonts w:hint="default" w:ascii="Times New Roman" w:hAnsi="Times New Roman" w:eastAsia="宋体" w:cs="Times New Roman"/>
          <w:color w:val="auto"/>
          <w:u w:val="none" w:color="auto"/>
        </w:rPr>
        <w:t>。</w:t>
      </w:r>
    </w:p>
    <w:p w14:paraId="1B655DE5">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②</w:t>
      </w:r>
      <w:r>
        <w:rPr>
          <w:rFonts w:hint="eastAsia" w:ascii="Times New Roman" w:hAnsi="Times New Roman" w:eastAsia="宋体" w:cs="Times New Roman"/>
          <w:color w:val="auto"/>
          <w:u w:val="none" w:color="auto"/>
          <w:lang w:val="en-US" w:eastAsia="zh-CN"/>
        </w:rPr>
        <w:t>循环沉淀池沉渣</w:t>
      </w:r>
    </w:p>
    <w:p w14:paraId="325AD87A">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根据建设</w:t>
      </w:r>
      <w:r>
        <w:rPr>
          <w:rFonts w:hint="eastAsia" w:ascii="Times New Roman" w:hAnsi="Times New Roman" w:eastAsia="宋体" w:cs="Times New Roman"/>
          <w:color w:val="auto"/>
          <w:u w:val="none" w:color="auto"/>
          <w:lang w:val="en-US" w:eastAsia="zh-CN"/>
        </w:rPr>
        <w:t>单位</w:t>
      </w:r>
      <w:r>
        <w:rPr>
          <w:rFonts w:hint="default" w:ascii="Times New Roman" w:hAnsi="Times New Roman" w:eastAsia="宋体" w:cs="Times New Roman"/>
          <w:color w:val="auto"/>
          <w:u w:val="none" w:color="auto"/>
          <w:lang w:val="en-US" w:eastAsia="zh-CN"/>
        </w:rPr>
        <w:t>提供的资料，本项目循环沉淀池的沉渣产生量约为0.05t/a，</w:t>
      </w:r>
      <w:r>
        <w:rPr>
          <w:rFonts w:hint="eastAsia" w:ascii="Times New Roman" w:hAnsi="Times New Roman" w:eastAsia="宋体" w:cs="Times New Roman"/>
          <w:color w:val="auto"/>
          <w:u w:val="none" w:color="auto"/>
          <w:lang w:val="en-US" w:eastAsia="zh-CN"/>
        </w:rPr>
        <w:t>属于一般固废，</w:t>
      </w:r>
      <w:r>
        <w:rPr>
          <w:rFonts w:hint="default" w:ascii="Times New Roman" w:hAnsi="Times New Roman" w:eastAsia="宋体" w:cs="Times New Roman"/>
          <w:color w:val="auto"/>
          <w:u w:val="none" w:color="auto"/>
          <w:lang w:val="en-US" w:eastAsia="zh-CN"/>
        </w:rPr>
        <w:t>收集后外售综合利用。（一般固废代码：292-</w:t>
      </w:r>
      <w:r>
        <w:rPr>
          <w:rFonts w:hint="eastAsia" w:ascii="Times New Roman" w:hAnsi="Times New Roman" w:eastAsia="宋体" w:cs="Times New Roman"/>
          <w:color w:val="auto"/>
          <w:u w:val="none" w:color="auto"/>
          <w:lang w:val="en-US" w:eastAsia="zh-CN"/>
        </w:rPr>
        <w:t>099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S17</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w:t>
      </w:r>
    </w:p>
    <w:p w14:paraId="217E49F7">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③不合格品</w:t>
      </w:r>
      <w:r>
        <w:rPr>
          <w:rFonts w:hint="eastAsia" w:ascii="Times New Roman" w:hAnsi="Times New Roman" w:eastAsia="宋体" w:cs="Times New Roman"/>
          <w:color w:val="auto"/>
          <w:u w:val="none" w:color="auto"/>
          <w:lang w:val="en-US" w:eastAsia="zh-CN"/>
        </w:rPr>
        <w:t>及边角料</w:t>
      </w:r>
    </w:p>
    <w:p w14:paraId="3CE6E998">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根据建设方提供的资料，本项目</w:t>
      </w:r>
      <w:r>
        <w:rPr>
          <w:rFonts w:hint="eastAsia" w:ascii="Times New Roman" w:hAnsi="Times New Roman" w:eastAsia="宋体" w:cs="Times New Roman"/>
          <w:color w:val="auto"/>
          <w:u w:val="none" w:color="auto"/>
          <w:lang w:val="en-US" w:eastAsia="zh-CN"/>
        </w:rPr>
        <w:t>PVC大板生产线</w:t>
      </w:r>
      <w:r>
        <w:rPr>
          <w:rFonts w:hint="default" w:ascii="Times New Roman" w:hAnsi="Times New Roman" w:eastAsia="宋体" w:cs="Times New Roman"/>
          <w:color w:val="auto"/>
          <w:u w:val="none" w:color="auto"/>
          <w:lang w:val="en-US" w:eastAsia="zh-CN"/>
        </w:rPr>
        <w:t>不合格产品+边角料的产生量为产品总量的5%，即</w:t>
      </w:r>
      <w:r>
        <w:rPr>
          <w:rFonts w:hint="eastAsia" w:ascii="Times New Roman" w:hAnsi="Times New Roman" w:eastAsia="宋体" w:cs="Times New Roman"/>
          <w:color w:val="auto"/>
          <w:u w:val="none" w:color="auto"/>
          <w:lang w:val="en-US" w:eastAsia="zh-CN"/>
        </w:rPr>
        <w:t>150</w:t>
      </w:r>
      <w:r>
        <w:rPr>
          <w:rFonts w:hint="default" w:ascii="Times New Roman" w:hAnsi="Times New Roman" w:eastAsia="宋体" w:cs="Times New Roman"/>
          <w:color w:val="auto"/>
          <w:u w:val="none" w:color="auto"/>
          <w:lang w:val="en-US" w:eastAsia="zh-CN"/>
        </w:rPr>
        <w:t>0t/a</w:t>
      </w:r>
      <w:r>
        <w:rPr>
          <w:rFonts w:hint="eastAsia" w:ascii="Times New Roman" w:hAnsi="Times New Roman" w:eastAsia="宋体" w:cs="Times New Roman"/>
          <w:color w:val="auto"/>
          <w:u w:val="none" w:color="auto"/>
          <w:lang w:val="en-US" w:eastAsia="zh-CN"/>
        </w:rPr>
        <w:t>，PVC装饰线条加工线</w:t>
      </w:r>
      <w:r>
        <w:rPr>
          <w:rFonts w:hint="default" w:ascii="Times New Roman" w:hAnsi="Times New Roman" w:eastAsia="宋体" w:cs="Times New Roman"/>
          <w:color w:val="auto"/>
          <w:u w:val="none" w:color="auto"/>
          <w:lang w:val="en-US" w:eastAsia="zh-CN"/>
        </w:rPr>
        <w:t>不合格产品+边角料产生量为产品总量的</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val="en-US" w:eastAsia="zh-CN"/>
        </w:rPr>
        <w:t>即</w:t>
      </w: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val="en-US" w:eastAsia="zh-CN"/>
        </w:rPr>
        <w:t>0t/a。不合格产品和边角料收集后回用于生产。（一般固废代码：292-</w:t>
      </w:r>
      <w:r>
        <w:rPr>
          <w:rFonts w:hint="eastAsia" w:ascii="Times New Roman" w:hAnsi="Times New Roman" w:eastAsia="宋体" w:cs="Times New Roman"/>
          <w:color w:val="auto"/>
          <w:u w:val="none" w:color="auto"/>
          <w:lang w:val="en-US" w:eastAsia="zh-CN"/>
        </w:rPr>
        <w:t>099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S17</w:t>
      </w:r>
      <w:r>
        <w:rPr>
          <w:rFonts w:hint="default" w:ascii="Times New Roman" w:hAnsi="Times New Roman" w:eastAsia="宋体" w:cs="Times New Roman"/>
          <w:color w:val="auto"/>
          <w:u w:val="none" w:color="auto"/>
          <w:lang w:val="en-US" w:eastAsia="zh-CN"/>
        </w:rPr>
        <w:t>）</w:t>
      </w:r>
    </w:p>
    <w:p w14:paraId="6516DC06">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④</w:t>
      </w:r>
      <w:r>
        <w:rPr>
          <w:rFonts w:hint="eastAsia" w:ascii="Times New Roman" w:hAnsi="Times New Roman" w:eastAsia="宋体" w:cs="Times New Roman"/>
          <w:color w:val="auto"/>
          <w:u w:val="none" w:color="auto"/>
          <w:lang w:val="en-US" w:eastAsia="zh-CN"/>
        </w:rPr>
        <w:t>废膜</w:t>
      </w:r>
    </w:p>
    <w:p w14:paraId="47624B3C">
      <w:pPr>
        <w:pStyle w:val="20"/>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根据建设方提供的资料，本项目废膜的产生量为PVC膜用量（550t/a）的1.5%~2%，本次取2%，即11t/a。废膜收集后</w:t>
      </w:r>
      <w:r>
        <w:rPr>
          <w:rFonts w:hint="default" w:ascii="Times New Roman" w:hAnsi="Times New Roman" w:eastAsia="宋体" w:cs="Times New Roman"/>
          <w:color w:val="auto"/>
          <w:u w:val="none" w:color="auto"/>
          <w:lang w:val="en-US" w:eastAsia="zh-CN"/>
        </w:rPr>
        <w:t>回用于生产。（一般固废代码：292-</w:t>
      </w:r>
      <w:r>
        <w:rPr>
          <w:rFonts w:hint="eastAsia" w:ascii="Times New Roman" w:hAnsi="Times New Roman" w:eastAsia="宋体" w:cs="Times New Roman"/>
          <w:color w:val="auto"/>
          <w:u w:val="none" w:color="auto"/>
          <w:lang w:val="en-US" w:eastAsia="zh-CN"/>
        </w:rPr>
        <w:t>099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S17</w:t>
      </w:r>
      <w:r>
        <w:rPr>
          <w:rFonts w:hint="default" w:ascii="Times New Roman" w:hAnsi="Times New Roman" w:eastAsia="宋体" w:cs="Times New Roman"/>
          <w:color w:val="auto"/>
          <w:u w:val="none" w:color="auto"/>
          <w:lang w:val="en-US" w:eastAsia="zh-CN"/>
        </w:rPr>
        <w:t>）</w:t>
      </w:r>
    </w:p>
    <w:p w14:paraId="437E2050">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⑤</w:t>
      </w:r>
      <w:r>
        <w:rPr>
          <w:rFonts w:hint="eastAsia" w:ascii="Times New Roman" w:hAnsi="Times New Roman" w:eastAsia="宋体" w:cs="Times New Roman"/>
          <w:color w:val="auto"/>
          <w:u w:val="none" w:color="auto"/>
          <w:lang w:val="en-US" w:eastAsia="zh-CN"/>
        </w:rPr>
        <w:t>除尘系统收集的粉尘</w:t>
      </w:r>
    </w:p>
    <w:p w14:paraId="594ECD61">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根据工程分析可知，项目布袋除尘器收集的粉尘量为</w:t>
      </w:r>
      <w:r>
        <w:rPr>
          <w:rFonts w:hint="eastAsia" w:ascii="Times New Roman" w:hAnsi="Times New Roman" w:eastAsia="宋体" w:cs="Times New Roman"/>
          <w:color w:val="auto"/>
          <w:u w:val="none" w:color="auto"/>
          <w:lang w:val="en-US" w:eastAsia="zh-CN"/>
        </w:rPr>
        <w:t>9.248</w:t>
      </w:r>
      <w:r>
        <w:rPr>
          <w:rFonts w:hint="default" w:ascii="Times New Roman" w:hAnsi="Times New Roman" w:eastAsia="宋体" w:cs="Times New Roman"/>
          <w:color w:val="auto"/>
          <w:u w:val="none" w:color="auto"/>
          <w:lang w:val="en-US" w:eastAsia="zh-CN"/>
        </w:rPr>
        <w:t>t/a，这部分收集到的粉尘可回用于生产。（一般固废代码：292-</w:t>
      </w:r>
      <w:r>
        <w:rPr>
          <w:rFonts w:hint="eastAsia" w:ascii="Times New Roman" w:hAnsi="Times New Roman" w:eastAsia="宋体" w:cs="Times New Roman"/>
          <w:color w:val="auto"/>
          <w:u w:val="none" w:color="auto"/>
          <w:lang w:val="en-US" w:eastAsia="zh-CN"/>
        </w:rPr>
        <w:t>099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S17</w:t>
      </w:r>
      <w:r>
        <w:rPr>
          <w:rFonts w:hint="default" w:ascii="Times New Roman" w:hAnsi="Times New Roman" w:eastAsia="宋体" w:cs="Times New Roman"/>
          <w:color w:val="auto"/>
          <w:u w:val="none" w:color="auto"/>
          <w:lang w:val="en-US" w:eastAsia="zh-CN"/>
        </w:rPr>
        <w:t>）</w:t>
      </w:r>
    </w:p>
    <w:p w14:paraId="7F268C17">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⑥</w:t>
      </w:r>
      <w:r>
        <w:rPr>
          <w:rFonts w:hint="default" w:ascii="Times New Roman" w:hAnsi="Times New Roman" w:eastAsia="宋体" w:cs="Times New Roman"/>
          <w:b w:val="0"/>
          <w:bCs w:val="0"/>
          <w:color w:val="auto"/>
          <w:u w:val="none" w:color="auto"/>
          <w:lang w:val="en-US" w:eastAsia="zh-CN"/>
        </w:rPr>
        <w:t>一般性废包装材料</w:t>
      </w:r>
    </w:p>
    <w:p w14:paraId="01866AD0">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本根据建设方提供的资料可知，项目一般性原料包装物产生量为</w:t>
      </w:r>
      <w:r>
        <w:rPr>
          <w:rFonts w:hint="eastAsia"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val="en-US" w:eastAsia="zh-CN"/>
        </w:rPr>
        <w:t>t/a，其他包装材料可收集后外售综合利用、水性胶粘剂包装桶收集后由厂家回收利用。（一般固废代码：900-099-S17）</w:t>
      </w:r>
    </w:p>
    <w:p w14:paraId="5399B831">
      <w:pPr>
        <w:pStyle w:val="20"/>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⑦溶剂型胶粘剂包装桶</w:t>
      </w:r>
    </w:p>
    <w:p w14:paraId="7A1B20DE">
      <w:pPr>
        <w:pStyle w:val="2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本项目生产过程中的溶剂型胶粘剂包装桶为20kg包装的小型包装桶，根据建设单位提供资料，项目胶粘剂可完全使用，包装桶内基本无残留；溶剂型胶粘剂包装桶1个约0.5kg、年产生量约为0.152t/a，按《国家危险废物名录》</w:t>
      </w:r>
      <w:r>
        <w:rPr>
          <w:rFonts w:hint="default" w:ascii="Times New Roman" w:hAnsi="Times New Roman" w:eastAsia="宋体" w:cs="Times New Roman"/>
          <w:i w:val="0"/>
          <w:iCs w:val="0"/>
          <w:color w:val="auto"/>
          <w:u w:val="none" w:color="auto"/>
        </w:rPr>
        <w:t>（</w:t>
      </w:r>
      <w:r>
        <w:rPr>
          <w:rFonts w:hint="default" w:ascii="Times New Roman" w:hAnsi="Times New Roman" w:eastAsia="宋体" w:cs="Times New Roman"/>
          <w:i w:val="0"/>
          <w:iCs w:val="0"/>
          <w:color w:val="auto"/>
          <w:u w:val="none" w:color="auto"/>
          <w:lang w:val="en-US" w:eastAsia="zh-CN"/>
        </w:rPr>
        <w:t>2025</w:t>
      </w:r>
      <w:r>
        <w:rPr>
          <w:rFonts w:hint="default" w:ascii="Times New Roman" w:hAnsi="Times New Roman" w:eastAsia="宋体" w:cs="Times New Roman"/>
          <w:i w:val="0"/>
          <w:iCs w:val="0"/>
          <w:color w:val="auto"/>
          <w:u w:val="none" w:color="auto"/>
        </w:rPr>
        <w:t>年）</w:t>
      </w:r>
      <w:r>
        <w:rPr>
          <w:rFonts w:hint="eastAsia" w:ascii="Times New Roman" w:hAnsi="Times New Roman" w:eastAsia="宋体" w:cs="Times New Roman"/>
          <w:color w:val="auto"/>
          <w:u w:val="none" w:color="auto"/>
          <w:lang w:val="en-US" w:eastAsia="zh-CN"/>
        </w:rPr>
        <w:t>，分类编号为HW49，代码为900-041-49，收集后临时贮存在厂区危废暂存间内，交由有资质的单位处理。</w:t>
      </w:r>
    </w:p>
    <w:p w14:paraId="73022E17">
      <w:pPr>
        <w:pStyle w:val="2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⑧</w:t>
      </w:r>
      <w:r>
        <w:rPr>
          <w:rFonts w:hint="default" w:ascii="Times New Roman" w:hAnsi="Times New Roman" w:eastAsia="宋体" w:cs="Times New Roman"/>
          <w:color w:val="auto"/>
          <w:u w:val="none" w:color="auto"/>
          <w:lang w:val="en-US" w:eastAsia="zh-CN"/>
        </w:rPr>
        <w:t>废矿物油</w:t>
      </w:r>
    </w:p>
    <w:p w14:paraId="498D3699">
      <w:pPr>
        <w:pStyle w:val="20"/>
        <w:bidi w:val="0"/>
        <w:rPr>
          <w:rFonts w:hint="default" w:ascii="Times New Roman" w:hAnsi="Times New Roman" w:eastAsia="宋体" w:cs="Times New Roman"/>
          <w:color w:val="auto"/>
          <w:u w:val="none" w:color="auto"/>
          <w:lang w:eastAsia="zh-CN"/>
        </w:rPr>
      </w:pPr>
      <w:r>
        <w:rPr>
          <w:rFonts w:hint="default" w:ascii="Times New Roman" w:hAnsi="Times New Roman" w:eastAsia="宋体" w:cs="Times New Roman"/>
          <w:i w:val="0"/>
          <w:iCs w:val="0"/>
          <w:color w:val="auto"/>
          <w:u w:val="none" w:color="auto"/>
        </w:rPr>
        <w:t>项目机器维修</w:t>
      </w:r>
      <w:r>
        <w:rPr>
          <w:rFonts w:hint="default" w:ascii="Times New Roman" w:hAnsi="Times New Roman" w:eastAsia="宋体" w:cs="Times New Roman"/>
          <w:i w:val="0"/>
          <w:iCs w:val="0"/>
          <w:color w:val="auto"/>
          <w:u w:val="none" w:color="auto"/>
          <w:lang w:val="en-US" w:eastAsia="zh-CN"/>
        </w:rPr>
        <w:t>会</w:t>
      </w:r>
      <w:r>
        <w:rPr>
          <w:rFonts w:hint="default" w:ascii="Times New Roman" w:hAnsi="Times New Roman" w:eastAsia="宋体" w:cs="Times New Roman"/>
          <w:i w:val="0"/>
          <w:iCs w:val="0"/>
          <w:color w:val="auto"/>
          <w:u w:val="none" w:color="auto"/>
        </w:rPr>
        <w:t>产生</w:t>
      </w:r>
      <w:r>
        <w:rPr>
          <w:rFonts w:hint="default" w:ascii="Times New Roman" w:hAnsi="Times New Roman" w:eastAsia="宋体" w:cs="Times New Roman"/>
          <w:i w:val="0"/>
          <w:iCs w:val="0"/>
          <w:color w:val="auto"/>
          <w:u w:val="none" w:color="auto"/>
          <w:lang w:val="en-US" w:eastAsia="zh-CN"/>
        </w:rPr>
        <w:t>极少量的</w:t>
      </w:r>
      <w:r>
        <w:rPr>
          <w:rFonts w:hint="default" w:ascii="Times New Roman" w:hAnsi="Times New Roman" w:eastAsia="宋体" w:cs="Times New Roman"/>
          <w:i w:val="0"/>
          <w:iCs w:val="0"/>
          <w:color w:val="auto"/>
          <w:u w:val="none" w:color="auto"/>
        </w:rPr>
        <w:t>废矿物油，其产生量约为0.</w:t>
      </w:r>
      <w:r>
        <w:rPr>
          <w:rFonts w:hint="default" w:ascii="Times New Roman" w:hAnsi="Times New Roman" w:eastAsia="宋体" w:cs="Times New Roman"/>
          <w:i w:val="0"/>
          <w:iCs w:val="0"/>
          <w:color w:val="auto"/>
          <w:u w:val="none" w:color="auto"/>
          <w:lang w:val="en-US" w:eastAsia="zh-CN"/>
        </w:rPr>
        <w:t>1</w:t>
      </w:r>
      <w:r>
        <w:rPr>
          <w:rFonts w:hint="default" w:ascii="Times New Roman" w:hAnsi="Times New Roman" w:eastAsia="宋体" w:cs="Times New Roman"/>
          <w:i w:val="0"/>
          <w:iCs w:val="0"/>
          <w:color w:val="auto"/>
          <w:u w:val="none" w:color="auto"/>
        </w:rPr>
        <w:t>t/a，按《国家危险废物名录》（</w:t>
      </w:r>
      <w:r>
        <w:rPr>
          <w:rFonts w:hint="default" w:ascii="Times New Roman" w:hAnsi="Times New Roman" w:eastAsia="宋体" w:cs="Times New Roman"/>
          <w:i w:val="0"/>
          <w:iCs w:val="0"/>
          <w:color w:val="auto"/>
          <w:u w:val="none" w:color="auto"/>
          <w:lang w:val="en-US" w:eastAsia="zh-CN"/>
        </w:rPr>
        <w:t>2025</w:t>
      </w:r>
      <w:r>
        <w:rPr>
          <w:rFonts w:hint="default" w:ascii="Times New Roman" w:hAnsi="Times New Roman" w:eastAsia="宋体" w:cs="Times New Roman"/>
          <w:i w:val="0"/>
          <w:iCs w:val="0"/>
          <w:color w:val="auto"/>
          <w:u w:val="none" w:color="auto"/>
        </w:rPr>
        <w:t>年），</w:t>
      </w:r>
      <w:r>
        <w:rPr>
          <w:rFonts w:hint="default" w:ascii="Times New Roman" w:hAnsi="Times New Roman" w:eastAsia="宋体" w:cs="Times New Roman"/>
          <w:color w:val="auto"/>
          <w:u w:val="none" w:color="auto"/>
        </w:rPr>
        <w:t>分类编号为HW08，代码为900-21</w:t>
      </w:r>
      <w:r>
        <w:rPr>
          <w:rFonts w:hint="default" w:ascii="Times New Roman" w:hAnsi="Times New Roman" w:eastAsia="宋体" w:cs="Times New Roman"/>
          <w:color w:val="auto"/>
          <w:u w:val="none" w:color="auto"/>
          <w:lang w:val="en-US" w:eastAsia="zh-CN"/>
        </w:rPr>
        <w:t>4</w:t>
      </w:r>
      <w:r>
        <w:rPr>
          <w:rFonts w:hint="default" w:ascii="Times New Roman" w:hAnsi="Times New Roman" w:eastAsia="宋体" w:cs="Times New Roman"/>
          <w:color w:val="auto"/>
          <w:u w:val="none" w:color="auto"/>
        </w:rPr>
        <w:t>-08。收集后送有资质单位处理</w:t>
      </w:r>
      <w:r>
        <w:rPr>
          <w:rFonts w:hint="default" w:ascii="Times New Roman" w:hAnsi="Times New Roman" w:eastAsia="宋体" w:cs="Times New Roman"/>
          <w:color w:val="auto"/>
          <w:u w:val="none" w:color="auto"/>
          <w:lang w:eastAsia="zh-CN"/>
        </w:rPr>
        <w:t>。</w:t>
      </w:r>
    </w:p>
    <w:p w14:paraId="011DA256">
      <w:pPr>
        <w:pStyle w:val="20"/>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⑨</w:t>
      </w:r>
      <w:r>
        <w:rPr>
          <w:rFonts w:hint="default" w:ascii="Times New Roman" w:hAnsi="Times New Roman" w:eastAsia="宋体" w:cs="Times New Roman"/>
          <w:color w:val="auto"/>
          <w:u w:val="none" w:color="auto"/>
          <w:lang w:val="en-US" w:eastAsia="zh-CN"/>
        </w:rPr>
        <w:t>废活性炭</w:t>
      </w:r>
    </w:p>
    <w:p w14:paraId="17F3CEDB">
      <w:pPr>
        <w:pStyle w:val="20"/>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eastAsia="zh-CN"/>
        </w:rPr>
        <w:t>项目用</w:t>
      </w:r>
      <w:r>
        <w:rPr>
          <w:rFonts w:hint="default" w:ascii="Times New Roman" w:hAnsi="Times New Roman" w:eastAsia="宋体" w:cs="Times New Roman"/>
          <w:color w:val="auto"/>
          <w:u w:val="none" w:color="auto"/>
          <w:lang w:val="en-US" w:eastAsia="zh-CN"/>
        </w:rPr>
        <w:t>活性炭吸附</w:t>
      </w:r>
      <w:r>
        <w:rPr>
          <w:rFonts w:hint="eastAsia" w:ascii="Times New Roman" w:hAnsi="Times New Roman" w:eastAsia="宋体" w:cs="Times New Roman"/>
          <w:color w:val="auto"/>
          <w:u w:val="none" w:color="auto"/>
          <w:lang w:val="en-US" w:eastAsia="zh-CN"/>
        </w:rPr>
        <w:t>脱附</w:t>
      </w:r>
      <w:r>
        <w:rPr>
          <w:rFonts w:hint="default" w:ascii="Times New Roman" w:hAnsi="Times New Roman" w:eastAsia="宋体" w:cs="Times New Roman"/>
          <w:color w:val="auto"/>
          <w:u w:val="none" w:color="auto"/>
          <w:lang w:val="en-US" w:eastAsia="zh-CN"/>
        </w:rPr>
        <w:t>处理</w:t>
      </w:r>
      <w:r>
        <w:rPr>
          <w:rFonts w:hint="default" w:ascii="Times New Roman" w:hAnsi="Times New Roman" w:eastAsia="宋体" w:cs="Times New Roman"/>
          <w:color w:val="auto"/>
          <w:u w:val="none" w:color="auto"/>
          <w:lang w:eastAsia="zh-CN"/>
        </w:rPr>
        <w:t>有机废气，本项目共设置</w:t>
      </w:r>
      <w:r>
        <w:rPr>
          <w:rFonts w:hint="eastAsia"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lang w:eastAsia="zh-CN"/>
        </w:rPr>
        <w:t>套</w:t>
      </w:r>
      <w:r>
        <w:rPr>
          <w:rFonts w:hint="eastAsia" w:ascii="Times New Roman" w:hAnsi="Times New Roman" w:eastAsia="宋体" w:cs="Times New Roman"/>
          <w:color w:val="auto"/>
          <w:u w:val="none" w:color="auto"/>
          <w:lang w:val="en-US" w:eastAsia="zh-CN"/>
        </w:rPr>
        <w:t>二级</w:t>
      </w:r>
      <w:r>
        <w:rPr>
          <w:rFonts w:hint="default" w:ascii="Times New Roman" w:hAnsi="Times New Roman" w:eastAsia="宋体" w:cs="Times New Roman"/>
          <w:color w:val="auto"/>
          <w:u w:val="none" w:color="auto"/>
          <w:lang w:eastAsia="zh-CN"/>
        </w:rPr>
        <w:t>活性炭吸附装置，活性炭对VOCs的最大饱和吸附量按25%计，根据废气分析，本项目</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eastAsia="zh-CN"/>
        </w:rPr>
        <w:t>活性炭吸附</w:t>
      </w:r>
      <w:r>
        <w:rPr>
          <w:rFonts w:hint="eastAsia" w:ascii="Times New Roman" w:hAnsi="Times New Roman" w:eastAsia="宋体" w:cs="Times New Roman"/>
          <w:color w:val="auto"/>
          <w:u w:val="none" w:color="auto"/>
          <w:lang w:val="en-US" w:eastAsia="zh-CN"/>
        </w:rPr>
        <w:t>装置</w:t>
      </w:r>
      <w:r>
        <w:rPr>
          <w:rFonts w:hint="default" w:ascii="Times New Roman" w:hAnsi="Times New Roman" w:eastAsia="宋体" w:cs="Times New Roman"/>
          <w:color w:val="auto"/>
          <w:u w:val="none" w:color="auto"/>
          <w:lang w:eastAsia="zh-CN"/>
        </w:rPr>
        <w:t>对VOCs的吸附量约为</w:t>
      </w:r>
      <w:r>
        <w:rPr>
          <w:rFonts w:hint="eastAsia" w:ascii="Times New Roman" w:hAnsi="Times New Roman" w:eastAsia="宋体" w:cs="Times New Roman"/>
          <w:color w:val="auto"/>
          <w:u w:val="none" w:color="auto"/>
          <w:lang w:val="en-US" w:eastAsia="zh-CN"/>
        </w:rPr>
        <w:t>1.178</w:t>
      </w:r>
      <w:r>
        <w:rPr>
          <w:rFonts w:hint="default" w:ascii="Times New Roman" w:hAnsi="Times New Roman" w:eastAsia="宋体" w:cs="Times New Roman"/>
          <w:color w:val="auto"/>
          <w:u w:val="none" w:color="auto"/>
          <w:lang w:eastAsia="zh-CN"/>
        </w:rPr>
        <w:t>t，则需活性炭为</w:t>
      </w:r>
      <w:r>
        <w:rPr>
          <w:rFonts w:hint="eastAsia" w:ascii="Times New Roman" w:hAnsi="Times New Roman" w:eastAsia="宋体" w:cs="Times New Roman"/>
          <w:color w:val="auto"/>
          <w:u w:val="none" w:color="auto"/>
          <w:lang w:val="en-US" w:eastAsia="zh-CN"/>
        </w:rPr>
        <w:t>4.712</w:t>
      </w:r>
      <w:r>
        <w:rPr>
          <w:rFonts w:hint="default" w:ascii="Times New Roman" w:hAnsi="Times New Roman" w:eastAsia="宋体" w:cs="Times New Roman"/>
          <w:color w:val="auto"/>
          <w:u w:val="none" w:color="auto"/>
          <w:lang w:eastAsia="zh-CN"/>
        </w:rPr>
        <w:t>t，每套活性炭量填充量为</w:t>
      </w:r>
      <w:r>
        <w:rPr>
          <w:rFonts w:hint="eastAsia" w:ascii="Times New Roman" w:hAnsi="Times New Roman" w:eastAsia="宋体" w:cs="Times New Roman"/>
          <w:color w:val="auto"/>
          <w:u w:val="none" w:color="auto"/>
          <w:lang w:val="en-US" w:eastAsia="zh-CN"/>
        </w:rPr>
        <w:t>0.8</w:t>
      </w:r>
      <w:r>
        <w:rPr>
          <w:rFonts w:hint="default" w:ascii="Times New Roman" w:hAnsi="Times New Roman" w:eastAsia="宋体" w:cs="Times New Roman"/>
          <w:color w:val="auto"/>
          <w:u w:val="none" w:color="auto"/>
          <w:lang w:eastAsia="zh-CN"/>
        </w:rPr>
        <w:t>t，以环保的角度考虑，应提前更换活性炭，保证处理效率，每年需更换</w:t>
      </w:r>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lang w:eastAsia="zh-CN"/>
        </w:rPr>
        <w:t>次，则</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eastAsia="zh-CN"/>
        </w:rPr>
        <w:t>活性炭吸附</w:t>
      </w:r>
      <w:r>
        <w:rPr>
          <w:rFonts w:hint="eastAsia" w:ascii="Times New Roman" w:hAnsi="Times New Roman" w:eastAsia="宋体" w:cs="Times New Roman"/>
          <w:color w:val="auto"/>
          <w:u w:val="none" w:color="auto"/>
          <w:lang w:val="en-US" w:eastAsia="zh-CN"/>
        </w:rPr>
        <w:t>装置产生的</w:t>
      </w:r>
      <w:r>
        <w:rPr>
          <w:rFonts w:hint="default" w:ascii="Times New Roman" w:hAnsi="Times New Roman" w:eastAsia="宋体" w:cs="Times New Roman"/>
          <w:color w:val="auto"/>
          <w:u w:val="none" w:color="auto"/>
          <w:lang w:eastAsia="zh-CN"/>
        </w:rPr>
        <w:t>废活性炭量（含吸附的有机废气）为</w:t>
      </w:r>
      <w:r>
        <w:rPr>
          <w:rFonts w:hint="eastAsia" w:ascii="Times New Roman" w:hAnsi="Times New Roman" w:eastAsia="宋体" w:cs="Times New Roman"/>
          <w:color w:val="auto"/>
          <w:u w:val="none" w:color="auto"/>
          <w:lang w:val="en-US" w:eastAsia="zh-CN"/>
        </w:rPr>
        <w:t>5.978</w:t>
      </w:r>
      <w:r>
        <w:rPr>
          <w:rFonts w:hint="default" w:ascii="Times New Roman" w:hAnsi="Times New Roman" w:eastAsia="宋体" w:cs="Times New Roman"/>
          <w:color w:val="auto"/>
          <w:u w:val="none" w:color="auto"/>
          <w:lang w:eastAsia="zh-CN"/>
        </w:rPr>
        <w:t>t/a</w:t>
      </w: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lang w:eastAsia="zh-CN"/>
        </w:rPr>
        <w:t>活性炭吸附</w:t>
      </w:r>
      <w:r>
        <w:rPr>
          <w:rFonts w:hint="eastAsia" w:ascii="Times New Roman" w:hAnsi="Times New Roman" w:eastAsia="宋体" w:cs="Times New Roman"/>
          <w:color w:val="auto"/>
          <w:u w:val="none" w:color="auto"/>
          <w:lang w:val="en-US" w:eastAsia="zh-CN"/>
        </w:rPr>
        <w:t>装置</w:t>
      </w:r>
      <w:r>
        <w:rPr>
          <w:rFonts w:hint="default" w:ascii="Times New Roman" w:hAnsi="Times New Roman" w:eastAsia="宋体" w:cs="Times New Roman"/>
          <w:color w:val="auto"/>
          <w:u w:val="none" w:color="auto"/>
          <w:lang w:eastAsia="zh-CN"/>
        </w:rPr>
        <w:t>对VOCs的吸附量约为</w:t>
      </w:r>
      <w:r>
        <w:rPr>
          <w:rFonts w:hint="eastAsia" w:ascii="Times New Roman" w:hAnsi="Times New Roman" w:eastAsia="宋体" w:cs="Times New Roman"/>
          <w:color w:val="auto"/>
          <w:u w:val="none" w:color="auto"/>
          <w:lang w:val="en-US" w:eastAsia="zh-CN"/>
        </w:rPr>
        <w:t>2.182</w:t>
      </w:r>
      <w:r>
        <w:rPr>
          <w:rFonts w:hint="default" w:ascii="Times New Roman" w:hAnsi="Times New Roman" w:eastAsia="宋体" w:cs="Times New Roman"/>
          <w:color w:val="auto"/>
          <w:u w:val="none" w:color="auto"/>
          <w:lang w:eastAsia="zh-CN"/>
        </w:rPr>
        <w:t>t，则需活性炭为</w:t>
      </w:r>
      <w:r>
        <w:rPr>
          <w:rFonts w:hint="eastAsia" w:ascii="Times New Roman" w:hAnsi="Times New Roman" w:eastAsia="宋体" w:cs="Times New Roman"/>
          <w:color w:val="auto"/>
          <w:u w:val="none" w:color="auto"/>
          <w:lang w:val="en-US" w:eastAsia="zh-CN"/>
        </w:rPr>
        <w:t>8.728</w:t>
      </w:r>
      <w:r>
        <w:rPr>
          <w:rFonts w:hint="default" w:ascii="Times New Roman" w:hAnsi="Times New Roman" w:eastAsia="宋体" w:cs="Times New Roman"/>
          <w:color w:val="auto"/>
          <w:u w:val="none" w:color="auto"/>
          <w:lang w:eastAsia="zh-CN"/>
        </w:rPr>
        <w:t>t，每套活性炭量填充量为</w:t>
      </w:r>
      <w:r>
        <w:rPr>
          <w:rFonts w:hint="eastAsia" w:ascii="Times New Roman" w:hAnsi="Times New Roman" w:eastAsia="宋体" w:cs="Times New Roman"/>
          <w:color w:val="auto"/>
          <w:u w:val="none" w:color="auto"/>
          <w:lang w:val="en-US" w:eastAsia="zh-CN"/>
        </w:rPr>
        <w:t>1</w:t>
      </w:r>
      <w:r>
        <w:rPr>
          <w:rFonts w:hint="default" w:ascii="Times New Roman" w:hAnsi="Times New Roman" w:eastAsia="宋体" w:cs="Times New Roman"/>
          <w:color w:val="auto"/>
          <w:u w:val="none" w:color="auto"/>
          <w:lang w:eastAsia="zh-CN"/>
        </w:rPr>
        <w:t>t，以环保的角度考虑，应提前更换活性炭，保证处理效率，每年需更换</w:t>
      </w:r>
      <w:r>
        <w:rPr>
          <w:rFonts w:hint="eastAsia" w:ascii="Times New Roman" w:hAnsi="Times New Roman" w:eastAsia="宋体" w:cs="Times New Roman"/>
          <w:color w:val="auto"/>
          <w:u w:val="none" w:color="auto"/>
          <w:lang w:val="en-US" w:eastAsia="zh-CN"/>
        </w:rPr>
        <w:t>9</w:t>
      </w:r>
      <w:r>
        <w:rPr>
          <w:rFonts w:hint="default" w:ascii="Times New Roman" w:hAnsi="Times New Roman" w:eastAsia="宋体" w:cs="Times New Roman"/>
          <w:color w:val="auto"/>
          <w:u w:val="none" w:color="auto"/>
          <w:lang w:eastAsia="zh-CN"/>
        </w:rPr>
        <w:t>次，则</w:t>
      </w:r>
      <w:r>
        <w:rPr>
          <w:rFonts w:hint="eastAsia" w:ascii="Times New Roman" w:hAnsi="Times New Roman" w:eastAsia="宋体" w:cs="Times New Roman"/>
          <w:color w:val="auto"/>
          <w:u w:val="none" w:color="auto"/>
          <w:lang w:val="en-US" w:eastAsia="zh-CN"/>
        </w:rPr>
        <w:t>2#</w:t>
      </w:r>
      <w:r>
        <w:rPr>
          <w:rFonts w:hint="default" w:ascii="Times New Roman" w:hAnsi="Times New Roman" w:eastAsia="宋体" w:cs="Times New Roman"/>
          <w:color w:val="auto"/>
          <w:u w:val="none" w:color="auto"/>
          <w:lang w:eastAsia="zh-CN"/>
        </w:rPr>
        <w:t>活性炭吸附</w:t>
      </w:r>
      <w:r>
        <w:rPr>
          <w:rFonts w:hint="eastAsia" w:ascii="Times New Roman" w:hAnsi="Times New Roman" w:eastAsia="宋体" w:cs="Times New Roman"/>
          <w:color w:val="auto"/>
          <w:u w:val="none" w:color="auto"/>
          <w:lang w:val="en-US" w:eastAsia="zh-CN"/>
        </w:rPr>
        <w:t>装置产生的</w:t>
      </w:r>
      <w:r>
        <w:rPr>
          <w:rFonts w:hint="default" w:ascii="Times New Roman" w:hAnsi="Times New Roman" w:eastAsia="宋体" w:cs="Times New Roman"/>
          <w:color w:val="auto"/>
          <w:u w:val="none" w:color="auto"/>
          <w:lang w:eastAsia="zh-CN"/>
        </w:rPr>
        <w:t>废活性炭量（含吸附的有机废气）为</w:t>
      </w:r>
      <w:r>
        <w:rPr>
          <w:rFonts w:hint="eastAsia" w:ascii="Times New Roman" w:hAnsi="Times New Roman" w:eastAsia="宋体" w:cs="Times New Roman"/>
          <w:color w:val="auto"/>
          <w:u w:val="none" w:color="auto"/>
          <w:lang w:val="en-US" w:eastAsia="zh-CN"/>
        </w:rPr>
        <w:t>11.182</w:t>
      </w:r>
      <w:r>
        <w:rPr>
          <w:rFonts w:hint="default" w:ascii="Times New Roman" w:hAnsi="Times New Roman" w:eastAsia="宋体" w:cs="Times New Roman"/>
          <w:color w:val="auto"/>
          <w:u w:val="none" w:color="auto"/>
          <w:lang w:eastAsia="zh-CN"/>
        </w:rPr>
        <w:t>t/a。</w:t>
      </w:r>
      <w:r>
        <w:rPr>
          <w:rFonts w:hint="eastAsia" w:ascii="Times New Roman" w:hAnsi="Times New Roman" w:eastAsia="宋体" w:cs="Times New Roman"/>
          <w:color w:val="auto"/>
          <w:u w:val="none" w:color="auto"/>
          <w:lang w:val="en-US" w:eastAsia="zh-CN"/>
        </w:rPr>
        <w:t>综上，项目废活性炭产生量为17.16</w:t>
      </w:r>
      <w:r>
        <w:rPr>
          <w:rFonts w:hint="default" w:ascii="Times New Roman" w:hAnsi="Times New Roman" w:eastAsia="宋体" w:cs="Times New Roman"/>
          <w:color w:val="auto"/>
          <w:u w:val="none" w:color="auto"/>
          <w:lang w:eastAsia="zh-CN"/>
        </w:rPr>
        <w:t>t/a</w:t>
      </w:r>
      <w:r>
        <w:rPr>
          <w:rFonts w:hint="eastAsia" w:ascii="Times New Roman" w:hAnsi="Times New Roman" w:eastAsia="宋体" w:cs="Times New Roman"/>
          <w:color w:val="auto"/>
          <w:u w:val="none" w:color="auto"/>
          <w:lang w:val="en-US" w:eastAsia="zh-CN"/>
        </w:rPr>
        <w:t>，</w:t>
      </w:r>
      <w:r>
        <w:rPr>
          <w:rFonts w:hint="default" w:ascii="Times New Roman" w:hAnsi="Times New Roman" w:eastAsia="宋体" w:cs="Times New Roman"/>
          <w:color w:val="auto"/>
          <w:u w:val="none" w:color="auto"/>
          <w:lang w:eastAsia="zh-CN"/>
        </w:rPr>
        <w:t>对照《国家危险废物名录》（202</w:t>
      </w:r>
      <w:r>
        <w:rPr>
          <w:rFonts w:hint="default" w:ascii="Times New Roman" w:hAnsi="Times New Roman" w:eastAsia="宋体" w:cs="Times New Roman"/>
          <w:color w:val="auto"/>
          <w:u w:val="none" w:color="auto"/>
          <w:lang w:val="en-US" w:eastAsia="zh-CN"/>
        </w:rPr>
        <w:t>5</w:t>
      </w:r>
      <w:r>
        <w:rPr>
          <w:rFonts w:hint="default" w:ascii="Times New Roman" w:hAnsi="Times New Roman" w:eastAsia="宋体" w:cs="Times New Roman"/>
          <w:color w:val="auto"/>
          <w:u w:val="none" w:color="auto"/>
          <w:lang w:eastAsia="zh-CN"/>
        </w:rPr>
        <w:t>年版），废活性炭属于危险废物</w:t>
      </w:r>
      <w:r>
        <w:rPr>
          <w:rFonts w:hint="eastAsia"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分类编号为HW</w:t>
      </w:r>
      <w:r>
        <w:rPr>
          <w:rFonts w:hint="eastAsia" w:ascii="Times New Roman" w:hAnsi="Times New Roman" w:eastAsia="宋体" w:cs="Times New Roman"/>
          <w:color w:val="auto"/>
          <w:u w:val="none" w:color="auto"/>
          <w:lang w:val="en-US" w:eastAsia="zh-CN"/>
        </w:rPr>
        <w:t>49</w:t>
      </w:r>
      <w:r>
        <w:rPr>
          <w:rFonts w:hint="default" w:ascii="Times New Roman" w:hAnsi="Times New Roman" w:eastAsia="宋体" w:cs="Times New Roman"/>
          <w:color w:val="auto"/>
          <w:u w:val="none" w:color="auto"/>
        </w:rPr>
        <w:t>，代码为</w:t>
      </w:r>
      <w:r>
        <w:rPr>
          <w:rFonts w:hint="default" w:ascii="Times New Roman" w:hAnsi="Times New Roman" w:eastAsia="宋体" w:cs="Times New Roman"/>
          <w:color w:val="auto"/>
          <w:u w:val="none" w:color="auto"/>
          <w:lang w:eastAsia="zh-CN"/>
        </w:rPr>
        <w:t>900-0</w:t>
      </w:r>
      <w:r>
        <w:rPr>
          <w:rFonts w:hint="eastAsia" w:ascii="Times New Roman" w:hAnsi="Times New Roman" w:eastAsia="宋体" w:cs="Times New Roman"/>
          <w:color w:val="auto"/>
          <w:u w:val="none" w:color="auto"/>
          <w:lang w:val="en-US" w:eastAsia="zh-CN"/>
        </w:rPr>
        <w:t>39</w:t>
      </w:r>
      <w:r>
        <w:rPr>
          <w:rFonts w:hint="default" w:ascii="Times New Roman" w:hAnsi="Times New Roman" w:eastAsia="宋体" w:cs="Times New Roman"/>
          <w:color w:val="auto"/>
          <w:u w:val="none" w:color="auto"/>
          <w:lang w:eastAsia="zh-CN"/>
        </w:rPr>
        <w:t>-49</w:t>
      </w:r>
      <w:r>
        <w:rPr>
          <w:rFonts w:hint="default" w:ascii="Times New Roman" w:hAnsi="Times New Roman" w:eastAsia="宋体" w:cs="Times New Roman"/>
          <w:color w:val="auto"/>
          <w:u w:val="none" w:color="auto"/>
        </w:rPr>
        <w:t>。收集后送有资质单位处理</w:t>
      </w:r>
      <w:r>
        <w:rPr>
          <w:rFonts w:hint="default" w:ascii="Times New Roman" w:hAnsi="Times New Roman" w:eastAsia="宋体" w:cs="Times New Roman"/>
          <w:i w:val="0"/>
          <w:iCs w:val="0"/>
          <w:color w:val="auto"/>
          <w:u w:val="none" w:color="auto"/>
        </w:rPr>
        <w:t>。</w:t>
      </w:r>
    </w:p>
    <w:p w14:paraId="32089298">
      <w:pPr>
        <w:pStyle w:val="22"/>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表4.4-6 项目固废产生处置情况表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366"/>
        <w:gridCol w:w="1350"/>
        <w:gridCol w:w="2325"/>
        <w:gridCol w:w="2743"/>
      </w:tblGrid>
      <w:tr w14:paraId="601D63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7FECED0A">
            <w:pPr>
              <w:pStyle w:val="24"/>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序号</w:t>
            </w:r>
          </w:p>
        </w:tc>
        <w:tc>
          <w:tcPr>
            <w:tcW w:w="1366" w:type="dxa"/>
            <w:noWrap w:val="0"/>
            <w:vAlign w:val="center"/>
          </w:tcPr>
          <w:p w14:paraId="09CEBD70">
            <w:pPr>
              <w:pStyle w:val="24"/>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类别</w:t>
            </w:r>
          </w:p>
        </w:tc>
        <w:tc>
          <w:tcPr>
            <w:tcW w:w="1350" w:type="dxa"/>
            <w:noWrap w:val="0"/>
            <w:vAlign w:val="center"/>
          </w:tcPr>
          <w:p w14:paraId="5D491DF4">
            <w:pPr>
              <w:pStyle w:val="24"/>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产生量t/a</w:t>
            </w:r>
          </w:p>
        </w:tc>
        <w:tc>
          <w:tcPr>
            <w:tcW w:w="2325" w:type="dxa"/>
            <w:noWrap w:val="0"/>
            <w:vAlign w:val="center"/>
          </w:tcPr>
          <w:p w14:paraId="0A767341">
            <w:pPr>
              <w:pStyle w:val="24"/>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固废代码</w:t>
            </w:r>
          </w:p>
        </w:tc>
        <w:tc>
          <w:tcPr>
            <w:tcW w:w="2743" w:type="dxa"/>
            <w:noWrap w:val="0"/>
            <w:vAlign w:val="center"/>
          </w:tcPr>
          <w:p w14:paraId="680B8E2D">
            <w:pPr>
              <w:pStyle w:val="24"/>
              <w:bidi w:val="0"/>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lang w:val="en-US" w:eastAsia="zh-CN"/>
              </w:rPr>
              <w:t>处理方式</w:t>
            </w:r>
          </w:p>
        </w:tc>
      </w:tr>
      <w:tr w14:paraId="20B4EF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7BA95457">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w:t>
            </w:r>
          </w:p>
        </w:tc>
        <w:tc>
          <w:tcPr>
            <w:tcW w:w="1366" w:type="dxa"/>
            <w:noWrap w:val="0"/>
            <w:vAlign w:val="center"/>
          </w:tcPr>
          <w:p w14:paraId="2CAF95EC">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生活垃圾</w:t>
            </w:r>
          </w:p>
        </w:tc>
        <w:tc>
          <w:tcPr>
            <w:tcW w:w="1350" w:type="dxa"/>
            <w:noWrap w:val="0"/>
            <w:vAlign w:val="center"/>
          </w:tcPr>
          <w:p w14:paraId="4FE5863E">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w:t>
            </w:r>
          </w:p>
        </w:tc>
        <w:tc>
          <w:tcPr>
            <w:tcW w:w="2325" w:type="dxa"/>
            <w:noWrap w:val="0"/>
            <w:vAlign w:val="center"/>
          </w:tcPr>
          <w:p w14:paraId="6BDF5868">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生活垃圾</w:t>
            </w:r>
          </w:p>
        </w:tc>
        <w:tc>
          <w:tcPr>
            <w:tcW w:w="2743" w:type="dxa"/>
            <w:noWrap w:val="0"/>
            <w:vAlign w:val="center"/>
          </w:tcPr>
          <w:p w14:paraId="2E59F6E1">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收集后交由环卫部门处理</w:t>
            </w:r>
          </w:p>
        </w:tc>
      </w:tr>
      <w:tr w14:paraId="61E422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1BC74143">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w:t>
            </w:r>
          </w:p>
        </w:tc>
        <w:tc>
          <w:tcPr>
            <w:tcW w:w="1366" w:type="dxa"/>
            <w:noWrap w:val="0"/>
            <w:vAlign w:val="center"/>
          </w:tcPr>
          <w:p w14:paraId="37AB05C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循环沉淀池沉渣</w:t>
            </w:r>
          </w:p>
        </w:tc>
        <w:tc>
          <w:tcPr>
            <w:tcW w:w="1350" w:type="dxa"/>
            <w:noWrap w:val="0"/>
            <w:vAlign w:val="center"/>
          </w:tcPr>
          <w:p w14:paraId="4F648D13">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0.05</w:t>
            </w:r>
          </w:p>
        </w:tc>
        <w:tc>
          <w:tcPr>
            <w:tcW w:w="2325" w:type="dxa"/>
            <w:noWrap w:val="0"/>
            <w:vAlign w:val="center"/>
          </w:tcPr>
          <w:p w14:paraId="0FEEB3B8">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p w14:paraId="198B0D45">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S59</w:t>
            </w:r>
          </w:p>
        </w:tc>
        <w:tc>
          <w:tcPr>
            <w:tcW w:w="2743" w:type="dxa"/>
            <w:noWrap w:val="0"/>
            <w:vAlign w:val="center"/>
          </w:tcPr>
          <w:p w14:paraId="555C57B2">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外售综合利用</w:t>
            </w:r>
          </w:p>
        </w:tc>
      </w:tr>
      <w:tr w14:paraId="0DEAD5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5BA0D832">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3</w:t>
            </w:r>
          </w:p>
        </w:tc>
        <w:tc>
          <w:tcPr>
            <w:tcW w:w="1366" w:type="dxa"/>
            <w:noWrap w:val="0"/>
            <w:vAlign w:val="center"/>
          </w:tcPr>
          <w:p w14:paraId="48B92635">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不合格品及边角料</w:t>
            </w:r>
          </w:p>
        </w:tc>
        <w:tc>
          <w:tcPr>
            <w:tcW w:w="1350" w:type="dxa"/>
            <w:noWrap w:val="0"/>
            <w:vAlign w:val="center"/>
          </w:tcPr>
          <w:p w14:paraId="07A013BA">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1550</w:t>
            </w:r>
          </w:p>
        </w:tc>
        <w:tc>
          <w:tcPr>
            <w:tcW w:w="2325" w:type="dxa"/>
            <w:noWrap w:val="0"/>
            <w:vAlign w:val="center"/>
          </w:tcPr>
          <w:p w14:paraId="276CCD3B">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p w14:paraId="6DC55A2D">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003-S17</w:t>
            </w:r>
          </w:p>
        </w:tc>
        <w:tc>
          <w:tcPr>
            <w:tcW w:w="2743" w:type="dxa"/>
            <w:vMerge w:val="restart"/>
            <w:noWrap w:val="0"/>
            <w:vAlign w:val="center"/>
          </w:tcPr>
          <w:p w14:paraId="494308B4">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回用于生产</w:t>
            </w:r>
          </w:p>
        </w:tc>
      </w:tr>
      <w:tr w14:paraId="6DE88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0536CC15">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4</w:t>
            </w:r>
          </w:p>
        </w:tc>
        <w:tc>
          <w:tcPr>
            <w:tcW w:w="1366" w:type="dxa"/>
            <w:noWrap w:val="0"/>
            <w:vAlign w:val="center"/>
          </w:tcPr>
          <w:p w14:paraId="5929EE66">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废膜</w:t>
            </w:r>
          </w:p>
        </w:tc>
        <w:tc>
          <w:tcPr>
            <w:tcW w:w="1350" w:type="dxa"/>
            <w:noWrap w:val="0"/>
            <w:vAlign w:val="center"/>
          </w:tcPr>
          <w:p w14:paraId="5BDD86E5">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11</w:t>
            </w:r>
          </w:p>
        </w:tc>
        <w:tc>
          <w:tcPr>
            <w:tcW w:w="2325" w:type="dxa"/>
            <w:noWrap w:val="0"/>
            <w:vAlign w:val="center"/>
          </w:tcPr>
          <w:p w14:paraId="630BC5BB">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p w14:paraId="2C72F2CB">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-00</w:t>
            </w:r>
            <w:r>
              <w:rPr>
                <w:rFonts w:hint="eastAsia" w:ascii="Times New Roman" w:hAnsi="Times New Roman" w:eastAsia="宋体"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S17</w:t>
            </w:r>
          </w:p>
        </w:tc>
        <w:tc>
          <w:tcPr>
            <w:tcW w:w="2743" w:type="dxa"/>
            <w:vMerge w:val="continue"/>
            <w:noWrap w:val="0"/>
            <w:vAlign w:val="center"/>
          </w:tcPr>
          <w:p w14:paraId="17088A84">
            <w:pPr>
              <w:pStyle w:val="24"/>
              <w:bidi w:val="0"/>
              <w:rPr>
                <w:rFonts w:hint="default" w:ascii="Times New Roman" w:hAnsi="Times New Roman" w:eastAsia="宋体" w:cs="Times New Roman"/>
                <w:color w:val="auto"/>
                <w:kern w:val="2"/>
                <w:sz w:val="21"/>
                <w:szCs w:val="21"/>
                <w:u w:val="none" w:color="auto"/>
                <w:lang w:val="en-US" w:eastAsia="zh-CN" w:bidi="ar-SA"/>
              </w:rPr>
            </w:pPr>
          </w:p>
        </w:tc>
      </w:tr>
      <w:tr w14:paraId="7E7E2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13F129AD">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5</w:t>
            </w:r>
          </w:p>
        </w:tc>
        <w:tc>
          <w:tcPr>
            <w:tcW w:w="1366" w:type="dxa"/>
            <w:noWrap w:val="0"/>
            <w:vAlign w:val="center"/>
          </w:tcPr>
          <w:p w14:paraId="16FCEACF">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除尘系统收集的粉尘</w:t>
            </w:r>
          </w:p>
        </w:tc>
        <w:tc>
          <w:tcPr>
            <w:tcW w:w="1350" w:type="dxa"/>
            <w:noWrap w:val="0"/>
            <w:vAlign w:val="center"/>
          </w:tcPr>
          <w:p w14:paraId="02C28E3E">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9.248</w:t>
            </w:r>
          </w:p>
        </w:tc>
        <w:tc>
          <w:tcPr>
            <w:tcW w:w="2325" w:type="dxa"/>
            <w:noWrap w:val="0"/>
            <w:vAlign w:val="center"/>
          </w:tcPr>
          <w:p w14:paraId="66084B3B">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p w14:paraId="204747A4">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9</w:t>
            </w:r>
            <w:r>
              <w:rPr>
                <w:rFonts w:hint="default" w:ascii="Times New Roman" w:hAnsi="Times New Roman" w:eastAsia="宋体" w:cs="Times New Roman"/>
                <w:color w:val="auto"/>
                <w:u w:val="none" w:color="auto"/>
                <w:lang w:val="en-US" w:eastAsia="zh-CN"/>
              </w:rPr>
              <w:t>9</w:t>
            </w:r>
            <w:r>
              <w:rPr>
                <w:rFonts w:hint="eastAsia" w:ascii="Times New Roman" w:hAnsi="Times New Roman" w:eastAsia="宋体" w:cs="Times New Roman"/>
                <w:color w:val="auto"/>
                <w:u w:val="none" w:color="auto"/>
                <w:lang w:val="en-US" w:eastAsia="zh-CN"/>
              </w:rPr>
              <w:t>-S17</w:t>
            </w:r>
          </w:p>
        </w:tc>
        <w:tc>
          <w:tcPr>
            <w:tcW w:w="2743" w:type="dxa"/>
            <w:vMerge w:val="continue"/>
            <w:noWrap w:val="0"/>
            <w:vAlign w:val="center"/>
          </w:tcPr>
          <w:p w14:paraId="147004C3">
            <w:pPr>
              <w:pStyle w:val="24"/>
              <w:bidi w:val="0"/>
              <w:rPr>
                <w:rFonts w:hint="default" w:ascii="Times New Roman" w:hAnsi="Times New Roman" w:eastAsia="宋体" w:cs="Times New Roman"/>
                <w:color w:val="auto"/>
                <w:u w:val="none" w:color="auto"/>
                <w:lang w:val="en-US" w:eastAsia="zh-CN"/>
              </w:rPr>
            </w:pPr>
          </w:p>
        </w:tc>
      </w:tr>
      <w:tr w14:paraId="296F53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06CB71D8">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6</w:t>
            </w:r>
          </w:p>
        </w:tc>
        <w:tc>
          <w:tcPr>
            <w:tcW w:w="1366" w:type="dxa"/>
            <w:noWrap w:val="0"/>
            <w:vAlign w:val="center"/>
          </w:tcPr>
          <w:p w14:paraId="6F4A858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一般性废包装材料</w:t>
            </w:r>
          </w:p>
        </w:tc>
        <w:tc>
          <w:tcPr>
            <w:tcW w:w="1350" w:type="dxa"/>
            <w:noWrap w:val="0"/>
            <w:vAlign w:val="center"/>
          </w:tcPr>
          <w:p w14:paraId="5655DE51">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w:t>
            </w:r>
          </w:p>
        </w:tc>
        <w:tc>
          <w:tcPr>
            <w:tcW w:w="2325" w:type="dxa"/>
            <w:noWrap w:val="0"/>
            <w:vAlign w:val="center"/>
          </w:tcPr>
          <w:p w14:paraId="0F0C1518">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一般固废</w:t>
            </w:r>
          </w:p>
          <w:p w14:paraId="512FA4FD">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900</w:t>
            </w:r>
            <w:r>
              <w:rPr>
                <w:rFonts w:hint="default" w:ascii="Times New Roman" w:hAnsi="Times New Roman" w:eastAsia="宋体" w:cs="Times New Roman"/>
                <w:color w:val="auto"/>
                <w:u w:val="none" w:color="auto"/>
                <w:lang w:val="en-US" w:eastAsia="zh-CN"/>
              </w:rPr>
              <w:t>-0</w:t>
            </w:r>
            <w:r>
              <w:rPr>
                <w:rFonts w:hint="eastAsia" w:ascii="Times New Roman" w:hAnsi="Times New Roman" w:eastAsia="宋体" w:cs="Times New Roman"/>
                <w:color w:val="auto"/>
                <w:u w:val="none" w:color="auto"/>
                <w:lang w:val="en-US" w:eastAsia="zh-CN"/>
              </w:rPr>
              <w:t>99</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S59</w:t>
            </w:r>
          </w:p>
        </w:tc>
        <w:tc>
          <w:tcPr>
            <w:tcW w:w="2743" w:type="dxa"/>
            <w:noWrap w:val="0"/>
            <w:vAlign w:val="center"/>
          </w:tcPr>
          <w:p w14:paraId="630EBBF3">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其他包装材料收集后外售综合利用、水性胶粘剂包装桶收集后由厂家回收利用</w:t>
            </w:r>
          </w:p>
        </w:tc>
      </w:tr>
      <w:tr w14:paraId="4A038D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48E1047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7</w:t>
            </w:r>
          </w:p>
        </w:tc>
        <w:tc>
          <w:tcPr>
            <w:tcW w:w="1366" w:type="dxa"/>
            <w:noWrap w:val="0"/>
            <w:vAlign w:val="center"/>
          </w:tcPr>
          <w:p w14:paraId="5D416AD2">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溶剂型胶粘剂包装桶</w:t>
            </w:r>
          </w:p>
        </w:tc>
        <w:tc>
          <w:tcPr>
            <w:tcW w:w="1350" w:type="dxa"/>
            <w:noWrap w:val="0"/>
            <w:vAlign w:val="center"/>
          </w:tcPr>
          <w:p w14:paraId="1F39DCD7">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0.152</w:t>
            </w:r>
          </w:p>
        </w:tc>
        <w:tc>
          <w:tcPr>
            <w:tcW w:w="2325" w:type="dxa"/>
            <w:noWrap w:val="0"/>
            <w:vAlign w:val="center"/>
          </w:tcPr>
          <w:p w14:paraId="6D730117">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危险废物，编号为HW</w:t>
            </w:r>
            <w:r>
              <w:rPr>
                <w:rFonts w:hint="eastAsia" w:ascii="Times New Roman" w:hAnsi="Times New Roman" w:eastAsia="宋体" w:cs="Times New Roman"/>
                <w:color w:val="auto"/>
                <w:u w:val="none" w:color="auto"/>
                <w:lang w:val="en-US" w:eastAsia="zh-CN"/>
              </w:rPr>
              <w:t>49</w:t>
            </w:r>
            <w:r>
              <w:rPr>
                <w:rFonts w:hint="default" w:ascii="Times New Roman" w:hAnsi="Times New Roman" w:eastAsia="宋体" w:cs="Times New Roman"/>
                <w:color w:val="auto"/>
                <w:u w:val="none" w:color="auto"/>
                <w:lang w:val="en-US" w:eastAsia="zh-CN"/>
              </w:rPr>
              <w:t>（900-</w:t>
            </w:r>
            <w:r>
              <w:rPr>
                <w:rFonts w:hint="eastAsia" w:ascii="Times New Roman" w:hAnsi="Times New Roman" w:eastAsia="宋体" w:cs="Times New Roman"/>
                <w:color w:val="auto"/>
                <w:u w:val="none" w:color="auto"/>
                <w:lang w:val="en-US" w:eastAsia="zh-CN"/>
              </w:rPr>
              <w:t>041</w:t>
            </w:r>
            <w:r>
              <w:rPr>
                <w:rFonts w:hint="default" w:ascii="Times New Roman" w:hAnsi="Times New Roman" w:eastAsia="宋体" w:cs="Times New Roman"/>
                <w:color w:val="auto"/>
                <w:u w:val="none" w:color="auto"/>
                <w:lang w:val="en-US" w:eastAsia="zh-CN"/>
              </w:rPr>
              <w:t>-</w:t>
            </w:r>
            <w:r>
              <w:rPr>
                <w:rFonts w:hint="eastAsia" w:ascii="Times New Roman" w:hAnsi="Times New Roman" w:eastAsia="宋体" w:cs="Times New Roman"/>
                <w:color w:val="auto"/>
                <w:u w:val="none" w:color="auto"/>
                <w:lang w:val="en-US" w:eastAsia="zh-CN"/>
              </w:rPr>
              <w:t>49</w:t>
            </w:r>
            <w:r>
              <w:rPr>
                <w:rFonts w:hint="default" w:ascii="Times New Roman" w:hAnsi="Times New Roman" w:eastAsia="宋体" w:cs="Times New Roman"/>
                <w:color w:val="auto"/>
                <w:u w:val="none" w:color="auto"/>
                <w:lang w:val="en-US" w:eastAsia="zh-CN"/>
              </w:rPr>
              <w:t>）</w:t>
            </w:r>
          </w:p>
        </w:tc>
        <w:tc>
          <w:tcPr>
            <w:tcW w:w="2743" w:type="dxa"/>
            <w:vMerge w:val="restart"/>
            <w:noWrap w:val="0"/>
            <w:vAlign w:val="center"/>
          </w:tcPr>
          <w:p w14:paraId="1BB112E9">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收集后暂存于危废间，定期</w:t>
            </w:r>
            <w:r>
              <w:rPr>
                <w:rFonts w:hint="default" w:ascii="Times New Roman" w:hAnsi="Times New Roman" w:eastAsia="宋体" w:cs="Times New Roman"/>
                <w:color w:val="auto"/>
                <w:u w:val="none" w:color="auto"/>
              </w:rPr>
              <w:t>交由有危废处理资质单位统一处理</w:t>
            </w:r>
          </w:p>
        </w:tc>
      </w:tr>
      <w:tr w14:paraId="69A9D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08A12453">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8</w:t>
            </w:r>
          </w:p>
        </w:tc>
        <w:tc>
          <w:tcPr>
            <w:tcW w:w="1366" w:type="dxa"/>
            <w:noWrap w:val="0"/>
            <w:vAlign w:val="center"/>
          </w:tcPr>
          <w:p w14:paraId="2696FB2C">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废矿物油</w:t>
            </w:r>
          </w:p>
        </w:tc>
        <w:tc>
          <w:tcPr>
            <w:tcW w:w="1350" w:type="dxa"/>
            <w:noWrap w:val="0"/>
            <w:vAlign w:val="center"/>
          </w:tcPr>
          <w:p w14:paraId="11BE7D25">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0.1</w:t>
            </w:r>
          </w:p>
        </w:tc>
        <w:tc>
          <w:tcPr>
            <w:tcW w:w="2325" w:type="dxa"/>
            <w:noWrap w:val="0"/>
            <w:vAlign w:val="center"/>
          </w:tcPr>
          <w:p w14:paraId="543D0601">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危险废物，编号为HW08（900-214-08）</w:t>
            </w:r>
          </w:p>
        </w:tc>
        <w:tc>
          <w:tcPr>
            <w:tcW w:w="2743" w:type="dxa"/>
            <w:vMerge w:val="continue"/>
            <w:noWrap w:val="0"/>
            <w:vAlign w:val="center"/>
          </w:tcPr>
          <w:p w14:paraId="0BFC5CA7">
            <w:pPr>
              <w:pStyle w:val="24"/>
              <w:bidi w:val="0"/>
              <w:rPr>
                <w:rFonts w:hint="default" w:ascii="Times New Roman" w:hAnsi="Times New Roman" w:eastAsia="宋体" w:cs="Times New Roman"/>
                <w:color w:val="auto"/>
                <w:kern w:val="2"/>
                <w:sz w:val="21"/>
                <w:szCs w:val="21"/>
                <w:u w:val="none" w:color="auto"/>
                <w:lang w:val="en-US" w:eastAsia="zh-CN" w:bidi="ar-SA"/>
              </w:rPr>
            </w:pPr>
          </w:p>
        </w:tc>
      </w:tr>
      <w:tr w14:paraId="2D6AEC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20" w:type="dxa"/>
            <w:noWrap w:val="0"/>
            <w:vAlign w:val="center"/>
          </w:tcPr>
          <w:p w14:paraId="0910162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9</w:t>
            </w:r>
          </w:p>
        </w:tc>
        <w:tc>
          <w:tcPr>
            <w:tcW w:w="1366" w:type="dxa"/>
            <w:noWrap w:val="0"/>
            <w:vAlign w:val="center"/>
          </w:tcPr>
          <w:p w14:paraId="5B75A5BA">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废活性炭</w:t>
            </w:r>
          </w:p>
        </w:tc>
        <w:tc>
          <w:tcPr>
            <w:tcW w:w="1350" w:type="dxa"/>
            <w:noWrap w:val="0"/>
            <w:vAlign w:val="center"/>
          </w:tcPr>
          <w:p w14:paraId="3A4CD978">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17.16</w:t>
            </w:r>
          </w:p>
        </w:tc>
        <w:tc>
          <w:tcPr>
            <w:tcW w:w="2325" w:type="dxa"/>
            <w:noWrap w:val="0"/>
            <w:vAlign w:val="center"/>
          </w:tcPr>
          <w:p w14:paraId="3DCB91D2">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危险废物，编号为HW49（900-039-49）</w:t>
            </w:r>
          </w:p>
        </w:tc>
        <w:tc>
          <w:tcPr>
            <w:tcW w:w="2743" w:type="dxa"/>
            <w:vMerge w:val="continue"/>
            <w:noWrap w:val="0"/>
            <w:vAlign w:val="center"/>
          </w:tcPr>
          <w:p w14:paraId="18C23C27">
            <w:pPr>
              <w:pStyle w:val="24"/>
              <w:bidi w:val="0"/>
              <w:rPr>
                <w:rFonts w:hint="default" w:ascii="Times New Roman" w:hAnsi="Times New Roman" w:eastAsia="宋体" w:cs="Times New Roman"/>
                <w:color w:val="auto"/>
                <w:kern w:val="2"/>
                <w:sz w:val="21"/>
                <w:szCs w:val="21"/>
                <w:u w:val="none" w:color="auto"/>
                <w:lang w:val="en-US" w:eastAsia="zh-CN" w:bidi="ar-SA"/>
              </w:rPr>
            </w:pPr>
          </w:p>
        </w:tc>
      </w:tr>
    </w:tbl>
    <w:p w14:paraId="42330B70">
      <w:pPr>
        <w:pStyle w:val="22"/>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表4.4-7 项目危险废物产生处置情况统计表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157"/>
        <w:gridCol w:w="819"/>
        <w:gridCol w:w="819"/>
        <w:gridCol w:w="762"/>
        <w:gridCol w:w="861"/>
        <w:gridCol w:w="479"/>
        <w:gridCol w:w="833"/>
        <w:gridCol w:w="663"/>
        <w:gridCol w:w="649"/>
        <w:gridCol w:w="1058"/>
      </w:tblGrid>
      <w:tr w14:paraId="0B76CB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12734507">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1157" w:type="dxa"/>
            <w:tcBorders>
              <w:tl2br w:val="nil"/>
              <w:tr2bl w:val="nil"/>
            </w:tcBorders>
            <w:noWrap w:val="0"/>
            <w:vAlign w:val="center"/>
          </w:tcPr>
          <w:p w14:paraId="32BFB32B">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危险废物</w:t>
            </w:r>
            <w:r>
              <w:rPr>
                <w:rFonts w:hint="default" w:ascii="Times New Roman" w:hAnsi="Times New Roman" w:eastAsia="宋体" w:cs="Times New Roman"/>
                <w:b/>
                <w:bCs/>
                <w:color w:val="auto"/>
                <w:sz w:val="21"/>
                <w:szCs w:val="21"/>
                <w:u w:val="none" w:color="auto"/>
              </w:rPr>
              <w:t>名称</w:t>
            </w:r>
          </w:p>
        </w:tc>
        <w:tc>
          <w:tcPr>
            <w:tcW w:w="819" w:type="dxa"/>
            <w:tcBorders>
              <w:tl2br w:val="nil"/>
              <w:tr2bl w:val="nil"/>
            </w:tcBorders>
            <w:noWrap w:val="0"/>
            <w:vAlign w:val="center"/>
          </w:tcPr>
          <w:p w14:paraId="1B9FB750">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危险废物类别</w:t>
            </w:r>
          </w:p>
        </w:tc>
        <w:tc>
          <w:tcPr>
            <w:tcW w:w="819" w:type="dxa"/>
            <w:tcBorders>
              <w:tl2br w:val="nil"/>
              <w:tr2bl w:val="nil"/>
            </w:tcBorders>
            <w:noWrap w:val="0"/>
            <w:vAlign w:val="center"/>
          </w:tcPr>
          <w:p w14:paraId="689E0AD7">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危险废物代码</w:t>
            </w:r>
          </w:p>
        </w:tc>
        <w:tc>
          <w:tcPr>
            <w:tcW w:w="762" w:type="dxa"/>
            <w:tcBorders>
              <w:tl2br w:val="nil"/>
              <w:tr2bl w:val="nil"/>
            </w:tcBorders>
            <w:noWrap w:val="0"/>
            <w:vAlign w:val="center"/>
          </w:tcPr>
          <w:p w14:paraId="0BACD6D0">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产生</w:t>
            </w:r>
            <w:r>
              <w:rPr>
                <w:rFonts w:hint="default" w:ascii="Times New Roman" w:hAnsi="Times New Roman" w:eastAsia="宋体" w:cs="Times New Roman"/>
                <w:b/>
                <w:bCs/>
                <w:color w:val="auto"/>
                <w:sz w:val="21"/>
                <w:szCs w:val="21"/>
                <w:u w:val="none" w:color="auto"/>
              </w:rPr>
              <w:t>量(t/a)</w:t>
            </w:r>
          </w:p>
        </w:tc>
        <w:tc>
          <w:tcPr>
            <w:tcW w:w="861" w:type="dxa"/>
            <w:tcBorders>
              <w:tl2br w:val="nil"/>
              <w:tr2bl w:val="nil"/>
            </w:tcBorders>
            <w:noWrap w:val="0"/>
            <w:vAlign w:val="center"/>
          </w:tcPr>
          <w:p w14:paraId="0A299345">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产生来源</w:t>
            </w:r>
          </w:p>
        </w:tc>
        <w:tc>
          <w:tcPr>
            <w:tcW w:w="479" w:type="dxa"/>
            <w:tcBorders>
              <w:tl2br w:val="nil"/>
              <w:tr2bl w:val="nil"/>
            </w:tcBorders>
            <w:noWrap w:val="0"/>
            <w:vAlign w:val="center"/>
          </w:tcPr>
          <w:p w14:paraId="13757A6A">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形态</w:t>
            </w:r>
          </w:p>
        </w:tc>
        <w:tc>
          <w:tcPr>
            <w:tcW w:w="833" w:type="dxa"/>
            <w:tcBorders>
              <w:tl2br w:val="nil"/>
              <w:tr2bl w:val="nil"/>
            </w:tcBorders>
            <w:noWrap w:val="0"/>
            <w:vAlign w:val="center"/>
          </w:tcPr>
          <w:p w14:paraId="61D6C771">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主要</w:t>
            </w:r>
            <w:r>
              <w:rPr>
                <w:rFonts w:hint="default" w:ascii="Times New Roman" w:hAnsi="Times New Roman" w:eastAsia="宋体" w:cs="Times New Roman"/>
                <w:b/>
                <w:bCs/>
                <w:color w:val="auto"/>
                <w:sz w:val="21"/>
                <w:szCs w:val="21"/>
                <w:u w:val="none" w:color="auto"/>
                <w:lang w:eastAsia="zh-CN"/>
              </w:rPr>
              <w:t>有害</w:t>
            </w:r>
            <w:r>
              <w:rPr>
                <w:rFonts w:hint="default" w:ascii="Times New Roman" w:hAnsi="Times New Roman" w:eastAsia="宋体" w:cs="Times New Roman"/>
                <w:b/>
                <w:bCs/>
                <w:color w:val="auto"/>
                <w:sz w:val="21"/>
                <w:szCs w:val="21"/>
                <w:u w:val="none" w:color="auto"/>
              </w:rPr>
              <w:t>成分</w:t>
            </w:r>
          </w:p>
        </w:tc>
        <w:tc>
          <w:tcPr>
            <w:tcW w:w="663" w:type="dxa"/>
            <w:tcBorders>
              <w:tl2br w:val="nil"/>
              <w:tr2bl w:val="nil"/>
            </w:tcBorders>
            <w:noWrap w:val="0"/>
            <w:vAlign w:val="center"/>
          </w:tcPr>
          <w:p w14:paraId="610972A6">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产废周期</w:t>
            </w:r>
          </w:p>
        </w:tc>
        <w:tc>
          <w:tcPr>
            <w:tcW w:w="649" w:type="dxa"/>
            <w:tcBorders>
              <w:tl2br w:val="nil"/>
              <w:tr2bl w:val="nil"/>
            </w:tcBorders>
            <w:noWrap w:val="0"/>
            <w:vAlign w:val="center"/>
          </w:tcPr>
          <w:p w14:paraId="358834A7">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lang w:eastAsia="zh-CN"/>
              </w:rPr>
            </w:pPr>
            <w:r>
              <w:rPr>
                <w:rFonts w:hint="default" w:ascii="Times New Roman" w:hAnsi="Times New Roman" w:eastAsia="宋体" w:cs="Times New Roman"/>
                <w:b/>
                <w:bCs/>
                <w:color w:val="auto"/>
                <w:sz w:val="21"/>
                <w:szCs w:val="21"/>
                <w:u w:val="none" w:color="auto"/>
                <w:lang w:eastAsia="zh-CN"/>
              </w:rPr>
              <w:t>危险特性</w:t>
            </w:r>
          </w:p>
        </w:tc>
        <w:tc>
          <w:tcPr>
            <w:tcW w:w="1058" w:type="dxa"/>
            <w:tcBorders>
              <w:tl2br w:val="nil"/>
              <w:tr2bl w:val="nil"/>
            </w:tcBorders>
            <w:noWrap w:val="0"/>
            <w:vAlign w:val="center"/>
          </w:tcPr>
          <w:p w14:paraId="523C4199">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lang w:eastAsia="zh-CN"/>
              </w:rPr>
              <w:t>污染防治措施</w:t>
            </w:r>
          </w:p>
        </w:tc>
      </w:tr>
      <w:tr w14:paraId="3D2179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056894B5">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1157" w:type="dxa"/>
            <w:tcBorders>
              <w:tl2br w:val="nil"/>
              <w:tr2bl w:val="nil"/>
            </w:tcBorders>
            <w:noWrap w:val="0"/>
            <w:vAlign w:val="center"/>
          </w:tcPr>
          <w:p w14:paraId="145F85BA">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溶剂型胶粘剂包装桶</w:t>
            </w:r>
          </w:p>
        </w:tc>
        <w:tc>
          <w:tcPr>
            <w:tcW w:w="819" w:type="dxa"/>
            <w:tcBorders>
              <w:tl2br w:val="nil"/>
              <w:tr2bl w:val="nil"/>
            </w:tcBorders>
            <w:noWrap w:val="0"/>
            <w:vAlign w:val="center"/>
          </w:tcPr>
          <w:p w14:paraId="6DE3F508">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val="en-US" w:eastAsia="zh-CN"/>
              </w:rPr>
              <w:t>HW49</w:t>
            </w:r>
          </w:p>
        </w:tc>
        <w:tc>
          <w:tcPr>
            <w:tcW w:w="819" w:type="dxa"/>
            <w:tcBorders>
              <w:tl2br w:val="nil"/>
              <w:tr2bl w:val="nil"/>
            </w:tcBorders>
            <w:noWrap w:val="0"/>
            <w:vAlign w:val="center"/>
          </w:tcPr>
          <w:p w14:paraId="7E1A417E">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val="en-US" w:eastAsia="zh-CN"/>
              </w:rPr>
              <w:t>900-</w:t>
            </w:r>
            <w:r>
              <w:rPr>
                <w:rFonts w:hint="eastAsia" w:ascii="Times New Roman" w:hAnsi="Times New Roman" w:eastAsia="宋体" w:cs="Times New Roman"/>
                <w:color w:val="auto"/>
                <w:sz w:val="21"/>
                <w:szCs w:val="21"/>
                <w:u w:val="none" w:color="auto"/>
                <w:lang w:val="en-US" w:eastAsia="zh-CN"/>
              </w:rPr>
              <w:t>041</w:t>
            </w:r>
            <w:r>
              <w:rPr>
                <w:rFonts w:hint="default" w:ascii="Times New Roman" w:hAnsi="Times New Roman" w:eastAsia="宋体" w:cs="Times New Roman"/>
                <w:color w:val="auto"/>
                <w:sz w:val="21"/>
                <w:szCs w:val="21"/>
                <w:u w:val="none" w:color="auto"/>
                <w:lang w:val="en-US" w:eastAsia="zh-CN"/>
              </w:rPr>
              <w:t>-</w:t>
            </w:r>
            <w:r>
              <w:rPr>
                <w:rFonts w:hint="eastAsia" w:ascii="Times New Roman" w:hAnsi="Times New Roman" w:eastAsia="宋体" w:cs="Times New Roman"/>
                <w:color w:val="auto"/>
                <w:sz w:val="21"/>
                <w:szCs w:val="21"/>
                <w:u w:val="none" w:color="auto"/>
                <w:lang w:val="en-US" w:eastAsia="zh-CN"/>
              </w:rPr>
              <w:t>49</w:t>
            </w:r>
          </w:p>
        </w:tc>
        <w:tc>
          <w:tcPr>
            <w:tcW w:w="762" w:type="dxa"/>
            <w:tcBorders>
              <w:tl2br w:val="nil"/>
              <w:tr2bl w:val="nil"/>
            </w:tcBorders>
            <w:noWrap w:val="0"/>
            <w:vAlign w:val="center"/>
          </w:tcPr>
          <w:p w14:paraId="10DC886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0.152</w:t>
            </w:r>
          </w:p>
        </w:tc>
        <w:tc>
          <w:tcPr>
            <w:tcW w:w="861" w:type="dxa"/>
            <w:tcBorders>
              <w:tl2br w:val="nil"/>
              <w:tr2bl w:val="nil"/>
            </w:tcBorders>
            <w:noWrap w:val="0"/>
            <w:vAlign w:val="center"/>
          </w:tcPr>
          <w:p w14:paraId="5171D8D8">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生产</w:t>
            </w:r>
          </w:p>
        </w:tc>
        <w:tc>
          <w:tcPr>
            <w:tcW w:w="479" w:type="dxa"/>
            <w:tcBorders>
              <w:tl2br w:val="nil"/>
              <w:tr2bl w:val="nil"/>
            </w:tcBorders>
            <w:noWrap w:val="0"/>
            <w:vAlign w:val="center"/>
          </w:tcPr>
          <w:p w14:paraId="0D59025B">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固体</w:t>
            </w:r>
          </w:p>
        </w:tc>
        <w:tc>
          <w:tcPr>
            <w:tcW w:w="833" w:type="dxa"/>
            <w:tcBorders>
              <w:tl2br w:val="nil"/>
              <w:tr2bl w:val="nil"/>
            </w:tcBorders>
            <w:noWrap w:val="0"/>
            <w:vAlign w:val="center"/>
          </w:tcPr>
          <w:p w14:paraId="5FB7196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有机溶剂</w:t>
            </w:r>
          </w:p>
        </w:tc>
        <w:tc>
          <w:tcPr>
            <w:tcW w:w="663" w:type="dxa"/>
            <w:tcBorders>
              <w:tl2br w:val="nil"/>
              <w:tr2bl w:val="nil"/>
            </w:tcBorders>
            <w:noWrap w:val="0"/>
            <w:vAlign w:val="center"/>
          </w:tcPr>
          <w:p w14:paraId="2E576FE6">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一年</w:t>
            </w:r>
          </w:p>
        </w:tc>
        <w:tc>
          <w:tcPr>
            <w:tcW w:w="649" w:type="dxa"/>
            <w:tcBorders>
              <w:tl2br w:val="nil"/>
              <w:tr2bl w:val="nil"/>
            </w:tcBorders>
            <w:noWrap w:val="0"/>
            <w:vAlign w:val="center"/>
          </w:tcPr>
          <w:p w14:paraId="55B76D4D">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w:t>
            </w:r>
          </w:p>
        </w:tc>
        <w:tc>
          <w:tcPr>
            <w:tcW w:w="1058" w:type="dxa"/>
            <w:vMerge w:val="restart"/>
            <w:tcBorders>
              <w:tl2br w:val="nil"/>
              <w:tr2bl w:val="nil"/>
            </w:tcBorders>
            <w:noWrap w:val="0"/>
            <w:vAlign w:val="center"/>
          </w:tcPr>
          <w:p w14:paraId="35ACCE65">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暂存于危废暂存间、定期交由有资质单位处置</w:t>
            </w:r>
          </w:p>
        </w:tc>
      </w:tr>
      <w:tr w14:paraId="7FD7D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5F90D183">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157" w:type="dxa"/>
            <w:tcBorders>
              <w:tl2br w:val="nil"/>
              <w:tr2bl w:val="nil"/>
            </w:tcBorders>
            <w:noWrap w:val="0"/>
            <w:vAlign w:val="center"/>
          </w:tcPr>
          <w:p w14:paraId="4F6CCE03">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废矿物油</w:t>
            </w:r>
          </w:p>
        </w:tc>
        <w:tc>
          <w:tcPr>
            <w:tcW w:w="819" w:type="dxa"/>
            <w:tcBorders>
              <w:tl2br w:val="nil"/>
              <w:tr2bl w:val="nil"/>
            </w:tcBorders>
            <w:noWrap w:val="0"/>
            <w:vAlign w:val="center"/>
          </w:tcPr>
          <w:p w14:paraId="197056F7">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239F4471">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lang w:eastAsia="zh-CN"/>
              </w:rPr>
              <w:t>900-</w:t>
            </w:r>
            <w:r>
              <w:rPr>
                <w:rFonts w:hint="default" w:ascii="Times New Roman" w:hAnsi="Times New Roman" w:eastAsia="宋体" w:cs="Times New Roman"/>
                <w:color w:val="auto"/>
                <w:sz w:val="21"/>
                <w:szCs w:val="21"/>
                <w:u w:val="none" w:color="auto"/>
                <w:lang w:val="en-US" w:eastAsia="zh-CN"/>
              </w:rPr>
              <w:t>214-08</w:t>
            </w:r>
          </w:p>
        </w:tc>
        <w:tc>
          <w:tcPr>
            <w:tcW w:w="762" w:type="dxa"/>
            <w:tcBorders>
              <w:tl2br w:val="nil"/>
              <w:tr2bl w:val="nil"/>
            </w:tcBorders>
            <w:noWrap w:val="0"/>
            <w:vAlign w:val="center"/>
          </w:tcPr>
          <w:p w14:paraId="30A2F4A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0.1</w:t>
            </w:r>
          </w:p>
        </w:tc>
        <w:tc>
          <w:tcPr>
            <w:tcW w:w="861" w:type="dxa"/>
            <w:tcBorders>
              <w:tl2br w:val="nil"/>
              <w:tr2bl w:val="nil"/>
            </w:tcBorders>
            <w:noWrap w:val="0"/>
            <w:vAlign w:val="center"/>
          </w:tcPr>
          <w:p w14:paraId="3F9BE149">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kern w:val="0"/>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5677B8AB">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液</w:t>
            </w:r>
            <w:r>
              <w:rPr>
                <w:rFonts w:hint="default" w:ascii="Times New Roman" w:hAnsi="Times New Roman" w:eastAsia="宋体" w:cs="Times New Roman"/>
                <w:color w:val="auto"/>
                <w:sz w:val="21"/>
                <w:szCs w:val="21"/>
                <w:u w:val="none" w:color="auto"/>
                <w:vertAlign w:val="baseline"/>
                <w:lang w:eastAsia="zh-CN"/>
              </w:rPr>
              <w:t>体</w:t>
            </w:r>
          </w:p>
        </w:tc>
        <w:tc>
          <w:tcPr>
            <w:tcW w:w="833" w:type="dxa"/>
            <w:tcBorders>
              <w:tl2br w:val="nil"/>
              <w:tr2bl w:val="nil"/>
            </w:tcBorders>
            <w:noWrap w:val="0"/>
            <w:vAlign w:val="center"/>
          </w:tcPr>
          <w:p w14:paraId="5902F12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油类</w:t>
            </w:r>
          </w:p>
        </w:tc>
        <w:tc>
          <w:tcPr>
            <w:tcW w:w="663" w:type="dxa"/>
            <w:tcBorders>
              <w:tl2br w:val="nil"/>
              <w:tr2bl w:val="nil"/>
            </w:tcBorders>
            <w:noWrap w:val="0"/>
            <w:vAlign w:val="center"/>
          </w:tcPr>
          <w:p w14:paraId="385E2C3B">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一年</w:t>
            </w:r>
          </w:p>
        </w:tc>
        <w:tc>
          <w:tcPr>
            <w:tcW w:w="649" w:type="dxa"/>
            <w:tcBorders>
              <w:tl2br w:val="nil"/>
              <w:tr2bl w:val="nil"/>
            </w:tcBorders>
            <w:noWrap w:val="0"/>
            <w:vAlign w:val="center"/>
          </w:tcPr>
          <w:p w14:paraId="622F04F1">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 xml:space="preserve">T，I </w:t>
            </w:r>
          </w:p>
        </w:tc>
        <w:tc>
          <w:tcPr>
            <w:tcW w:w="1058" w:type="dxa"/>
            <w:vMerge w:val="continue"/>
            <w:tcBorders>
              <w:tl2br w:val="nil"/>
              <w:tr2bl w:val="nil"/>
            </w:tcBorders>
            <w:noWrap w:val="0"/>
            <w:vAlign w:val="center"/>
          </w:tcPr>
          <w:p w14:paraId="1C7A588A">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6055B0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1785C559">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1157" w:type="dxa"/>
            <w:tcBorders>
              <w:tl2br w:val="nil"/>
              <w:tr2bl w:val="nil"/>
            </w:tcBorders>
            <w:noWrap w:val="0"/>
            <w:vAlign w:val="center"/>
          </w:tcPr>
          <w:p w14:paraId="57B8D2B7">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废活性炭</w:t>
            </w:r>
          </w:p>
        </w:tc>
        <w:tc>
          <w:tcPr>
            <w:tcW w:w="819" w:type="dxa"/>
            <w:tcBorders>
              <w:tl2br w:val="nil"/>
              <w:tr2bl w:val="nil"/>
            </w:tcBorders>
            <w:noWrap w:val="0"/>
            <w:vAlign w:val="center"/>
          </w:tcPr>
          <w:p w14:paraId="6B508700">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HW49</w:t>
            </w:r>
          </w:p>
        </w:tc>
        <w:tc>
          <w:tcPr>
            <w:tcW w:w="819" w:type="dxa"/>
            <w:tcBorders>
              <w:tl2br w:val="nil"/>
              <w:tr2bl w:val="nil"/>
            </w:tcBorders>
            <w:noWrap w:val="0"/>
            <w:vAlign w:val="center"/>
          </w:tcPr>
          <w:p w14:paraId="1B00D65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900-039-49</w:t>
            </w:r>
          </w:p>
        </w:tc>
        <w:tc>
          <w:tcPr>
            <w:tcW w:w="762" w:type="dxa"/>
            <w:tcBorders>
              <w:tl2br w:val="nil"/>
              <w:tr2bl w:val="nil"/>
            </w:tcBorders>
            <w:noWrap w:val="0"/>
            <w:vAlign w:val="center"/>
          </w:tcPr>
          <w:p w14:paraId="220D6E4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w:t>
            </w:r>
            <w:r>
              <w:rPr>
                <w:rFonts w:hint="eastAsia" w:ascii="Times New Roman" w:hAnsi="Times New Roman" w:eastAsia="宋体" w:cs="Times New Roman"/>
                <w:color w:val="auto"/>
                <w:sz w:val="21"/>
                <w:szCs w:val="21"/>
                <w:u w:val="none" w:color="auto"/>
                <w:lang w:val="en-US" w:eastAsia="zh-CN"/>
              </w:rPr>
              <w:t>7.16</w:t>
            </w:r>
          </w:p>
        </w:tc>
        <w:tc>
          <w:tcPr>
            <w:tcW w:w="861" w:type="dxa"/>
            <w:tcBorders>
              <w:tl2br w:val="nil"/>
              <w:tr2bl w:val="nil"/>
            </w:tcBorders>
            <w:noWrap w:val="0"/>
            <w:vAlign w:val="center"/>
          </w:tcPr>
          <w:p w14:paraId="2AE874E9">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废气处理</w:t>
            </w:r>
          </w:p>
        </w:tc>
        <w:tc>
          <w:tcPr>
            <w:tcW w:w="479" w:type="dxa"/>
            <w:tcBorders>
              <w:tl2br w:val="nil"/>
              <w:tr2bl w:val="nil"/>
            </w:tcBorders>
            <w:noWrap w:val="0"/>
            <w:vAlign w:val="center"/>
          </w:tcPr>
          <w:p w14:paraId="14910283">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固体</w:t>
            </w:r>
          </w:p>
        </w:tc>
        <w:tc>
          <w:tcPr>
            <w:tcW w:w="833" w:type="dxa"/>
            <w:tcBorders>
              <w:tl2br w:val="nil"/>
              <w:tr2bl w:val="nil"/>
            </w:tcBorders>
            <w:noWrap w:val="0"/>
            <w:vAlign w:val="center"/>
          </w:tcPr>
          <w:p w14:paraId="08AC11B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vertAlign w:val="baseline"/>
                <w:lang w:val="en-US" w:eastAsia="zh-CN" w:bidi="ar-SA"/>
              </w:rPr>
            </w:pPr>
            <w:r>
              <w:rPr>
                <w:rFonts w:hint="default" w:ascii="Times New Roman" w:hAnsi="Times New Roman" w:eastAsia="宋体" w:cs="Times New Roman"/>
                <w:color w:val="auto"/>
                <w:sz w:val="21"/>
                <w:szCs w:val="21"/>
                <w:u w:val="none" w:color="auto"/>
                <w:vertAlign w:val="baseline"/>
                <w:lang w:val="en-US" w:eastAsia="zh-CN"/>
              </w:rPr>
              <w:t>吸附有机废气</w:t>
            </w:r>
          </w:p>
        </w:tc>
        <w:tc>
          <w:tcPr>
            <w:tcW w:w="663" w:type="dxa"/>
            <w:tcBorders>
              <w:tl2br w:val="nil"/>
              <w:tr2bl w:val="nil"/>
            </w:tcBorders>
            <w:noWrap w:val="0"/>
            <w:vAlign w:val="center"/>
          </w:tcPr>
          <w:p w14:paraId="50366374">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一</w:t>
            </w:r>
            <w:r>
              <w:rPr>
                <w:rFonts w:hint="eastAsia" w:ascii="Times New Roman" w:hAnsi="Times New Roman" w:eastAsia="宋体" w:cs="Times New Roman"/>
                <w:color w:val="auto"/>
                <w:sz w:val="21"/>
                <w:szCs w:val="21"/>
                <w:u w:val="none" w:color="auto"/>
                <w:lang w:val="en-US" w:eastAsia="zh-CN"/>
              </w:rPr>
              <w:t>季度</w:t>
            </w:r>
          </w:p>
        </w:tc>
        <w:tc>
          <w:tcPr>
            <w:tcW w:w="649" w:type="dxa"/>
            <w:tcBorders>
              <w:tl2br w:val="nil"/>
              <w:tr2bl w:val="nil"/>
            </w:tcBorders>
            <w:noWrap w:val="0"/>
            <w:vAlign w:val="center"/>
          </w:tcPr>
          <w:p w14:paraId="7BDB46AD">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T</w:t>
            </w:r>
          </w:p>
        </w:tc>
        <w:tc>
          <w:tcPr>
            <w:tcW w:w="1058" w:type="dxa"/>
            <w:vMerge w:val="continue"/>
            <w:tcBorders>
              <w:tl2br w:val="nil"/>
              <w:tr2bl w:val="nil"/>
            </w:tcBorders>
            <w:noWrap w:val="0"/>
            <w:vAlign w:val="center"/>
          </w:tcPr>
          <w:p w14:paraId="1FE08FCF">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bl>
    <w:p w14:paraId="6A13E736">
      <w:pPr>
        <w:pStyle w:val="28"/>
        <w:jc w:val="both"/>
        <w:rPr>
          <w:rStyle w:val="35"/>
          <w:rFonts w:hint="default" w:ascii="Times New Roman" w:hAnsi="Times New Roman" w:cs="Times New Roman"/>
          <w:b/>
          <w:color w:val="auto"/>
          <w:highlight w:val="none"/>
          <w:u w:val="none" w:color="auto"/>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p w14:paraId="04C60E13">
      <w:pPr>
        <w:pStyle w:val="3"/>
        <w:bidi w:val="0"/>
        <w:rPr>
          <w:rFonts w:hint="default"/>
          <w:color w:val="auto"/>
          <w:u w:val="none" w:color="auto"/>
        </w:rPr>
      </w:pPr>
      <w:bookmarkStart w:id="653" w:name="_Toc29568"/>
      <w:bookmarkStart w:id="654" w:name="_Toc11227"/>
      <w:bookmarkStart w:id="655" w:name="_Toc3332"/>
      <w:r>
        <w:rPr>
          <w:rFonts w:hint="eastAsia"/>
          <w:color w:val="auto"/>
          <w:u w:val="none" w:color="auto"/>
          <w:lang w:val="en-US" w:eastAsia="zh-CN"/>
        </w:rPr>
        <w:t>4.5</w:t>
      </w:r>
      <w:r>
        <w:rPr>
          <w:rFonts w:hint="default"/>
          <w:color w:val="auto"/>
          <w:u w:val="none" w:color="auto"/>
        </w:rPr>
        <w:t>污染物排放量汇总</w:t>
      </w:r>
      <w:bookmarkEnd w:id="650"/>
      <w:bookmarkEnd w:id="651"/>
      <w:bookmarkEnd w:id="652"/>
      <w:bookmarkEnd w:id="653"/>
      <w:bookmarkEnd w:id="654"/>
      <w:bookmarkEnd w:id="655"/>
    </w:p>
    <w:p w14:paraId="0F954E2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通过上述工程分析，本项目污染物排放量汇总见下表</w:t>
      </w:r>
      <w:r>
        <w:rPr>
          <w:rFonts w:hint="default" w:ascii="Times New Roman" w:hAnsi="Times New Roman" w:cs="Times New Roman"/>
          <w:color w:val="auto"/>
          <w:u w:val="none" w:color="auto"/>
          <w:lang w:eastAsia="zh-CN"/>
        </w:rPr>
        <w:t>。</w:t>
      </w:r>
    </w:p>
    <w:p w14:paraId="00FB632A">
      <w:pPr>
        <w:pStyle w:val="30"/>
        <w:bidi w:val="0"/>
        <w:rPr>
          <w:rFonts w:hint="default"/>
          <w:color w:val="auto"/>
          <w:u w:val="none" w:color="auto"/>
        </w:rPr>
      </w:pPr>
      <w:r>
        <w:rPr>
          <w:rFonts w:hint="default"/>
          <w:color w:val="auto"/>
          <w:u w:val="none" w:color="auto"/>
        </w:rPr>
        <w:t>表</w:t>
      </w:r>
      <w:r>
        <w:rPr>
          <w:rFonts w:hint="eastAsia"/>
          <w:color w:val="auto"/>
          <w:u w:val="none" w:color="auto"/>
          <w:lang w:val="en-US" w:eastAsia="zh-CN"/>
        </w:rPr>
        <w:t>4.5</w:t>
      </w:r>
      <w:r>
        <w:rPr>
          <w:rFonts w:hint="default"/>
          <w:color w:val="auto"/>
          <w:u w:val="none" w:color="auto"/>
        </w:rPr>
        <w:t>-1 项目污染物产生及排放情况汇总表 单位：t/a</w:t>
      </w:r>
    </w:p>
    <w:tbl>
      <w:tblPr>
        <w:tblStyle w:val="1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885"/>
        <w:gridCol w:w="885"/>
        <w:gridCol w:w="900"/>
        <w:gridCol w:w="275"/>
        <w:gridCol w:w="865"/>
        <w:gridCol w:w="485"/>
        <w:gridCol w:w="580"/>
        <w:gridCol w:w="900"/>
        <w:gridCol w:w="997"/>
        <w:gridCol w:w="818"/>
        <w:gridCol w:w="675"/>
        <w:gridCol w:w="870"/>
        <w:gridCol w:w="530"/>
        <w:gridCol w:w="595"/>
        <w:gridCol w:w="656"/>
        <w:gridCol w:w="424"/>
        <w:gridCol w:w="900"/>
        <w:gridCol w:w="716"/>
      </w:tblGrid>
      <w:tr w14:paraId="796667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02919F54">
            <w:pPr>
              <w:pStyle w:val="24"/>
              <w:bidi w:val="0"/>
              <w:rPr>
                <w:rFonts w:hint="default"/>
                <w:b/>
                <w:bCs/>
                <w:color w:val="auto"/>
                <w:u w:val="none" w:color="auto"/>
                <w:lang w:val="en-US" w:eastAsia="zh-CN"/>
              </w:rPr>
            </w:pPr>
            <w:bookmarkStart w:id="656" w:name="_Toc28632"/>
            <w:bookmarkStart w:id="657" w:name="_Toc26943"/>
            <w:bookmarkStart w:id="658" w:name="_Toc29928"/>
            <w:bookmarkStart w:id="659" w:name="_Toc2682"/>
            <w:bookmarkStart w:id="660" w:name="_Toc25246"/>
            <w:bookmarkStart w:id="661" w:name="_Toc5367"/>
            <w:bookmarkStart w:id="662" w:name="_Toc21123"/>
            <w:bookmarkStart w:id="663" w:name="_Toc31562"/>
            <w:r>
              <w:rPr>
                <w:rFonts w:hint="default"/>
                <w:b/>
                <w:bCs/>
                <w:color w:val="auto"/>
                <w:u w:val="none" w:color="auto"/>
                <w:lang w:eastAsia="zh-CN"/>
              </w:rPr>
              <w:t>污染源</w:t>
            </w:r>
          </w:p>
        </w:tc>
        <w:tc>
          <w:tcPr>
            <w:tcW w:w="1770" w:type="dxa"/>
            <w:gridSpan w:val="2"/>
            <w:vMerge w:val="restart"/>
            <w:noWrap w:val="0"/>
            <w:vAlign w:val="center"/>
          </w:tcPr>
          <w:p w14:paraId="1E26F119">
            <w:pPr>
              <w:pStyle w:val="24"/>
              <w:bidi w:val="0"/>
              <w:rPr>
                <w:rFonts w:hint="default"/>
                <w:b/>
                <w:bCs/>
                <w:color w:val="auto"/>
                <w:u w:val="none" w:color="auto"/>
                <w:lang w:val="en-US" w:eastAsia="zh-CN"/>
              </w:rPr>
            </w:pPr>
            <w:r>
              <w:rPr>
                <w:rFonts w:hint="default"/>
                <w:b/>
                <w:bCs/>
                <w:color w:val="auto"/>
                <w:u w:val="none" w:color="auto"/>
              </w:rPr>
              <w:t>污染物</w:t>
            </w:r>
          </w:p>
        </w:tc>
        <w:tc>
          <w:tcPr>
            <w:tcW w:w="4005" w:type="dxa"/>
            <w:gridSpan w:val="6"/>
            <w:noWrap w:val="0"/>
            <w:vAlign w:val="center"/>
          </w:tcPr>
          <w:p w14:paraId="31288575">
            <w:pPr>
              <w:pStyle w:val="24"/>
              <w:bidi w:val="0"/>
              <w:rPr>
                <w:rFonts w:hint="default"/>
                <w:b/>
                <w:bCs/>
                <w:color w:val="auto"/>
                <w:u w:val="none" w:color="auto"/>
                <w:lang w:val="en-US" w:eastAsia="zh-CN"/>
              </w:rPr>
            </w:pPr>
            <w:r>
              <w:rPr>
                <w:rFonts w:hint="default"/>
                <w:b/>
                <w:bCs/>
                <w:color w:val="auto"/>
                <w:u w:val="none" w:color="auto"/>
                <w:lang w:eastAsia="zh-CN"/>
              </w:rPr>
              <w:t>污染物产生</w:t>
            </w:r>
          </w:p>
        </w:tc>
        <w:tc>
          <w:tcPr>
            <w:tcW w:w="2490" w:type="dxa"/>
            <w:gridSpan w:val="3"/>
            <w:noWrap w:val="0"/>
            <w:vAlign w:val="center"/>
          </w:tcPr>
          <w:p w14:paraId="64E9D468">
            <w:pPr>
              <w:pStyle w:val="24"/>
              <w:bidi w:val="0"/>
              <w:rPr>
                <w:rFonts w:hint="default"/>
                <w:b/>
                <w:bCs/>
                <w:color w:val="auto"/>
                <w:u w:val="none" w:color="auto"/>
                <w:lang w:val="en-US" w:eastAsia="zh-CN"/>
              </w:rPr>
            </w:pPr>
            <w:r>
              <w:rPr>
                <w:rFonts w:hint="default"/>
                <w:b/>
                <w:bCs/>
                <w:color w:val="auto"/>
                <w:u w:val="none" w:color="auto"/>
                <w:lang w:eastAsia="zh-CN"/>
              </w:rPr>
              <w:t>治理措施</w:t>
            </w:r>
          </w:p>
        </w:tc>
        <w:tc>
          <w:tcPr>
            <w:tcW w:w="3975" w:type="dxa"/>
            <w:gridSpan w:val="6"/>
            <w:noWrap w:val="0"/>
            <w:vAlign w:val="center"/>
          </w:tcPr>
          <w:p w14:paraId="746233F8">
            <w:pPr>
              <w:pStyle w:val="24"/>
              <w:bidi w:val="0"/>
              <w:rPr>
                <w:rFonts w:hint="default"/>
                <w:b/>
                <w:bCs/>
                <w:color w:val="auto"/>
                <w:u w:val="none" w:color="auto"/>
                <w:lang w:val="en-US" w:eastAsia="zh-CN"/>
              </w:rPr>
            </w:pPr>
            <w:r>
              <w:rPr>
                <w:rFonts w:hint="default"/>
                <w:b/>
                <w:bCs/>
                <w:color w:val="auto"/>
                <w:u w:val="none" w:color="auto"/>
                <w:lang w:eastAsia="zh-CN"/>
              </w:rPr>
              <w:t>污染物排放</w:t>
            </w:r>
          </w:p>
        </w:tc>
        <w:tc>
          <w:tcPr>
            <w:tcW w:w="716" w:type="dxa"/>
            <w:vMerge w:val="restart"/>
            <w:noWrap w:val="0"/>
            <w:vAlign w:val="center"/>
          </w:tcPr>
          <w:p w14:paraId="382DF0C8">
            <w:pPr>
              <w:pStyle w:val="24"/>
              <w:bidi w:val="0"/>
              <w:rPr>
                <w:rFonts w:hint="default"/>
                <w:b/>
                <w:bCs/>
                <w:color w:val="auto"/>
                <w:u w:val="none" w:color="auto"/>
                <w:lang w:val="en-US" w:eastAsia="zh-CN"/>
              </w:rPr>
            </w:pPr>
            <w:r>
              <w:rPr>
                <w:rFonts w:hint="default"/>
                <w:b/>
                <w:bCs/>
                <w:color w:val="auto"/>
                <w:u w:val="none" w:color="auto"/>
                <w:lang w:eastAsia="zh-CN"/>
              </w:rPr>
              <w:t>排放时间（</w:t>
            </w:r>
            <w:r>
              <w:rPr>
                <w:rFonts w:hint="default"/>
                <w:b/>
                <w:bCs/>
                <w:color w:val="auto"/>
                <w:u w:val="none" w:color="auto"/>
                <w:lang w:val="en-US" w:eastAsia="zh-CN"/>
              </w:rPr>
              <w:t>h</w:t>
            </w:r>
            <w:r>
              <w:rPr>
                <w:rFonts w:hint="default"/>
                <w:b/>
                <w:bCs/>
                <w:color w:val="auto"/>
                <w:u w:val="none" w:color="auto"/>
                <w:lang w:eastAsia="zh-CN"/>
              </w:rPr>
              <w:t>）</w:t>
            </w:r>
          </w:p>
        </w:tc>
      </w:tr>
      <w:tr w14:paraId="055DF5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010F5637">
            <w:pPr>
              <w:pStyle w:val="24"/>
              <w:bidi w:val="0"/>
              <w:rPr>
                <w:rFonts w:hint="default"/>
                <w:b/>
                <w:bCs/>
                <w:color w:val="auto"/>
                <w:u w:val="none" w:color="auto"/>
                <w:lang w:eastAsia="zh-CN"/>
              </w:rPr>
            </w:pPr>
          </w:p>
        </w:tc>
        <w:tc>
          <w:tcPr>
            <w:tcW w:w="1770" w:type="dxa"/>
            <w:gridSpan w:val="2"/>
            <w:vMerge w:val="continue"/>
            <w:noWrap w:val="0"/>
            <w:vAlign w:val="center"/>
          </w:tcPr>
          <w:p w14:paraId="121AF12E">
            <w:pPr>
              <w:pStyle w:val="24"/>
              <w:bidi w:val="0"/>
              <w:rPr>
                <w:rFonts w:hint="default"/>
                <w:b/>
                <w:bCs/>
                <w:color w:val="auto"/>
                <w:u w:val="none" w:color="auto"/>
              </w:rPr>
            </w:pPr>
          </w:p>
        </w:tc>
        <w:tc>
          <w:tcPr>
            <w:tcW w:w="900" w:type="dxa"/>
            <w:noWrap w:val="0"/>
            <w:vAlign w:val="center"/>
          </w:tcPr>
          <w:p w14:paraId="7735E352">
            <w:pPr>
              <w:pStyle w:val="24"/>
              <w:bidi w:val="0"/>
              <w:rPr>
                <w:rFonts w:hint="default"/>
                <w:b/>
                <w:bCs/>
                <w:color w:val="auto"/>
                <w:u w:val="none" w:color="auto"/>
                <w:lang w:eastAsia="zh-CN"/>
              </w:rPr>
            </w:pPr>
            <w:r>
              <w:rPr>
                <w:rFonts w:hint="default"/>
                <w:b/>
                <w:bCs/>
                <w:color w:val="auto"/>
                <w:u w:val="none" w:color="auto"/>
                <w:lang w:eastAsia="zh-CN"/>
              </w:rPr>
              <w:t>核算</w:t>
            </w:r>
          </w:p>
          <w:p w14:paraId="1E125F16">
            <w:pPr>
              <w:pStyle w:val="24"/>
              <w:bidi w:val="0"/>
              <w:rPr>
                <w:rFonts w:hint="default"/>
                <w:b/>
                <w:bCs/>
                <w:color w:val="auto"/>
                <w:u w:val="none" w:color="auto"/>
                <w:lang w:val="en-US" w:eastAsia="zh-CN"/>
              </w:rPr>
            </w:pPr>
            <w:r>
              <w:rPr>
                <w:rFonts w:hint="default"/>
                <w:b/>
                <w:bCs/>
                <w:color w:val="auto"/>
                <w:u w:val="none" w:color="auto"/>
                <w:lang w:eastAsia="zh-CN"/>
              </w:rPr>
              <w:t>方案</w:t>
            </w:r>
          </w:p>
        </w:tc>
        <w:tc>
          <w:tcPr>
            <w:tcW w:w="1140" w:type="dxa"/>
            <w:gridSpan w:val="2"/>
            <w:noWrap w:val="0"/>
            <w:vAlign w:val="center"/>
          </w:tcPr>
          <w:p w14:paraId="145650C8">
            <w:pPr>
              <w:pStyle w:val="24"/>
              <w:bidi w:val="0"/>
              <w:rPr>
                <w:rFonts w:hint="default"/>
                <w:b/>
                <w:bCs/>
                <w:color w:val="auto"/>
                <w:u w:val="none" w:color="auto"/>
                <w:lang w:val="en-US" w:eastAsia="zh-CN"/>
              </w:rPr>
            </w:pPr>
            <w:r>
              <w:rPr>
                <w:rFonts w:hint="default"/>
                <w:b/>
                <w:bCs/>
                <w:color w:val="auto"/>
                <w:u w:val="none" w:color="auto"/>
                <w:lang w:eastAsia="zh-CN"/>
              </w:rPr>
              <w:t>产生浓度（</w:t>
            </w:r>
            <w:r>
              <w:rPr>
                <w:rFonts w:hint="default"/>
                <w:b/>
                <w:bCs/>
                <w:color w:val="auto"/>
                <w:u w:val="none" w:color="auto"/>
                <w:lang w:val="en-US" w:eastAsia="zh-CN"/>
              </w:rPr>
              <w:t>mg/m</w:t>
            </w:r>
            <w:r>
              <w:rPr>
                <w:rFonts w:hint="default"/>
                <w:b/>
                <w:bCs/>
                <w:color w:val="auto"/>
                <w:u w:val="none" w:color="auto"/>
                <w:vertAlign w:val="superscript"/>
                <w:lang w:val="en-US" w:eastAsia="zh-CN"/>
              </w:rPr>
              <w:t>3</w:t>
            </w:r>
            <w:r>
              <w:rPr>
                <w:rFonts w:hint="default"/>
                <w:b/>
                <w:bCs/>
                <w:color w:val="auto"/>
                <w:u w:val="none" w:color="auto"/>
                <w:lang w:eastAsia="zh-CN"/>
              </w:rPr>
              <w:t>）</w:t>
            </w:r>
          </w:p>
        </w:tc>
        <w:tc>
          <w:tcPr>
            <w:tcW w:w="1065" w:type="dxa"/>
            <w:gridSpan w:val="2"/>
            <w:noWrap w:val="0"/>
            <w:vAlign w:val="center"/>
          </w:tcPr>
          <w:p w14:paraId="4607690E">
            <w:pPr>
              <w:pStyle w:val="24"/>
              <w:bidi w:val="0"/>
              <w:rPr>
                <w:rFonts w:hint="default"/>
                <w:b/>
                <w:bCs/>
                <w:color w:val="auto"/>
                <w:u w:val="none" w:color="auto"/>
                <w:lang w:val="en-US" w:eastAsia="zh-CN"/>
              </w:rPr>
            </w:pPr>
            <w:r>
              <w:rPr>
                <w:rFonts w:hint="default"/>
                <w:b/>
                <w:bCs/>
                <w:color w:val="auto"/>
                <w:u w:val="none" w:color="auto"/>
              </w:rPr>
              <w:t>产生</w:t>
            </w:r>
            <w:r>
              <w:rPr>
                <w:rFonts w:hint="default"/>
                <w:b/>
                <w:bCs/>
                <w:color w:val="auto"/>
                <w:u w:val="none" w:color="auto"/>
                <w:lang w:eastAsia="zh-CN"/>
              </w:rPr>
              <w:t>速率（</w:t>
            </w:r>
            <w:r>
              <w:rPr>
                <w:rFonts w:hint="default"/>
                <w:b/>
                <w:bCs/>
                <w:color w:val="auto"/>
                <w:u w:val="none" w:color="auto"/>
                <w:lang w:val="en-US" w:eastAsia="zh-CN"/>
              </w:rPr>
              <w:t>kg</w:t>
            </w:r>
            <w:r>
              <w:rPr>
                <w:rFonts w:hint="default"/>
                <w:b/>
                <w:bCs/>
                <w:color w:val="auto"/>
                <w:u w:val="none" w:color="auto"/>
                <w:lang w:val="nl-NL"/>
              </w:rPr>
              <w:t>/</w:t>
            </w:r>
            <w:r>
              <w:rPr>
                <w:rFonts w:hint="default"/>
                <w:b/>
                <w:bCs/>
                <w:color w:val="auto"/>
                <w:u w:val="none" w:color="auto"/>
                <w:lang w:val="en-US" w:eastAsia="zh-CN"/>
              </w:rPr>
              <w:t>h</w:t>
            </w:r>
            <w:r>
              <w:rPr>
                <w:rFonts w:hint="default"/>
                <w:b/>
                <w:bCs/>
                <w:color w:val="auto"/>
                <w:u w:val="none" w:color="auto"/>
                <w:lang w:eastAsia="zh-CN"/>
              </w:rPr>
              <w:t>）</w:t>
            </w:r>
          </w:p>
        </w:tc>
        <w:tc>
          <w:tcPr>
            <w:tcW w:w="900" w:type="dxa"/>
            <w:noWrap w:val="0"/>
            <w:vAlign w:val="center"/>
          </w:tcPr>
          <w:p w14:paraId="2FA4F02D">
            <w:pPr>
              <w:pStyle w:val="24"/>
              <w:bidi w:val="0"/>
              <w:rPr>
                <w:rFonts w:hint="default"/>
                <w:b/>
                <w:bCs/>
                <w:color w:val="auto"/>
                <w:u w:val="none" w:color="auto"/>
                <w:lang w:val="en-US" w:eastAsia="zh-CN"/>
              </w:rPr>
            </w:pPr>
            <w:r>
              <w:rPr>
                <w:rFonts w:hint="default"/>
                <w:b/>
                <w:bCs/>
                <w:color w:val="auto"/>
                <w:u w:val="none" w:color="auto"/>
              </w:rPr>
              <w:t>产生量</w:t>
            </w:r>
            <w:r>
              <w:rPr>
                <w:rFonts w:hint="default"/>
                <w:b/>
                <w:bCs/>
                <w:color w:val="auto"/>
                <w:u w:val="none" w:color="auto"/>
                <w:lang w:eastAsia="zh-CN"/>
              </w:rPr>
              <w:t>（</w:t>
            </w:r>
            <w:r>
              <w:rPr>
                <w:rFonts w:hint="default"/>
                <w:b/>
                <w:bCs/>
                <w:color w:val="auto"/>
                <w:u w:val="none" w:color="auto"/>
              </w:rPr>
              <w:t>t/a</w:t>
            </w:r>
            <w:r>
              <w:rPr>
                <w:rFonts w:hint="default"/>
                <w:b/>
                <w:bCs/>
                <w:color w:val="auto"/>
                <w:u w:val="none" w:color="auto"/>
                <w:lang w:eastAsia="zh-CN"/>
              </w:rPr>
              <w:t>）</w:t>
            </w:r>
          </w:p>
        </w:tc>
        <w:tc>
          <w:tcPr>
            <w:tcW w:w="1815" w:type="dxa"/>
            <w:gridSpan w:val="2"/>
            <w:noWrap w:val="0"/>
            <w:vAlign w:val="center"/>
          </w:tcPr>
          <w:p w14:paraId="7A236590">
            <w:pPr>
              <w:pStyle w:val="24"/>
              <w:bidi w:val="0"/>
              <w:rPr>
                <w:rFonts w:hint="default"/>
                <w:b/>
                <w:bCs/>
                <w:color w:val="auto"/>
                <w:u w:val="none" w:color="auto"/>
                <w:lang w:val="en-US" w:eastAsia="zh-CN"/>
              </w:rPr>
            </w:pPr>
            <w:r>
              <w:rPr>
                <w:rFonts w:hint="default"/>
                <w:b/>
                <w:bCs/>
                <w:color w:val="auto"/>
                <w:u w:val="none" w:color="auto"/>
                <w:lang w:eastAsia="zh-CN"/>
              </w:rPr>
              <w:t>工艺</w:t>
            </w:r>
          </w:p>
        </w:tc>
        <w:tc>
          <w:tcPr>
            <w:tcW w:w="675" w:type="dxa"/>
            <w:noWrap w:val="0"/>
            <w:vAlign w:val="center"/>
          </w:tcPr>
          <w:p w14:paraId="3939068C">
            <w:pPr>
              <w:pStyle w:val="24"/>
              <w:bidi w:val="0"/>
              <w:rPr>
                <w:rFonts w:hint="default"/>
                <w:b/>
                <w:bCs/>
                <w:color w:val="auto"/>
                <w:u w:val="none" w:color="auto"/>
                <w:lang w:val="en-US" w:eastAsia="zh-CN"/>
              </w:rPr>
            </w:pPr>
            <w:r>
              <w:rPr>
                <w:rFonts w:hint="default"/>
                <w:b/>
                <w:bCs/>
                <w:color w:val="auto"/>
                <w:u w:val="none" w:color="auto"/>
                <w:lang w:eastAsia="zh-CN"/>
              </w:rPr>
              <w:t>效率</w:t>
            </w:r>
            <w:r>
              <w:rPr>
                <w:rFonts w:hint="default"/>
                <w:b/>
                <w:bCs/>
                <w:color w:val="auto"/>
                <w:u w:val="none" w:color="auto"/>
                <w:lang w:val="en-US" w:eastAsia="zh-CN"/>
              </w:rPr>
              <w:t>%</w:t>
            </w:r>
          </w:p>
        </w:tc>
        <w:tc>
          <w:tcPr>
            <w:tcW w:w="870" w:type="dxa"/>
            <w:noWrap w:val="0"/>
            <w:vAlign w:val="center"/>
          </w:tcPr>
          <w:p w14:paraId="5E322E57">
            <w:pPr>
              <w:pStyle w:val="24"/>
              <w:bidi w:val="0"/>
              <w:rPr>
                <w:rFonts w:hint="default"/>
                <w:b/>
                <w:bCs/>
                <w:color w:val="auto"/>
                <w:u w:val="none" w:color="auto"/>
                <w:lang w:eastAsia="zh-CN"/>
              </w:rPr>
            </w:pPr>
            <w:r>
              <w:rPr>
                <w:rFonts w:hint="default"/>
                <w:b/>
                <w:bCs/>
                <w:color w:val="auto"/>
                <w:u w:val="none" w:color="auto"/>
                <w:lang w:eastAsia="zh-CN"/>
              </w:rPr>
              <w:t>核算</w:t>
            </w:r>
          </w:p>
          <w:p w14:paraId="74CF5988">
            <w:pPr>
              <w:pStyle w:val="24"/>
              <w:bidi w:val="0"/>
              <w:rPr>
                <w:rFonts w:hint="default"/>
                <w:b/>
                <w:bCs/>
                <w:color w:val="auto"/>
                <w:u w:val="none" w:color="auto"/>
                <w:lang w:val="en-US" w:eastAsia="zh-CN"/>
              </w:rPr>
            </w:pPr>
            <w:r>
              <w:rPr>
                <w:rFonts w:hint="default"/>
                <w:b/>
                <w:bCs/>
                <w:color w:val="auto"/>
                <w:u w:val="none" w:color="auto"/>
                <w:lang w:eastAsia="zh-CN"/>
              </w:rPr>
              <w:t>方案</w:t>
            </w:r>
          </w:p>
        </w:tc>
        <w:tc>
          <w:tcPr>
            <w:tcW w:w="1125" w:type="dxa"/>
            <w:gridSpan w:val="2"/>
            <w:noWrap w:val="0"/>
            <w:vAlign w:val="center"/>
          </w:tcPr>
          <w:p w14:paraId="657FDBDB">
            <w:pPr>
              <w:pStyle w:val="24"/>
              <w:bidi w:val="0"/>
              <w:rPr>
                <w:rFonts w:hint="default"/>
                <w:b/>
                <w:bCs/>
                <w:color w:val="auto"/>
                <w:u w:val="none" w:color="auto"/>
                <w:lang w:val="en-US" w:eastAsia="zh-CN"/>
              </w:rPr>
            </w:pPr>
            <w:r>
              <w:rPr>
                <w:rFonts w:hint="default"/>
                <w:b/>
                <w:bCs/>
                <w:color w:val="auto"/>
                <w:u w:val="none" w:color="auto"/>
                <w:lang w:eastAsia="zh-CN"/>
              </w:rPr>
              <w:t>排放浓度（</w:t>
            </w:r>
            <w:r>
              <w:rPr>
                <w:rFonts w:hint="default"/>
                <w:b/>
                <w:bCs/>
                <w:color w:val="auto"/>
                <w:u w:val="none" w:color="auto"/>
                <w:lang w:val="en-US" w:eastAsia="zh-CN"/>
              </w:rPr>
              <w:t>mg/m</w:t>
            </w:r>
            <w:r>
              <w:rPr>
                <w:rFonts w:hint="default"/>
                <w:b/>
                <w:bCs/>
                <w:color w:val="auto"/>
                <w:u w:val="none" w:color="auto"/>
                <w:vertAlign w:val="superscript"/>
                <w:lang w:val="en-US" w:eastAsia="zh-CN"/>
              </w:rPr>
              <w:t>3</w:t>
            </w:r>
            <w:r>
              <w:rPr>
                <w:rFonts w:hint="default"/>
                <w:b/>
                <w:bCs/>
                <w:color w:val="auto"/>
                <w:u w:val="none" w:color="auto"/>
                <w:lang w:eastAsia="zh-CN"/>
              </w:rPr>
              <w:t>）</w:t>
            </w:r>
          </w:p>
        </w:tc>
        <w:tc>
          <w:tcPr>
            <w:tcW w:w="1080" w:type="dxa"/>
            <w:gridSpan w:val="2"/>
            <w:noWrap w:val="0"/>
            <w:vAlign w:val="center"/>
          </w:tcPr>
          <w:p w14:paraId="42B6A1D1">
            <w:pPr>
              <w:pStyle w:val="24"/>
              <w:bidi w:val="0"/>
              <w:rPr>
                <w:rFonts w:hint="default"/>
                <w:b/>
                <w:bCs/>
                <w:color w:val="auto"/>
                <w:u w:val="none" w:color="auto"/>
                <w:lang w:val="en-US" w:eastAsia="zh-CN"/>
              </w:rPr>
            </w:pPr>
            <w:r>
              <w:rPr>
                <w:rFonts w:hint="default"/>
                <w:b/>
                <w:bCs/>
                <w:color w:val="auto"/>
                <w:u w:val="none" w:color="auto"/>
                <w:lang w:eastAsia="zh-CN"/>
              </w:rPr>
              <w:t>排放速率（</w:t>
            </w:r>
            <w:r>
              <w:rPr>
                <w:rFonts w:hint="default"/>
                <w:b/>
                <w:bCs/>
                <w:color w:val="auto"/>
                <w:u w:val="none" w:color="auto"/>
                <w:lang w:val="en-US" w:eastAsia="zh-CN"/>
              </w:rPr>
              <w:t>kg</w:t>
            </w:r>
            <w:r>
              <w:rPr>
                <w:rFonts w:hint="default"/>
                <w:b/>
                <w:bCs/>
                <w:color w:val="auto"/>
                <w:u w:val="none" w:color="auto"/>
                <w:lang w:val="nl-NL"/>
              </w:rPr>
              <w:t>/</w:t>
            </w:r>
            <w:r>
              <w:rPr>
                <w:rFonts w:hint="default"/>
                <w:b/>
                <w:bCs/>
                <w:color w:val="auto"/>
                <w:u w:val="none" w:color="auto"/>
                <w:lang w:val="en-US" w:eastAsia="zh-CN"/>
              </w:rPr>
              <w:t>h</w:t>
            </w:r>
            <w:r>
              <w:rPr>
                <w:rFonts w:hint="default"/>
                <w:b/>
                <w:bCs/>
                <w:color w:val="auto"/>
                <w:u w:val="none" w:color="auto"/>
                <w:lang w:eastAsia="zh-CN"/>
              </w:rPr>
              <w:t>）</w:t>
            </w:r>
          </w:p>
        </w:tc>
        <w:tc>
          <w:tcPr>
            <w:tcW w:w="900" w:type="dxa"/>
            <w:noWrap w:val="0"/>
            <w:vAlign w:val="center"/>
          </w:tcPr>
          <w:p w14:paraId="48CAC521">
            <w:pPr>
              <w:pStyle w:val="24"/>
              <w:bidi w:val="0"/>
              <w:rPr>
                <w:rFonts w:hint="default"/>
                <w:b/>
                <w:bCs/>
                <w:color w:val="auto"/>
                <w:u w:val="none" w:color="auto"/>
                <w:lang w:val="en-US" w:eastAsia="zh-CN"/>
              </w:rPr>
            </w:pPr>
            <w:r>
              <w:rPr>
                <w:rFonts w:hint="default"/>
                <w:b/>
                <w:bCs/>
                <w:color w:val="auto"/>
                <w:u w:val="none" w:color="auto"/>
                <w:lang w:eastAsia="zh-CN"/>
              </w:rPr>
              <w:t>排放</w:t>
            </w:r>
            <w:r>
              <w:rPr>
                <w:rFonts w:hint="default"/>
                <w:b/>
                <w:bCs/>
                <w:color w:val="auto"/>
                <w:u w:val="none" w:color="auto"/>
              </w:rPr>
              <w:t>量</w:t>
            </w:r>
            <w:r>
              <w:rPr>
                <w:rFonts w:hint="default"/>
                <w:b/>
                <w:bCs/>
                <w:color w:val="auto"/>
                <w:u w:val="none" w:color="auto"/>
                <w:lang w:eastAsia="zh-CN"/>
              </w:rPr>
              <w:t>（</w:t>
            </w:r>
            <w:r>
              <w:rPr>
                <w:rFonts w:hint="default"/>
                <w:b/>
                <w:bCs/>
                <w:color w:val="auto"/>
                <w:u w:val="none" w:color="auto"/>
              </w:rPr>
              <w:t>t/a</w:t>
            </w:r>
            <w:r>
              <w:rPr>
                <w:rFonts w:hint="default"/>
                <w:b/>
                <w:bCs/>
                <w:color w:val="auto"/>
                <w:u w:val="none" w:color="auto"/>
                <w:lang w:eastAsia="zh-CN"/>
              </w:rPr>
              <w:t>）</w:t>
            </w:r>
          </w:p>
        </w:tc>
        <w:tc>
          <w:tcPr>
            <w:tcW w:w="716" w:type="dxa"/>
            <w:vMerge w:val="continue"/>
            <w:noWrap w:val="0"/>
            <w:vAlign w:val="center"/>
          </w:tcPr>
          <w:p w14:paraId="323C909B">
            <w:pPr>
              <w:pStyle w:val="24"/>
              <w:bidi w:val="0"/>
              <w:rPr>
                <w:rFonts w:hint="default"/>
                <w:b/>
                <w:bCs/>
                <w:color w:val="auto"/>
                <w:u w:val="none" w:color="auto"/>
                <w:lang w:val="en-US" w:eastAsia="zh-CN"/>
              </w:rPr>
            </w:pPr>
          </w:p>
        </w:tc>
      </w:tr>
      <w:tr w14:paraId="258A0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noWrap w:val="0"/>
            <w:vAlign w:val="center"/>
          </w:tcPr>
          <w:p w14:paraId="289D645E">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主要原料投料废气</w:t>
            </w:r>
          </w:p>
        </w:tc>
        <w:tc>
          <w:tcPr>
            <w:tcW w:w="885" w:type="dxa"/>
            <w:noWrap w:val="0"/>
            <w:vAlign w:val="center"/>
          </w:tcPr>
          <w:p w14:paraId="2DA04DCA">
            <w:pPr>
              <w:pStyle w:val="24"/>
              <w:bidi w:val="0"/>
              <w:rPr>
                <w:rFonts w:hint="default"/>
                <w:color w:val="auto"/>
                <w:u w:val="none" w:color="auto"/>
                <w:lang w:val="en-US" w:eastAsia="zh-CN"/>
              </w:rPr>
            </w:pPr>
            <w:r>
              <w:rPr>
                <w:rFonts w:hint="eastAsia"/>
                <w:color w:val="auto"/>
                <w:u w:val="none" w:color="auto"/>
                <w:lang w:val="en-US" w:eastAsia="zh-CN"/>
              </w:rPr>
              <w:t>颗粒物</w:t>
            </w:r>
          </w:p>
        </w:tc>
        <w:tc>
          <w:tcPr>
            <w:tcW w:w="885" w:type="dxa"/>
            <w:noWrap w:val="0"/>
            <w:vAlign w:val="center"/>
          </w:tcPr>
          <w:p w14:paraId="633D8EF7">
            <w:pPr>
              <w:pStyle w:val="24"/>
              <w:bidi w:val="0"/>
              <w:rPr>
                <w:rFonts w:hint="default"/>
                <w:color w:val="auto"/>
                <w:u w:val="none" w:color="auto"/>
                <w:lang w:val="en-US" w:eastAsia="zh-CN"/>
              </w:rPr>
            </w:pPr>
            <w:r>
              <w:rPr>
                <w:rFonts w:hint="eastAsia"/>
                <w:color w:val="auto"/>
                <w:u w:val="none" w:color="auto"/>
                <w:lang w:val="en-US" w:eastAsia="zh-CN"/>
              </w:rPr>
              <w:t>无组织</w:t>
            </w:r>
          </w:p>
        </w:tc>
        <w:tc>
          <w:tcPr>
            <w:tcW w:w="900" w:type="dxa"/>
            <w:noWrap w:val="0"/>
            <w:vAlign w:val="center"/>
          </w:tcPr>
          <w:p w14:paraId="4F630EE6">
            <w:pPr>
              <w:pStyle w:val="24"/>
              <w:bidi w:val="0"/>
              <w:rPr>
                <w:rFonts w:hint="default"/>
                <w:color w:val="auto"/>
                <w:u w:val="none" w:color="auto"/>
                <w:lang w:val="en-US" w:eastAsia="zh-CN"/>
              </w:rPr>
            </w:pPr>
            <w:r>
              <w:rPr>
                <w:rFonts w:hint="eastAsia"/>
                <w:color w:val="auto"/>
                <w:u w:val="none" w:color="auto"/>
                <w:lang w:val="en-US" w:eastAsia="zh-CN"/>
              </w:rPr>
              <w:t>产污系数法</w:t>
            </w:r>
          </w:p>
        </w:tc>
        <w:tc>
          <w:tcPr>
            <w:tcW w:w="1140" w:type="dxa"/>
            <w:gridSpan w:val="2"/>
            <w:noWrap w:val="0"/>
            <w:vAlign w:val="center"/>
          </w:tcPr>
          <w:p w14:paraId="6F7D7AB8">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65" w:type="dxa"/>
            <w:gridSpan w:val="2"/>
            <w:noWrap w:val="0"/>
            <w:vAlign w:val="center"/>
          </w:tcPr>
          <w:p w14:paraId="2E82530F">
            <w:pPr>
              <w:pStyle w:val="31"/>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0.681</w:t>
            </w:r>
          </w:p>
        </w:tc>
        <w:tc>
          <w:tcPr>
            <w:tcW w:w="900" w:type="dxa"/>
            <w:noWrap w:val="0"/>
            <w:vAlign w:val="center"/>
          </w:tcPr>
          <w:p w14:paraId="3921CC00">
            <w:pPr>
              <w:pStyle w:val="31"/>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3.27</w:t>
            </w:r>
          </w:p>
        </w:tc>
        <w:tc>
          <w:tcPr>
            <w:tcW w:w="1815" w:type="dxa"/>
            <w:gridSpan w:val="2"/>
            <w:noWrap w:val="0"/>
            <w:vAlign w:val="center"/>
          </w:tcPr>
          <w:p w14:paraId="6E505614">
            <w:pPr>
              <w:pStyle w:val="24"/>
              <w:bidi w:val="0"/>
              <w:rPr>
                <w:rFonts w:hint="default"/>
                <w:color w:val="auto"/>
                <w:u w:val="none" w:color="auto"/>
                <w:lang w:val="en-US" w:eastAsia="zh-CN"/>
              </w:rPr>
            </w:pPr>
            <w:r>
              <w:rPr>
                <w:rFonts w:hint="eastAsia"/>
                <w:color w:val="auto"/>
                <w:u w:val="none" w:color="auto"/>
                <w:lang w:val="en-US" w:eastAsia="zh-CN"/>
              </w:rPr>
              <w:t>设备自带布袋除尘器，车间沉降</w:t>
            </w:r>
          </w:p>
        </w:tc>
        <w:tc>
          <w:tcPr>
            <w:tcW w:w="675" w:type="dxa"/>
            <w:noWrap w:val="0"/>
            <w:vAlign w:val="center"/>
          </w:tcPr>
          <w:p w14:paraId="0658CBD5">
            <w:pPr>
              <w:pStyle w:val="24"/>
              <w:bidi w:val="0"/>
              <w:rPr>
                <w:rFonts w:hint="default"/>
                <w:color w:val="auto"/>
                <w:u w:val="none" w:color="auto"/>
                <w:lang w:val="en-US" w:eastAsia="zh-CN"/>
              </w:rPr>
            </w:pPr>
            <w:r>
              <w:rPr>
                <w:rFonts w:hint="eastAsia"/>
                <w:color w:val="auto"/>
                <w:u w:val="none" w:color="auto"/>
                <w:lang w:val="en-US" w:eastAsia="zh-CN"/>
              </w:rPr>
              <w:t>99</w:t>
            </w:r>
          </w:p>
        </w:tc>
        <w:tc>
          <w:tcPr>
            <w:tcW w:w="870" w:type="dxa"/>
            <w:noWrap w:val="0"/>
            <w:vAlign w:val="center"/>
          </w:tcPr>
          <w:p w14:paraId="76F25F10">
            <w:pPr>
              <w:pStyle w:val="24"/>
              <w:bidi w:val="0"/>
              <w:rPr>
                <w:rFonts w:hint="default"/>
                <w:color w:val="auto"/>
                <w:u w:val="none" w:color="auto"/>
                <w:lang w:val="en-US" w:eastAsia="zh-CN"/>
              </w:rPr>
            </w:pPr>
            <w:r>
              <w:rPr>
                <w:rFonts w:hint="default"/>
                <w:color w:val="auto"/>
                <w:u w:val="none" w:color="auto"/>
                <w:lang w:val="en-US" w:eastAsia="zh-CN"/>
              </w:rPr>
              <w:t>产污系数法</w:t>
            </w:r>
          </w:p>
        </w:tc>
        <w:tc>
          <w:tcPr>
            <w:tcW w:w="1125" w:type="dxa"/>
            <w:gridSpan w:val="2"/>
            <w:noWrap w:val="0"/>
            <w:vAlign w:val="center"/>
          </w:tcPr>
          <w:p w14:paraId="0319B3A0">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80" w:type="dxa"/>
            <w:gridSpan w:val="2"/>
            <w:noWrap w:val="0"/>
            <w:vAlign w:val="center"/>
          </w:tcPr>
          <w:p w14:paraId="07315901">
            <w:pPr>
              <w:pStyle w:val="31"/>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0.075</w:t>
            </w:r>
          </w:p>
        </w:tc>
        <w:tc>
          <w:tcPr>
            <w:tcW w:w="900" w:type="dxa"/>
            <w:noWrap w:val="0"/>
            <w:vAlign w:val="center"/>
          </w:tcPr>
          <w:p w14:paraId="4CC9CDC9">
            <w:pPr>
              <w:pStyle w:val="31"/>
              <w:bidi w:val="0"/>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0.357</w:t>
            </w:r>
          </w:p>
        </w:tc>
        <w:tc>
          <w:tcPr>
            <w:tcW w:w="716" w:type="dxa"/>
            <w:noWrap w:val="0"/>
            <w:vAlign w:val="center"/>
          </w:tcPr>
          <w:p w14:paraId="1C9BD477">
            <w:pPr>
              <w:pStyle w:val="24"/>
              <w:bidi w:val="0"/>
              <w:rPr>
                <w:rFonts w:hint="default"/>
                <w:color w:val="auto"/>
                <w:u w:val="none" w:color="auto"/>
                <w:lang w:val="en-US" w:eastAsia="zh-CN"/>
              </w:rPr>
            </w:pPr>
            <w:r>
              <w:rPr>
                <w:rFonts w:hint="eastAsia"/>
                <w:color w:val="auto"/>
                <w:u w:val="none" w:color="auto"/>
                <w:lang w:val="en-US" w:eastAsia="zh-CN"/>
              </w:rPr>
              <w:t>4800</w:t>
            </w:r>
          </w:p>
        </w:tc>
      </w:tr>
      <w:tr w14:paraId="4BAAA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3B347E5F">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破碎、磨粉、其他辅料投料、</w:t>
            </w:r>
            <w:r>
              <w:rPr>
                <w:rFonts w:hint="default" w:ascii="Times New Roman" w:hAnsi="Times New Roman" w:eastAsia="宋体" w:cs="Times New Roman"/>
                <w:i w:val="0"/>
                <w:iCs w:val="0"/>
                <w:color w:val="auto"/>
                <w:u w:val="none" w:color="auto"/>
                <w:lang w:val="en-US" w:eastAsia="zh-CN"/>
              </w:rPr>
              <w:t>混料废气</w:t>
            </w:r>
          </w:p>
        </w:tc>
        <w:tc>
          <w:tcPr>
            <w:tcW w:w="885" w:type="dxa"/>
            <w:vMerge w:val="restart"/>
            <w:noWrap w:val="0"/>
            <w:vAlign w:val="center"/>
          </w:tcPr>
          <w:p w14:paraId="52BF2D00">
            <w:pPr>
              <w:pStyle w:val="24"/>
              <w:bidi w:val="0"/>
              <w:rPr>
                <w:rFonts w:hint="default"/>
                <w:color w:val="auto"/>
                <w:u w:val="none" w:color="auto"/>
                <w:lang w:eastAsia="zh-CN"/>
              </w:rPr>
            </w:pPr>
            <w:r>
              <w:rPr>
                <w:rFonts w:hint="default"/>
                <w:color w:val="auto"/>
                <w:u w:val="none" w:color="auto"/>
                <w:lang w:eastAsia="zh-CN"/>
              </w:rPr>
              <w:t>颗粒物</w:t>
            </w:r>
          </w:p>
        </w:tc>
        <w:tc>
          <w:tcPr>
            <w:tcW w:w="885" w:type="dxa"/>
            <w:noWrap w:val="0"/>
            <w:vAlign w:val="center"/>
          </w:tcPr>
          <w:p w14:paraId="3EEBF850">
            <w:pPr>
              <w:pStyle w:val="24"/>
              <w:bidi w:val="0"/>
              <w:rPr>
                <w:rFonts w:hint="default"/>
                <w:color w:val="auto"/>
                <w:u w:val="none" w:color="auto"/>
                <w:lang w:eastAsia="zh-CN"/>
              </w:rPr>
            </w:pPr>
            <w:r>
              <w:rPr>
                <w:rFonts w:hint="default"/>
                <w:color w:val="auto"/>
                <w:u w:val="none" w:color="auto"/>
                <w:lang w:val="en-US" w:eastAsia="zh-CN"/>
              </w:rPr>
              <w:t>有</w:t>
            </w:r>
            <w:r>
              <w:rPr>
                <w:rFonts w:hint="default"/>
                <w:color w:val="auto"/>
                <w:u w:val="none" w:color="auto"/>
                <w:lang w:eastAsia="zh-CN"/>
              </w:rPr>
              <w:t>组织</w:t>
            </w:r>
          </w:p>
        </w:tc>
        <w:tc>
          <w:tcPr>
            <w:tcW w:w="900" w:type="dxa"/>
            <w:vMerge w:val="restart"/>
            <w:noWrap w:val="0"/>
            <w:vAlign w:val="center"/>
          </w:tcPr>
          <w:p w14:paraId="152F6F40">
            <w:pPr>
              <w:pStyle w:val="24"/>
              <w:bidi w:val="0"/>
              <w:rPr>
                <w:rFonts w:hint="default"/>
                <w:color w:val="auto"/>
                <w:u w:val="none" w:color="auto"/>
                <w:lang w:val="en-US" w:eastAsia="zh-CN"/>
              </w:rPr>
            </w:pPr>
            <w:r>
              <w:rPr>
                <w:rFonts w:hint="default"/>
                <w:color w:val="auto"/>
                <w:u w:val="none" w:color="auto"/>
                <w:lang w:val="en-US" w:eastAsia="zh-CN"/>
              </w:rPr>
              <w:t>产污系数法</w:t>
            </w:r>
          </w:p>
        </w:tc>
        <w:tc>
          <w:tcPr>
            <w:tcW w:w="1140" w:type="dxa"/>
            <w:gridSpan w:val="2"/>
            <w:noWrap w:val="0"/>
            <w:vAlign w:val="center"/>
          </w:tcPr>
          <w:p w14:paraId="1C615E46">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86.277</w:t>
            </w:r>
          </w:p>
        </w:tc>
        <w:tc>
          <w:tcPr>
            <w:tcW w:w="1065" w:type="dxa"/>
            <w:gridSpan w:val="2"/>
            <w:noWrap w:val="0"/>
            <w:vAlign w:val="center"/>
          </w:tcPr>
          <w:p w14:paraId="43F8CC84">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1.726</w:t>
            </w:r>
          </w:p>
        </w:tc>
        <w:tc>
          <w:tcPr>
            <w:tcW w:w="900" w:type="dxa"/>
            <w:noWrap w:val="0"/>
            <w:vAlign w:val="center"/>
          </w:tcPr>
          <w:p w14:paraId="627EBB29">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6.399</w:t>
            </w:r>
          </w:p>
        </w:tc>
        <w:tc>
          <w:tcPr>
            <w:tcW w:w="1815" w:type="dxa"/>
            <w:gridSpan w:val="2"/>
            <w:vMerge w:val="restart"/>
            <w:noWrap w:val="0"/>
            <w:vAlign w:val="center"/>
          </w:tcPr>
          <w:p w14:paraId="03408745">
            <w:pPr>
              <w:pStyle w:val="24"/>
              <w:bidi w:val="0"/>
              <w:rPr>
                <w:rFonts w:hint="default"/>
                <w:color w:val="auto"/>
                <w:u w:val="none" w:color="auto"/>
                <w:lang w:val="en-US" w:eastAsia="zh-CN"/>
              </w:rPr>
            </w:pPr>
            <w:r>
              <w:rPr>
                <w:rFonts w:hint="default"/>
                <w:color w:val="auto"/>
                <w:u w:val="none" w:color="auto"/>
                <w:lang w:val="en-US" w:eastAsia="zh-CN"/>
              </w:rPr>
              <w:t>集气罩+布袋除尘器+</w:t>
            </w:r>
            <w:r>
              <w:rPr>
                <w:rFonts w:hint="eastAsia"/>
                <w:color w:val="auto"/>
                <w:u w:val="none" w:color="auto"/>
                <w:lang w:val="en-US" w:eastAsia="zh-CN"/>
              </w:rPr>
              <w:t>15</w:t>
            </w:r>
            <w:r>
              <w:rPr>
                <w:rFonts w:hint="default"/>
                <w:color w:val="auto"/>
                <w:u w:val="none" w:color="auto"/>
                <w:lang w:val="en-US" w:eastAsia="zh-CN"/>
              </w:rPr>
              <w:t>m高排气筒</w:t>
            </w:r>
            <w:r>
              <w:rPr>
                <w:rFonts w:hint="eastAsia"/>
                <w:color w:val="auto"/>
                <w:u w:val="none" w:color="auto"/>
                <w:lang w:val="en-US" w:eastAsia="zh-CN"/>
              </w:rPr>
              <w:t>（DA001）</w:t>
            </w:r>
          </w:p>
        </w:tc>
        <w:tc>
          <w:tcPr>
            <w:tcW w:w="675" w:type="dxa"/>
            <w:vMerge w:val="restart"/>
            <w:noWrap w:val="0"/>
            <w:vAlign w:val="center"/>
          </w:tcPr>
          <w:p w14:paraId="5329702E">
            <w:pPr>
              <w:pStyle w:val="24"/>
              <w:bidi w:val="0"/>
              <w:rPr>
                <w:rFonts w:hint="default"/>
                <w:color w:val="auto"/>
                <w:u w:val="none" w:color="auto"/>
                <w:lang w:val="en-US" w:eastAsia="zh-CN"/>
              </w:rPr>
            </w:pPr>
            <w:r>
              <w:rPr>
                <w:rFonts w:hint="default"/>
                <w:color w:val="auto"/>
                <w:u w:val="none" w:color="auto"/>
                <w:lang w:val="en-US" w:eastAsia="zh-CN"/>
              </w:rPr>
              <w:t>9</w:t>
            </w:r>
            <w:r>
              <w:rPr>
                <w:rFonts w:hint="eastAsia"/>
                <w:color w:val="auto"/>
                <w:u w:val="none" w:color="auto"/>
                <w:lang w:val="en-US" w:eastAsia="zh-CN"/>
              </w:rPr>
              <w:t>9</w:t>
            </w:r>
          </w:p>
        </w:tc>
        <w:tc>
          <w:tcPr>
            <w:tcW w:w="870" w:type="dxa"/>
            <w:vMerge w:val="restart"/>
            <w:noWrap w:val="0"/>
            <w:vAlign w:val="center"/>
          </w:tcPr>
          <w:p w14:paraId="74616A81">
            <w:pPr>
              <w:pStyle w:val="24"/>
              <w:bidi w:val="0"/>
              <w:rPr>
                <w:rFonts w:hint="default"/>
                <w:color w:val="auto"/>
                <w:u w:val="none" w:color="auto"/>
              </w:rPr>
            </w:pPr>
            <w:r>
              <w:rPr>
                <w:rFonts w:hint="default"/>
                <w:color w:val="auto"/>
                <w:u w:val="none" w:color="auto"/>
                <w:lang w:val="en-US" w:eastAsia="zh-CN"/>
              </w:rPr>
              <w:t>产污系数法</w:t>
            </w:r>
          </w:p>
        </w:tc>
        <w:tc>
          <w:tcPr>
            <w:tcW w:w="1125" w:type="dxa"/>
            <w:gridSpan w:val="2"/>
            <w:noWrap w:val="0"/>
            <w:vAlign w:val="center"/>
          </w:tcPr>
          <w:p w14:paraId="5401063A">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0.863</w:t>
            </w:r>
          </w:p>
        </w:tc>
        <w:tc>
          <w:tcPr>
            <w:tcW w:w="1080" w:type="dxa"/>
            <w:gridSpan w:val="2"/>
            <w:noWrap w:val="0"/>
            <w:vAlign w:val="center"/>
          </w:tcPr>
          <w:p w14:paraId="51A3BEBA">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0.017</w:t>
            </w:r>
          </w:p>
        </w:tc>
        <w:tc>
          <w:tcPr>
            <w:tcW w:w="900" w:type="dxa"/>
            <w:noWrap w:val="0"/>
            <w:vAlign w:val="center"/>
          </w:tcPr>
          <w:p w14:paraId="667BFCBA">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0.064</w:t>
            </w:r>
          </w:p>
        </w:tc>
        <w:tc>
          <w:tcPr>
            <w:tcW w:w="716" w:type="dxa"/>
            <w:vMerge w:val="restart"/>
            <w:noWrap w:val="0"/>
            <w:vAlign w:val="center"/>
          </w:tcPr>
          <w:p w14:paraId="12AFA3E0">
            <w:pPr>
              <w:pStyle w:val="24"/>
              <w:bidi w:val="0"/>
              <w:rPr>
                <w:rFonts w:hint="default"/>
                <w:color w:val="auto"/>
                <w:u w:val="none" w:color="auto"/>
                <w:lang w:val="en-US" w:eastAsia="zh-CN"/>
              </w:rPr>
            </w:pPr>
            <w:r>
              <w:rPr>
                <w:rFonts w:hint="eastAsia"/>
                <w:color w:val="auto"/>
                <w:u w:val="none" w:color="auto"/>
                <w:lang w:val="en-US" w:eastAsia="zh-CN"/>
              </w:rPr>
              <w:t>48</w:t>
            </w:r>
            <w:r>
              <w:rPr>
                <w:rFonts w:hint="default"/>
                <w:color w:val="auto"/>
                <w:u w:val="none" w:color="auto"/>
                <w:lang w:val="en-US" w:eastAsia="zh-CN"/>
              </w:rPr>
              <w:t>00</w:t>
            </w:r>
          </w:p>
        </w:tc>
      </w:tr>
      <w:tr w14:paraId="467AE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D7CF602">
            <w:pPr>
              <w:pStyle w:val="24"/>
              <w:bidi w:val="0"/>
              <w:rPr>
                <w:rFonts w:hint="default"/>
                <w:color w:val="auto"/>
                <w:u w:val="none" w:color="auto"/>
                <w:lang w:val="en-US" w:eastAsia="zh-CN"/>
              </w:rPr>
            </w:pPr>
            <w:bookmarkStart w:id="664" w:name="_Toc18282"/>
            <w:bookmarkStart w:id="665" w:name="_Hlk509235414"/>
          </w:p>
        </w:tc>
        <w:tc>
          <w:tcPr>
            <w:tcW w:w="885" w:type="dxa"/>
            <w:vMerge w:val="continue"/>
            <w:noWrap w:val="0"/>
            <w:vAlign w:val="center"/>
          </w:tcPr>
          <w:p w14:paraId="12A56209">
            <w:pPr>
              <w:pStyle w:val="24"/>
              <w:bidi w:val="0"/>
              <w:rPr>
                <w:rFonts w:hint="default"/>
                <w:color w:val="auto"/>
                <w:u w:val="none" w:color="auto"/>
                <w:lang w:eastAsia="zh-CN"/>
              </w:rPr>
            </w:pPr>
          </w:p>
        </w:tc>
        <w:tc>
          <w:tcPr>
            <w:tcW w:w="885" w:type="dxa"/>
            <w:noWrap w:val="0"/>
            <w:vAlign w:val="center"/>
          </w:tcPr>
          <w:p w14:paraId="32E7DFC2">
            <w:pPr>
              <w:pStyle w:val="24"/>
              <w:bidi w:val="0"/>
              <w:rPr>
                <w:rFonts w:hint="default"/>
                <w:color w:val="auto"/>
                <w:u w:val="none" w:color="auto"/>
                <w:lang w:val="en-US" w:eastAsia="zh-CN"/>
              </w:rPr>
            </w:pPr>
            <w:r>
              <w:rPr>
                <w:rFonts w:hint="default"/>
                <w:color w:val="auto"/>
                <w:u w:val="none" w:color="auto"/>
                <w:lang w:val="en-US" w:eastAsia="zh-CN"/>
              </w:rPr>
              <w:t>无组织</w:t>
            </w:r>
          </w:p>
        </w:tc>
        <w:tc>
          <w:tcPr>
            <w:tcW w:w="900" w:type="dxa"/>
            <w:vMerge w:val="continue"/>
            <w:noWrap w:val="0"/>
            <w:vAlign w:val="center"/>
          </w:tcPr>
          <w:p w14:paraId="75911FB0">
            <w:pPr>
              <w:pStyle w:val="24"/>
              <w:bidi w:val="0"/>
              <w:rPr>
                <w:rFonts w:hint="default"/>
                <w:color w:val="auto"/>
                <w:u w:val="none" w:color="auto"/>
                <w:lang w:val="en-US" w:eastAsia="zh-CN"/>
              </w:rPr>
            </w:pPr>
          </w:p>
        </w:tc>
        <w:tc>
          <w:tcPr>
            <w:tcW w:w="1140" w:type="dxa"/>
            <w:gridSpan w:val="2"/>
            <w:noWrap w:val="0"/>
            <w:vAlign w:val="center"/>
          </w:tcPr>
          <w:p w14:paraId="55560EA7">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65" w:type="dxa"/>
            <w:gridSpan w:val="2"/>
            <w:noWrap w:val="0"/>
            <w:vAlign w:val="center"/>
          </w:tcPr>
          <w:p w14:paraId="482D0083">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0.192</w:t>
            </w:r>
          </w:p>
        </w:tc>
        <w:tc>
          <w:tcPr>
            <w:tcW w:w="900" w:type="dxa"/>
            <w:noWrap w:val="0"/>
            <w:vAlign w:val="center"/>
          </w:tcPr>
          <w:p w14:paraId="7D0F5948">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0.711</w:t>
            </w:r>
          </w:p>
        </w:tc>
        <w:tc>
          <w:tcPr>
            <w:tcW w:w="1815" w:type="dxa"/>
            <w:gridSpan w:val="2"/>
            <w:vMerge w:val="continue"/>
            <w:noWrap w:val="0"/>
            <w:vAlign w:val="center"/>
          </w:tcPr>
          <w:p w14:paraId="0A1334F1">
            <w:pPr>
              <w:pStyle w:val="24"/>
              <w:bidi w:val="0"/>
              <w:rPr>
                <w:rFonts w:hint="default"/>
                <w:color w:val="auto"/>
                <w:u w:val="none" w:color="auto"/>
                <w:lang w:val="en-US" w:eastAsia="zh-CN"/>
              </w:rPr>
            </w:pPr>
          </w:p>
        </w:tc>
        <w:tc>
          <w:tcPr>
            <w:tcW w:w="675" w:type="dxa"/>
            <w:vMerge w:val="continue"/>
            <w:noWrap w:val="0"/>
            <w:vAlign w:val="center"/>
          </w:tcPr>
          <w:p w14:paraId="644A2DBC">
            <w:pPr>
              <w:pStyle w:val="24"/>
              <w:bidi w:val="0"/>
              <w:rPr>
                <w:rFonts w:hint="default"/>
                <w:color w:val="auto"/>
                <w:u w:val="none" w:color="auto"/>
                <w:lang w:val="en-US" w:eastAsia="zh-CN"/>
              </w:rPr>
            </w:pPr>
          </w:p>
        </w:tc>
        <w:tc>
          <w:tcPr>
            <w:tcW w:w="870" w:type="dxa"/>
            <w:vMerge w:val="continue"/>
            <w:noWrap w:val="0"/>
            <w:vAlign w:val="center"/>
          </w:tcPr>
          <w:p w14:paraId="69BEBF6C">
            <w:pPr>
              <w:pStyle w:val="24"/>
              <w:bidi w:val="0"/>
              <w:rPr>
                <w:rFonts w:hint="default"/>
                <w:color w:val="auto"/>
                <w:u w:val="none" w:color="auto"/>
                <w:lang w:val="en-US" w:eastAsia="zh-CN"/>
              </w:rPr>
            </w:pPr>
          </w:p>
        </w:tc>
        <w:tc>
          <w:tcPr>
            <w:tcW w:w="1125" w:type="dxa"/>
            <w:gridSpan w:val="2"/>
            <w:noWrap w:val="0"/>
            <w:vAlign w:val="center"/>
          </w:tcPr>
          <w:p w14:paraId="08B13DD5">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w:t>
            </w:r>
          </w:p>
        </w:tc>
        <w:tc>
          <w:tcPr>
            <w:tcW w:w="1080" w:type="dxa"/>
            <w:gridSpan w:val="2"/>
            <w:noWrap w:val="0"/>
            <w:vAlign w:val="center"/>
          </w:tcPr>
          <w:p w14:paraId="652D4478">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0.192</w:t>
            </w:r>
          </w:p>
        </w:tc>
        <w:tc>
          <w:tcPr>
            <w:tcW w:w="900" w:type="dxa"/>
            <w:noWrap w:val="0"/>
            <w:vAlign w:val="center"/>
          </w:tcPr>
          <w:p w14:paraId="05FC494A">
            <w:pPr>
              <w:pStyle w:val="31"/>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u w:val="none" w:color="auto"/>
                <w:lang w:val="en-US" w:eastAsia="zh-CN"/>
              </w:rPr>
              <w:t>0.711</w:t>
            </w:r>
          </w:p>
        </w:tc>
        <w:tc>
          <w:tcPr>
            <w:tcW w:w="716" w:type="dxa"/>
            <w:vMerge w:val="continue"/>
            <w:noWrap w:val="0"/>
            <w:vAlign w:val="center"/>
          </w:tcPr>
          <w:p w14:paraId="4E76B79A">
            <w:pPr>
              <w:pStyle w:val="24"/>
              <w:bidi w:val="0"/>
              <w:rPr>
                <w:rFonts w:hint="default"/>
                <w:color w:val="auto"/>
                <w:u w:val="none" w:color="auto"/>
                <w:lang w:val="en-US" w:eastAsia="zh-CN"/>
              </w:rPr>
            </w:pPr>
          </w:p>
        </w:tc>
      </w:tr>
      <w:tr w14:paraId="15DA8E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10D18C58">
            <w:pPr>
              <w:pStyle w:val="24"/>
              <w:bidi w:val="0"/>
              <w:rPr>
                <w:rFonts w:hint="default"/>
                <w:color w:val="auto"/>
                <w:u w:val="none" w:color="auto"/>
                <w:lang w:val="en-US" w:eastAsia="zh-CN"/>
              </w:rPr>
            </w:pPr>
            <w:r>
              <w:rPr>
                <w:rFonts w:hint="eastAsia"/>
                <w:color w:val="auto"/>
                <w:u w:val="none" w:color="auto"/>
                <w:lang w:val="en-US" w:eastAsia="zh-CN"/>
              </w:rPr>
              <w:t>1#厂房</w:t>
            </w:r>
            <w:r>
              <w:rPr>
                <w:rFonts w:hint="default"/>
                <w:color w:val="auto"/>
                <w:u w:val="none" w:color="auto"/>
                <w:lang w:val="en-US" w:eastAsia="zh-CN"/>
              </w:rPr>
              <w:t>挤出</w:t>
            </w:r>
            <w:r>
              <w:rPr>
                <w:rFonts w:hint="eastAsia"/>
                <w:color w:val="auto"/>
                <w:u w:val="none" w:color="auto"/>
                <w:lang w:val="en-US" w:eastAsia="zh-CN"/>
              </w:rPr>
              <w:t>、覆膜</w:t>
            </w:r>
            <w:r>
              <w:rPr>
                <w:rFonts w:hint="default"/>
                <w:color w:val="auto"/>
                <w:u w:val="none" w:color="auto"/>
                <w:lang w:val="en-US" w:eastAsia="zh-CN"/>
              </w:rPr>
              <w:t>废气</w:t>
            </w:r>
          </w:p>
        </w:tc>
        <w:tc>
          <w:tcPr>
            <w:tcW w:w="885" w:type="dxa"/>
            <w:vMerge w:val="restart"/>
            <w:noWrap w:val="0"/>
            <w:vAlign w:val="center"/>
          </w:tcPr>
          <w:p w14:paraId="61F5EF8A">
            <w:pPr>
              <w:pStyle w:val="24"/>
              <w:bidi w:val="0"/>
              <w:rPr>
                <w:rFonts w:hint="default"/>
                <w:color w:val="auto"/>
                <w:u w:val="none" w:color="auto"/>
                <w:lang w:val="en-US" w:eastAsia="zh-CN"/>
              </w:rPr>
            </w:pPr>
            <w:r>
              <w:rPr>
                <w:rFonts w:hint="default"/>
                <w:color w:val="auto"/>
                <w:u w:val="none" w:color="auto"/>
                <w:lang w:val="en-US" w:eastAsia="zh-CN"/>
              </w:rPr>
              <w:t>非甲烷总烃</w:t>
            </w:r>
          </w:p>
        </w:tc>
        <w:tc>
          <w:tcPr>
            <w:tcW w:w="885" w:type="dxa"/>
            <w:noWrap w:val="0"/>
            <w:vAlign w:val="center"/>
          </w:tcPr>
          <w:p w14:paraId="791F0DDE">
            <w:pPr>
              <w:pStyle w:val="24"/>
              <w:bidi w:val="0"/>
              <w:rPr>
                <w:rFonts w:hint="default"/>
                <w:color w:val="auto"/>
                <w:u w:val="none" w:color="auto"/>
                <w:lang w:val="en-US" w:eastAsia="zh-CN"/>
              </w:rPr>
            </w:pPr>
            <w:r>
              <w:rPr>
                <w:rFonts w:hint="default"/>
                <w:color w:val="auto"/>
                <w:u w:val="none" w:color="auto"/>
                <w:lang w:val="en-US" w:eastAsia="zh-CN"/>
              </w:rPr>
              <w:t>有组织</w:t>
            </w:r>
          </w:p>
        </w:tc>
        <w:tc>
          <w:tcPr>
            <w:tcW w:w="900" w:type="dxa"/>
            <w:vMerge w:val="restart"/>
            <w:noWrap w:val="0"/>
            <w:vAlign w:val="center"/>
          </w:tcPr>
          <w:p w14:paraId="28A59D07">
            <w:pPr>
              <w:pStyle w:val="24"/>
              <w:bidi w:val="0"/>
              <w:rPr>
                <w:rFonts w:hint="default"/>
                <w:color w:val="auto"/>
                <w:u w:val="none" w:color="auto"/>
                <w:lang w:val="en-US" w:eastAsia="zh-CN"/>
              </w:rPr>
            </w:pPr>
            <w:r>
              <w:rPr>
                <w:rFonts w:hint="default"/>
                <w:color w:val="auto"/>
                <w:u w:val="none" w:color="auto"/>
                <w:lang w:val="en-US" w:eastAsia="zh-CN"/>
              </w:rPr>
              <w:t>产污系数法</w:t>
            </w:r>
          </w:p>
        </w:tc>
        <w:tc>
          <w:tcPr>
            <w:tcW w:w="1140" w:type="dxa"/>
            <w:gridSpan w:val="2"/>
            <w:noWrap w:val="0"/>
            <w:vAlign w:val="center"/>
          </w:tcPr>
          <w:p w14:paraId="4E65D475">
            <w:pPr>
              <w:pStyle w:val="31"/>
              <w:bidi w:val="0"/>
              <w:rPr>
                <w:rFonts w:hint="default"/>
                <w:color w:val="auto"/>
                <w:u w:val="none" w:color="auto"/>
                <w:lang w:val="en-US" w:eastAsia="zh-CN"/>
              </w:rPr>
            </w:pPr>
            <w:r>
              <w:rPr>
                <w:rFonts w:hint="eastAsia"/>
                <w:color w:val="auto"/>
                <w:u w:val="none" w:color="auto"/>
                <w:lang w:val="en-US" w:eastAsia="zh-CN"/>
              </w:rPr>
              <w:t>8.766</w:t>
            </w:r>
          </w:p>
        </w:tc>
        <w:tc>
          <w:tcPr>
            <w:tcW w:w="1065" w:type="dxa"/>
            <w:gridSpan w:val="2"/>
            <w:noWrap w:val="0"/>
            <w:vAlign w:val="center"/>
          </w:tcPr>
          <w:p w14:paraId="5CC1E423">
            <w:pPr>
              <w:pStyle w:val="31"/>
              <w:bidi w:val="0"/>
              <w:rPr>
                <w:rFonts w:hint="default"/>
                <w:color w:val="auto"/>
                <w:u w:val="none" w:color="auto"/>
                <w:lang w:val="en-US" w:eastAsia="zh-CN"/>
              </w:rPr>
            </w:pPr>
            <w:r>
              <w:rPr>
                <w:rFonts w:hint="eastAsia"/>
                <w:color w:val="auto"/>
                <w:u w:val="none" w:color="auto"/>
                <w:lang w:val="en-US" w:eastAsia="zh-CN"/>
              </w:rPr>
              <w:t>0.351</w:t>
            </w:r>
          </w:p>
        </w:tc>
        <w:tc>
          <w:tcPr>
            <w:tcW w:w="900" w:type="dxa"/>
            <w:noWrap w:val="0"/>
            <w:vAlign w:val="center"/>
          </w:tcPr>
          <w:p w14:paraId="6EAA0D80">
            <w:pPr>
              <w:pStyle w:val="31"/>
              <w:bidi w:val="0"/>
              <w:rPr>
                <w:rFonts w:hint="default"/>
                <w:color w:val="auto"/>
                <w:u w:val="none" w:color="auto"/>
                <w:lang w:val="en-US" w:eastAsia="zh-CN"/>
              </w:rPr>
            </w:pPr>
            <w:r>
              <w:rPr>
                <w:rFonts w:hint="eastAsia"/>
                <w:color w:val="auto"/>
                <w:u w:val="none" w:color="auto"/>
                <w:lang w:val="en-US" w:eastAsia="zh-CN"/>
              </w:rPr>
              <w:t>1.683</w:t>
            </w:r>
          </w:p>
        </w:tc>
        <w:tc>
          <w:tcPr>
            <w:tcW w:w="1815" w:type="dxa"/>
            <w:gridSpan w:val="2"/>
            <w:vMerge w:val="restart"/>
            <w:noWrap w:val="0"/>
            <w:vAlign w:val="center"/>
          </w:tcPr>
          <w:p w14:paraId="18EB7A18">
            <w:pPr>
              <w:pStyle w:val="24"/>
              <w:bidi w:val="0"/>
              <w:rPr>
                <w:rFonts w:hint="default"/>
                <w:color w:val="auto"/>
                <w:u w:val="none" w:color="auto"/>
                <w:lang w:val="en-US" w:eastAsia="zh-CN"/>
              </w:rPr>
            </w:pPr>
            <w:r>
              <w:rPr>
                <w:rFonts w:hint="default"/>
                <w:color w:val="auto"/>
                <w:u w:val="none" w:color="auto"/>
                <w:lang w:val="en-US" w:eastAsia="zh-CN"/>
              </w:rPr>
              <w:t>集气罩+</w:t>
            </w:r>
            <w:r>
              <w:rPr>
                <w:rFonts w:hint="eastAsia"/>
                <w:color w:val="auto"/>
                <w:u w:val="none" w:color="auto"/>
                <w:lang w:val="en-US" w:eastAsia="zh-CN"/>
              </w:rPr>
              <w:t>垂帘</w:t>
            </w:r>
            <w:r>
              <w:rPr>
                <w:rFonts w:hint="default"/>
                <w:color w:val="auto"/>
                <w:u w:val="none" w:color="auto"/>
                <w:lang w:val="en-US" w:eastAsia="zh-CN"/>
              </w:rPr>
              <w:t>+</w:t>
            </w:r>
            <w:r>
              <w:rPr>
                <w:rFonts w:hint="eastAsia"/>
                <w:color w:val="auto"/>
                <w:u w:val="none" w:color="auto"/>
                <w:lang w:val="en-US" w:eastAsia="zh-CN"/>
              </w:rPr>
              <w:t>两级</w:t>
            </w:r>
            <w:r>
              <w:rPr>
                <w:rFonts w:hint="default"/>
                <w:color w:val="auto"/>
                <w:u w:val="none" w:color="auto"/>
                <w:lang w:val="en-US" w:eastAsia="zh-CN"/>
              </w:rPr>
              <w:t>活性炭吸附+</w:t>
            </w:r>
            <w:r>
              <w:rPr>
                <w:rFonts w:hint="eastAsia"/>
                <w:color w:val="auto"/>
                <w:u w:val="none" w:color="auto"/>
                <w:lang w:val="en-US" w:eastAsia="zh-CN"/>
              </w:rPr>
              <w:t>15</w:t>
            </w:r>
            <w:r>
              <w:rPr>
                <w:rFonts w:hint="default"/>
                <w:color w:val="auto"/>
                <w:u w:val="none" w:color="auto"/>
                <w:lang w:val="en-US" w:eastAsia="zh-CN"/>
              </w:rPr>
              <w:t>m高排气筒</w:t>
            </w:r>
            <w:r>
              <w:rPr>
                <w:rFonts w:hint="eastAsia"/>
                <w:color w:val="auto"/>
                <w:u w:val="none" w:color="auto"/>
                <w:lang w:val="en-US" w:eastAsia="zh-CN"/>
              </w:rPr>
              <w:t>（DA004）</w:t>
            </w:r>
          </w:p>
        </w:tc>
        <w:tc>
          <w:tcPr>
            <w:tcW w:w="675" w:type="dxa"/>
            <w:vMerge w:val="restart"/>
            <w:noWrap w:val="0"/>
            <w:vAlign w:val="center"/>
          </w:tcPr>
          <w:p w14:paraId="16D70830">
            <w:pPr>
              <w:pStyle w:val="24"/>
              <w:bidi w:val="0"/>
              <w:rPr>
                <w:rFonts w:hint="default"/>
                <w:color w:val="auto"/>
                <w:u w:val="none" w:color="auto"/>
                <w:lang w:val="en-US" w:eastAsia="zh-CN"/>
              </w:rPr>
            </w:pPr>
            <w:r>
              <w:rPr>
                <w:rFonts w:hint="eastAsia"/>
                <w:color w:val="auto"/>
                <w:u w:val="none" w:color="auto"/>
                <w:lang w:val="en-US" w:eastAsia="zh-CN"/>
              </w:rPr>
              <w:t>70</w:t>
            </w:r>
          </w:p>
        </w:tc>
        <w:tc>
          <w:tcPr>
            <w:tcW w:w="870" w:type="dxa"/>
            <w:vMerge w:val="restart"/>
            <w:noWrap w:val="0"/>
            <w:vAlign w:val="center"/>
          </w:tcPr>
          <w:p w14:paraId="06376DD7">
            <w:pPr>
              <w:pStyle w:val="24"/>
              <w:bidi w:val="0"/>
              <w:rPr>
                <w:rFonts w:hint="default"/>
                <w:color w:val="auto"/>
                <w:u w:val="none" w:color="auto"/>
                <w:lang w:val="en-US" w:eastAsia="zh-CN"/>
              </w:rPr>
            </w:pPr>
            <w:r>
              <w:rPr>
                <w:rFonts w:hint="default"/>
                <w:color w:val="auto"/>
                <w:u w:val="none" w:color="auto"/>
                <w:lang w:val="en-US" w:eastAsia="zh-CN"/>
              </w:rPr>
              <w:t>产污系数法</w:t>
            </w:r>
          </w:p>
        </w:tc>
        <w:tc>
          <w:tcPr>
            <w:tcW w:w="1125" w:type="dxa"/>
            <w:gridSpan w:val="2"/>
            <w:noWrap w:val="0"/>
            <w:vAlign w:val="center"/>
          </w:tcPr>
          <w:p w14:paraId="25082543">
            <w:pPr>
              <w:pStyle w:val="31"/>
              <w:bidi w:val="0"/>
              <w:rPr>
                <w:rFonts w:hint="default"/>
                <w:color w:val="auto"/>
                <w:u w:val="none" w:color="auto"/>
                <w:lang w:val="en-US" w:eastAsia="zh-CN"/>
              </w:rPr>
            </w:pPr>
            <w:r>
              <w:rPr>
                <w:rFonts w:hint="eastAsia"/>
                <w:color w:val="auto"/>
                <w:u w:val="none" w:color="auto"/>
                <w:lang w:val="en-US" w:eastAsia="zh-CN"/>
              </w:rPr>
              <w:t>2.63</w:t>
            </w:r>
          </w:p>
        </w:tc>
        <w:tc>
          <w:tcPr>
            <w:tcW w:w="1080" w:type="dxa"/>
            <w:gridSpan w:val="2"/>
            <w:noWrap w:val="0"/>
            <w:vAlign w:val="center"/>
          </w:tcPr>
          <w:p w14:paraId="43CAE771">
            <w:pPr>
              <w:pStyle w:val="31"/>
              <w:bidi w:val="0"/>
              <w:rPr>
                <w:rFonts w:hint="default"/>
                <w:color w:val="auto"/>
                <w:u w:val="none" w:color="auto"/>
                <w:lang w:val="en-US" w:eastAsia="zh-CN"/>
              </w:rPr>
            </w:pPr>
            <w:r>
              <w:rPr>
                <w:rFonts w:hint="eastAsia"/>
                <w:color w:val="auto"/>
                <w:u w:val="none" w:color="auto"/>
                <w:lang w:val="en-US" w:eastAsia="zh-CN"/>
              </w:rPr>
              <w:t>0.105</w:t>
            </w:r>
          </w:p>
        </w:tc>
        <w:tc>
          <w:tcPr>
            <w:tcW w:w="900" w:type="dxa"/>
            <w:noWrap w:val="0"/>
            <w:vAlign w:val="center"/>
          </w:tcPr>
          <w:p w14:paraId="0A51458B">
            <w:pPr>
              <w:pStyle w:val="31"/>
              <w:bidi w:val="0"/>
              <w:rPr>
                <w:rFonts w:hint="default"/>
                <w:color w:val="auto"/>
                <w:u w:val="none" w:color="auto"/>
                <w:lang w:val="en-US" w:eastAsia="zh-CN"/>
              </w:rPr>
            </w:pPr>
            <w:r>
              <w:rPr>
                <w:rFonts w:hint="eastAsia"/>
                <w:color w:val="auto"/>
                <w:u w:val="none" w:color="auto"/>
                <w:lang w:val="en-US" w:eastAsia="zh-CN"/>
              </w:rPr>
              <w:t>0.505</w:t>
            </w:r>
          </w:p>
        </w:tc>
        <w:tc>
          <w:tcPr>
            <w:tcW w:w="716" w:type="dxa"/>
            <w:vMerge w:val="restart"/>
            <w:noWrap w:val="0"/>
            <w:vAlign w:val="center"/>
          </w:tcPr>
          <w:p w14:paraId="1B762AD5">
            <w:pPr>
              <w:pStyle w:val="24"/>
              <w:bidi w:val="0"/>
              <w:rPr>
                <w:rFonts w:hint="default"/>
                <w:color w:val="auto"/>
                <w:u w:val="none" w:color="auto"/>
                <w:lang w:val="en-US" w:eastAsia="zh-CN"/>
              </w:rPr>
            </w:pPr>
            <w:r>
              <w:rPr>
                <w:rFonts w:hint="eastAsia"/>
                <w:color w:val="auto"/>
                <w:u w:val="none" w:color="auto"/>
                <w:lang w:val="en-US" w:eastAsia="zh-CN"/>
              </w:rPr>
              <w:t>48</w:t>
            </w:r>
            <w:r>
              <w:rPr>
                <w:rFonts w:hint="default"/>
                <w:color w:val="auto"/>
                <w:u w:val="none" w:color="auto"/>
                <w:lang w:val="en-US" w:eastAsia="zh-CN"/>
              </w:rPr>
              <w:t>00</w:t>
            </w:r>
          </w:p>
        </w:tc>
      </w:tr>
      <w:tr w14:paraId="0F4CD8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7F2F902A">
            <w:pPr>
              <w:pStyle w:val="24"/>
              <w:bidi w:val="0"/>
              <w:rPr>
                <w:rFonts w:hint="default"/>
                <w:color w:val="auto"/>
                <w:u w:val="none" w:color="auto"/>
                <w:lang w:val="en-US" w:eastAsia="zh-CN"/>
              </w:rPr>
            </w:pPr>
          </w:p>
        </w:tc>
        <w:tc>
          <w:tcPr>
            <w:tcW w:w="885" w:type="dxa"/>
            <w:vMerge w:val="continue"/>
            <w:noWrap w:val="0"/>
            <w:vAlign w:val="center"/>
          </w:tcPr>
          <w:p w14:paraId="272739E3">
            <w:pPr>
              <w:pStyle w:val="24"/>
              <w:bidi w:val="0"/>
              <w:rPr>
                <w:rFonts w:hint="default"/>
                <w:color w:val="auto"/>
                <w:u w:val="none" w:color="auto"/>
                <w:lang w:eastAsia="zh-CN"/>
              </w:rPr>
            </w:pPr>
          </w:p>
        </w:tc>
        <w:tc>
          <w:tcPr>
            <w:tcW w:w="885" w:type="dxa"/>
            <w:noWrap w:val="0"/>
            <w:vAlign w:val="center"/>
          </w:tcPr>
          <w:p w14:paraId="543E538E">
            <w:pPr>
              <w:pStyle w:val="24"/>
              <w:bidi w:val="0"/>
              <w:rPr>
                <w:rFonts w:hint="default"/>
                <w:color w:val="auto"/>
                <w:u w:val="none" w:color="auto"/>
                <w:lang w:val="en-US" w:eastAsia="zh-CN"/>
              </w:rPr>
            </w:pPr>
            <w:r>
              <w:rPr>
                <w:rFonts w:hint="default"/>
                <w:color w:val="auto"/>
                <w:u w:val="none" w:color="auto"/>
                <w:lang w:val="en-US" w:eastAsia="zh-CN"/>
              </w:rPr>
              <w:t>无</w:t>
            </w:r>
            <w:r>
              <w:rPr>
                <w:rFonts w:hint="default"/>
                <w:color w:val="auto"/>
                <w:u w:val="none" w:color="auto"/>
                <w:lang w:eastAsia="zh-CN"/>
              </w:rPr>
              <w:t>组织</w:t>
            </w:r>
          </w:p>
        </w:tc>
        <w:tc>
          <w:tcPr>
            <w:tcW w:w="900" w:type="dxa"/>
            <w:vMerge w:val="continue"/>
            <w:noWrap w:val="0"/>
            <w:vAlign w:val="center"/>
          </w:tcPr>
          <w:p w14:paraId="636B5F3E">
            <w:pPr>
              <w:pStyle w:val="24"/>
              <w:bidi w:val="0"/>
              <w:rPr>
                <w:rFonts w:hint="default"/>
                <w:color w:val="auto"/>
                <w:u w:val="none" w:color="auto"/>
                <w:lang w:val="en-US" w:eastAsia="zh-CN"/>
              </w:rPr>
            </w:pPr>
          </w:p>
        </w:tc>
        <w:tc>
          <w:tcPr>
            <w:tcW w:w="1140" w:type="dxa"/>
            <w:gridSpan w:val="2"/>
            <w:noWrap w:val="0"/>
            <w:vAlign w:val="center"/>
          </w:tcPr>
          <w:p w14:paraId="1A233014">
            <w:pPr>
              <w:pStyle w:val="31"/>
              <w:bidi w:val="0"/>
              <w:rPr>
                <w:rFonts w:hint="default"/>
                <w:color w:val="auto"/>
                <w:u w:val="none" w:color="auto"/>
                <w:lang w:val="en-US" w:eastAsia="zh-CN"/>
              </w:rPr>
            </w:pPr>
            <w:r>
              <w:rPr>
                <w:rFonts w:hint="eastAsia"/>
                <w:color w:val="auto"/>
                <w:u w:val="none" w:color="auto"/>
                <w:lang w:val="en-US" w:eastAsia="zh-CN"/>
              </w:rPr>
              <w:t>/</w:t>
            </w:r>
          </w:p>
        </w:tc>
        <w:tc>
          <w:tcPr>
            <w:tcW w:w="1065" w:type="dxa"/>
            <w:gridSpan w:val="2"/>
            <w:noWrap w:val="0"/>
            <w:vAlign w:val="center"/>
          </w:tcPr>
          <w:p w14:paraId="6FD4C50F">
            <w:pPr>
              <w:pStyle w:val="31"/>
              <w:bidi w:val="0"/>
              <w:rPr>
                <w:rFonts w:hint="default"/>
                <w:color w:val="auto"/>
                <w:u w:val="none" w:color="auto"/>
                <w:lang w:val="en-US" w:eastAsia="zh-CN"/>
              </w:rPr>
            </w:pPr>
            <w:r>
              <w:rPr>
                <w:rFonts w:hint="eastAsia"/>
                <w:color w:val="auto"/>
                <w:u w:val="none" w:color="auto"/>
                <w:lang w:val="en-US" w:eastAsia="zh-CN"/>
              </w:rPr>
              <w:t>0.062</w:t>
            </w:r>
          </w:p>
        </w:tc>
        <w:tc>
          <w:tcPr>
            <w:tcW w:w="900" w:type="dxa"/>
            <w:noWrap w:val="0"/>
            <w:vAlign w:val="center"/>
          </w:tcPr>
          <w:p w14:paraId="109B8845">
            <w:pPr>
              <w:pStyle w:val="31"/>
              <w:bidi w:val="0"/>
              <w:rPr>
                <w:rFonts w:hint="default"/>
                <w:color w:val="auto"/>
                <w:u w:val="none" w:color="auto"/>
                <w:lang w:val="en-US" w:eastAsia="zh-CN"/>
              </w:rPr>
            </w:pPr>
            <w:r>
              <w:rPr>
                <w:rFonts w:hint="eastAsia"/>
                <w:color w:val="auto"/>
                <w:u w:val="none" w:color="auto"/>
                <w:lang w:val="en-US" w:eastAsia="zh-CN"/>
              </w:rPr>
              <w:t>0.297</w:t>
            </w:r>
          </w:p>
        </w:tc>
        <w:tc>
          <w:tcPr>
            <w:tcW w:w="1815" w:type="dxa"/>
            <w:gridSpan w:val="2"/>
            <w:vMerge w:val="continue"/>
            <w:noWrap w:val="0"/>
            <w:vAlign w:val="center"/>
          </w:tcPr>
          <w:p w14:paraId="2BCFE464">
            <w:pPr>
              <w:pStyle w:val="24"/>
              <w:bidi w:val="0"/>
              <w:rPr>
                <w:rFonts w:hint="default"/>
                <w:color w:val="auto"/>
                <w:u w:val="none" w:color="auto"/>
                <w:lang w:val="en-US" w:eastAsia="zh-CN"/>
              </w:rPr>
            </w:pPr>
          </w:p>
        </w:tc>
        <w:tc>
          <w:tcPr>
            <w:tcW w:w="675" w:type="dxa"/>
            <w:vMerge w:val="continue"/>
            <w:noWrap w:val="0"/>
            <w:vAlign w:val="center"/>
          </w:tcPr>
          <w:p w14:paraId="6D0B6992">
            <w:pPr>
              <w:pStyle w:val="24"/>
              <w:bidi w:val="0"/>
              <w:rPr>
                <w:rFonts w:hint="default"/>
                <w:color w:val="auto"/>
                <w:u w:val="none" w:color="auto"/>
                <w:lang w:val="en-US" w:eastAsia="zh-CN"/>
              </w:rPr>
            </w:pPr>
          </w:p>
        </w:tc>
        <w:tc>
          <w:tcPr>
            <w:tcW w:w="870" w:type="dxa"/>
            <w:vMerge w:val="continue"/>
            <w:noWrap w:val="0"/>
            <w:vAlign w:val="center"/>
          </w:tcPr>
          <w:p w14:paraId="73F6E13C">
            <w:pPr>
              <w:pStyle w:val="24"/>
              <w:bidi w:val="0"/>
              <w:rPr>
                <w:rFonts w:hint="default"/>
                <w:color w:val="auto"/>
                <w:u w:val="none" w:color="auto"/>
                <w:lang w:val="en-US" w:eastAsia="zh-CN"/>
              </w:rPr>
            </w:pPr>
          </w:p>
        </w:tc>
        <w:tc>
          <w:tcPr>
            <w:tcW w:w="1125" w:type="dxa"/>
            <w:gridSpan w:val="2"/>
            <w:noWrap w:val="0"/>
            <w:vAlign w:val="center"/>
          </w:tcPr>
          <w:p w14:paraId="085D8555">
            <w:pPr>
              <w:pStyle w:val="31"/>
              <w:bidi w:val="0"/>
              <w:rPr>
                <w:rFonts w:hint="default"/>
                <w:color w:val="auto"/>
                <w:u w:val="none" w:color="auto"/>
                <w:lang w:val="en-US" w:eastAsia="zh-CN"/>
              </w:rPr>
            </w:pPr>
            <w:r>
              <w:rPr>
                <w:rFonts w:hint="eastAsia"/>
                <w:color w:val="auto"/>
                <w:u w:val="none" w:color="auto"/>
                <w:lang w:val="en-US" w:eastAsia="zh-CN"/>
              </w:rPr>
              <w:t>/</w:t>
            </w:r>
          </w:p>
        </w:tc>
        <w:tc>
          <w:tcPr>
            <w:tcW w:w="1080" w:type="dxa"/>
            <w:gridSpan w:val="2"/>
            <w:noWrap w:val="0"/>
            <w:vAlign w:val="center"/>
          </w:tcPr>
          <w:p w14:paraId="04EA7214">
            <w:pPr>
              <w:pStyle w:val="31"/>
              <w:bidi w:val="0"/>
              <w:rPr>
                <w:rFonts w:hint="default"/>
                <w:color w:val="auto"/>
                <w:u w:val="none" w:color="auto"/>
                <w:lang w:val="en-US" w:eastAsia="zh-CN"/>
              </w:rPr>
            </w:pPr>
            <w:r>
              <w:rPr>
                <w:rFonts w:hint="eastAsia"/>
                <w:color w:val="auto"/>
                <w:u w:val="none" w:color="auto"/>
                <w:lang w:val="en-US" w:eastAsia="zh-CN"/>
              </w:rPr>
              <w:t>0.062</w:t>
            </w:r>
          </w:p>
        </w:tc>
        <w:tc>
          <w:tcPr>
            <w:tcW w:w="900" w:type="dxa"/>
            <w:noWrap w:val="0"/>
            <w:vAlign w:val="center"/>
          </w:tcPr>
          <w:p w14:paraId="5690007F">
            <w:pPr>
              <w:pStyle w:val="31"/>
              <w:bidi w:val="0"/>
              <w:rPr>
                <w:rFonts w:hint="default"/>
                <w:color w:val="auto"/>
                <w:u w:val="none" w:color="auto"/>
                <w:lang w:val="en-US" w:eastAsia="zh-CN"/>
              </w:rPr>
            </w:pPr>
            <w:r>
              <w:rPr>
                <w:rFonts w:hint="eastAsia"/>
                <w:color w:val="auto"/>
                <w:u w:val="none" w:color="auto"/>
                <w:lang w:val="en-US" w:eastAsia="zh-CN"/>
              </w:rPr>
              <w:t>0.297</w:t>
            </w:r>
          </w:p>
        </w:tc>
        <w:tc>
          <w:tcPr>
            <w:tcW w:w="716" w:type="dxa"/>
            <w:vMerge w:val="continue"/>
            <w:noWrap w:val="0"/>
            <w:vAlign w:val="center"/>
          </w:tcPr>
          <w:p w14:paraId="3994F205">
            <w:pPr>
              <w:pStyle w:val="24"/>
              <w:bidi w:val="0"/>
              <w:rPr>
                <w:rFonts w:hint="default"/>
                <w:color w:val="auto"/>
                <w:u w:val="none" w:color="auto"/>
                <w:lang w:val="en-US" w:eastAsia="zh-CN"/>
              </w:rPr>
            </w:pPr>
          </w:p>
        </w:tc>
      </w:tr>
      <w:tr w14:paraId="0A1357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7E592C95">
            <w:pPr>
              <w:pStyle w:val="24"/>
              <w:bidi w:val="0"/>
              <w:rPr>
                <w:rFonts w:hint="default"/>
                <w:color w:val="auto"/>
                <w:u w:val="none" w:color="auto"/>
                <w:lang w:val="en-US" w:eastAsia="zh-CN"/>
              </w:rPr>
            </w:pPr>
          </w:p>
        </w:tc>
        <w:tc>
          <w:tcPr>
            <w:tcW w:w="885" w:type="dxa"/>
            <w:vMerge w:val="restart"/>
            <w:noWrap w:val="0"/>
            <w:vAlign w:val="center"/>
          </w:tcPr>
          <w:p w14:paraId="4F661EE7">
            <w:pPr>
              <w:pStyle w:val="24"/>
              <w:bidi w:val="0"/>
              <w:rPr>
                <w:rFonts w:hint="default"/>
                <w:color w:val="auto"/>
                <w:u w:val="none" w:color="auto"/>
                <w:lang w:val="en-US" w:eastAsia="zh-CN"/>
              </w:rPr>
            </w:pPr>
            <w:r>
              <w:rPr>
                <w:rFonts w:hint="eastAsia"/>
                <w:color w:val="auto"/>
                <w:u w:val="none" w:color="auto"/>
                <w:lang w:val="en-US" w:eastAsia="zh-CN"/>
              </w:rPr>
              <w:t>氯化氢</w:t>
            </w:r>
          </w:p>
        </w:tc>
        <w:tc>
          <w:tcPr>
            <w:tcW w:w="885" w:type="dxa"/>
            <w:noWrap w:val="0"/>
            <w:vAlign w:val="center"/>
          </w:tcPr>
          <w:p w14:paraId="5D3F04A6">
            <w:pPr>
              <w:pStyle w:val="24"/>
              <w:bidi w:val="0"/>
              <w:rPr>
                <w:rFonts w:hint="default"/>
                <w:color w:val="auto"/>
                <w:u w:val="none" w:color="auto"/>
                <w:lang w:val="en-US" w:eastAsia="zh-CN"/>
              </w:rPr>
            </w:pPr>
            <w:r>
              <w:rPr>
                <w:rFonts w:hint="default"/>
                <w:color w:val="auto"/>
                <w:u w:val="none" w:color="auto"/>
                <w:lang w:val="en-US" w:eastAsia="zh-CN"/>
              </w:rPr>
              <w:t>有组织</w:t>
            </w:r>
          </w:p>
        </w:tc>
        <w:tc>
          <w:tcPr>
            <w:tcW w:w="900" w:type="dxa"/>
            <w:vMerge w:val="continue"/>
            <w:noWrap w:val="0"/>
            <w:vAlign w:val="center"/>
          </w:tcPr>
          <w:p w14:paraId="51D0BB4F">
            <w:pPr>
              <w:pStyle w:val="24"/>
              <w:bidi w:val="0"/>
              <w:rPr>
                <w:rFonts w:hint="default"/>
                <w:color w:val="auto"/>
                <w:u w:val="none" w:color="auto"/>
                <w:lang w:val="en-US" w:eastAsia="zh-CN"/>
              </w:rPr>
            </w:pPr>
          </w:p>
        </w:tc>
        <w:tc>
          <w:tcPr>
            <w:tcW w:w="1140" w:type="dxa"/>
            <w:gridSpan w:val="2"/>
            <w:noWrap w:val="0"/>
            <w:vAlign w:val="center"/>
          </w:tcPr>
          <w:p w14:paraId="12F87A80">
            <w:pPr>
              <w:pStyle w:val="24"/>
              <w:bidi w:val="0"/>
              <w:rPr>
                <w:rFonts w:hint="default"/>
                <w:color w:val="auto"/>
                <w:u w:val="none" w:color="auto"/>
                <w:lang w:val="en-US" w:eastAsia="zh-CN"/>
              </w:rPr>
            </w:pPr>
            <w:r>
              <w:rPr>
                <w:rFonts w:hint="eastAsia"/>
                <w:color w:val="auto"/>
                <w:u w:val="none" w:color="auto"/>
                <w:lang w:val="en-US" w:eastAsia="zh-CN"/>
              </w:rPr>
              <w:t>2.524</w:t>
            </w:r>
          </w:p>
        </w:tc>
        <w:tc>
          <w:tcPr>
            <w:tcW w:w="1065" w:type="dxa"/>
            <w:gridSpan w:val="2"/>
            <w:noWrap w:val="0"/>
            <w:vAlign w:val="center"/>
          </w:tcPr>
          <w:p w14:paraId="56461BD3">
            <w:pPr>
              <w:pStyle w:val="24"/>
              <w:bidi w:val="0"/>
              <w:rPr>
                <w:rFonts w:hint="default"/>
                <w:color w:val="auto"/>
                <w:u w:val="none" w:color="auto"/>
                <w:lang w:val="en-US" w:eastAsia="zh-CN"/>
              </w:rPr>
            </w:pPr>
            <w:r>
              <w:rPr>
                <w:rFonts w:hint="eastAsia"/>
                <w:color w:val="auto"/>
                <w:u w:val="none" w:color="auto"/>
                <w:lang w:val="en-US" w:eastAsia="zh-CN"/>
              </w:rPr>
              <w:t>0.101</w:t>
            </w:r>
          </w:p>
        </w:tc>
        <w:tc>
          <w:tcPr>
            <w:tcW w:w="900" w:type="dxa"/>
            <w:noWrap w:val="0"/>
            <w:vAlign w:val="center"/>
          </w:tcPr>
          <w:p w14:paraId="1E4DC26A">
            <w:pPr>
              <w:pStyle w:val="24"/>
              <w:bidi w:val="0"/>
              <w:rPr>
                <w:rFonts w:hint="default"/>
                <w:color w:val="auto"/>
                <w:u w:val="none" w:color="auto"/>
                <w:lang w:val="en-US" w:eastAsia="zh-CN"/>
              </w:rPr>
            </w:pPr>
            <w:r>
              <w:rPr>
                <w:rFonts w:hint="eastAsia"/>
                <w:color w:val="auto"/>
                <w:u w:val="none" w:color="auto"/>
                <w:lang w:val="en-US" w:eastAsia="zh-CN"/>
              </w:rPr>
              <w:t>0.484</w:t>
            </w:r>
          </w:p>
        </w:tc>
        <w:tc>
          <w:tcPr>
            <w:tcW w:w="1815" w:type="dxa"/>
            <w:gridSpan w:val="2"/>
            <w:vMerge w:val="continue"/>
            <w:noWrap w:val="0"/>
            <w:vAlign w:val="center"/>
          </w:tcPr>
          <w:p w14:paraId="4D114EAA">
            <w:pPr>
              <w:pStyle w:val="24"/>
              <w:bidi w:val="0"/>
              <w:rPr>
                <w:rFonts w:hint="default"/>
                <w:color w:val="auto"/>
                <w:u w:val="none" w:color="auto"/>
                <w:lang w:val="en-US" w:eastAsia="zh-CN"/>
              </w:rPr>
            </w:pPr>
          </w:p>
        </w:tc>
        <w:tc>
          <w:tcPr>
            <w:tcW w:w="675" w:type="dxa"/>
            <w:vMerge w:val="restart"/>
            <w:noWrap w:val="0"/>
            <w:vAlign w:val="center"/>
          </w:tcPr>
          <w:p w14:paraId="2A37DA02">
            <w:pPr>
              <w:pStyle w:val="24"/>
              <w:bidi w:val="0"/>
              <w:rPr>
                <w:rFonts w:hint="default"/>
                <w:color w:val="auto"/>
                <w:u w:val="none" w:color="auto"/>
                <w:lang w:val="en-US" w:eastAsia="zh-CN"/>
              </w:rPr>
            </w:pPr>
            <w:r>
              <w:rPr>
                <w:rFonts w:hint="eastAsia"/>
                <w:color w:val="auto"/>
                <w:u w:val="none" w:color="auto"/>
                <w:lang w:val="en-US" w:eastAsia="zh-CN"/>
              </w:rPr>
              <w:t>0</w:t>
            </w:r>
          </w:p>
        </w:tc>
        <w:tc>
          <w:tcPr>
            <w:tcW w:w="870" w:type="dxa"/>
            <w:vMerge w:val="continue"/>
            <w:noWrap w:val="0"/>
            <w:vAlign w:val="center"/>
          </w:tcPr>
          <w:p w14:paraId="0F8E73D6">
            <w:pPr>
              <w:pStyle w:val="24"/>
              <w:bidi w:val="0"/>
              <w:rPr>
                <w:rFonts w:hint="default"/>
                <w:color w:val="auto"/>
                <w:u w:val="none" w:color="auto"/>
                <w:lang w:val="en-US" w:eastAsia="zh-CN"/>
              </w:rPr>
            </w:pPr>
          </w:p>
        </w:tc>
        <w:tc>
          <w:tcPr>
            <w:tcW w:w="1125" w:type="dxa"/>
            <w:gridSpan w:val="2"/>
            <w:noWrap w:val="0"/>
            <w:vAlign w:val="center"/>
          </w:tcPr>
          <w:p w14:paraId="60D3D955">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2.524</w:t>
            </w:r>
          </w:p>
        </w:tc>
        <w:tc>
          <w:tcPr>
            <w:tcW w:w="1080" w:type="dxa"/>
            <w:gridSpan w:val="2"/>
            <w:noWrap w:val="0"/>
            <w:vAlign w:val="center"/>
          </w:tcPr>
          <w:p w14:paraId="05E385C7">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0.101</w:t>
            </w:r>
          </w:p>
        </w:tc>
        <w:tc>
          <w:tcPr>
            <w:tcW w:w="900" w:type="dxa"/>
            <w:noWrap w:val="0"/>
            <w:vAlign w:val="center"/>
          </w:tcPr>
          <w:p w14:paraId="17E635D9">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0.484</w:t>
            </w:r>
          </w:p>
        </w:tc>
        <w:tc>
          <w:tcPr>
            <w:tcW w:w="716" w:type="dxa"/>
            <w:vMerge w:val="continue"/>
            <w:noWrap w:val="0"/>
            <w:vAlign w:val="center"/>
          </w:tcPr>
          <w:p w14:paraId="4B5E5172">
            <w:pPr>
              <w:pStyle w:val="24"/>
              <w:bidi w:val="0"/>
              <w:rPr>
                <w:rFonts w:hint="default"/>
                <w:color w:val="auto"/>
                <w:u w:val="none" w:color="auto"/>
                <w:lang w:val="en-US" w:eastAsia="zh-CN"/>
              </w:rPr>
            </w:pPr>
          </w:p>
        </w:tc>
      </w:tr>
      <w:tr w14:paraId="6334D6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2A610B65">
            <w:pPr>
              <w:pStyle w:val="24"/>
              <w:bidi w:val="0"/>
              <w:rPr>
                <w:rFonts w:hint="default"/>
                <w:color w:val="auto"/>
                <w:u w:val="none" w:color="auto"/>
                <w:lang w:val="en-US" w:eastAsia="zh-CN"/>
              </w:rPr>
            </w:pPr>
          </w:p>
        </w:tc>
        <w:tc>
          <w:tcPr>
            <w:tcW w:w="885" w:type="dxa"/>
            <w:vMerge w:val="continue"/>
            <w:noWrap w:val="0"/>
            <w:vAlign w:val="center"/>
          </w:tcPr>
          <w:p w14:paraId="3B5EA8DC">
            <w:pPr>
              <w:pStyle w:val="24"/>
              <w:bidi w:val="0"/>
              <w:rPr>
                <w:rFonts w:hint="default"/>
                <w:color w:val="auto"/>
                <w:u w:val="none" w:color="auto"/>
                <w:lang w:val="en-US" w:eastAsia="zh-CN"/>
              </w:rPr>
            </w:pPr>
          </w:p>
        </w:tc>
        <w:tc>
          <w:tcPr>
            <w:tcW w:w="885" w:type="dxa"/>
            <w:noWrap w:val="0"/>
            <w:vAlign w:val="center"/>
          </w:tcPr>
          <w:p w14:paraId="560FBF3F">
            <w:pPr>
              <w:pStyle w:val="24"/>
              <w:bidi w:val="0"/>
              <w:rPr>
                <w:rFonts w:hint="default"/>
                <w:color w:val="auto"/>
                <w:u w:val="none" w:color="auto"/>
                <w:lang w:val="en-US" w:eastAsia="zh-CN"/>
              </w:rPr>
            </w:pPr>
            <w:r>
              <w:rPr>
                <w:rFonts w:hint="default"/>
                <w:color w:val="auto"/>
                <w:u w:val="none" w:color="auto"/>
                <w:lang w:val="en-US" w:eastAsia="zh-CN"/>
              </w:rPr>
              <w:t>无</w:t>
            </w:r>
            <w:r>
              <w:rPr>
                <w:rFonts w:hint="default"/>
                <w:color w:val="auto"/>
                <w:u w:val="none" w:color="auto"/>
                <w:lang w:eastAsia="zh-CN"/>
              </w:rPr>
              <w:t>组织</w:t>
            </w:r>
          </w:p>
        </w:tc>
        <w:tc>
          <w:tcPr>
            <w:tcW w:w="900" w:type="dxa"/>
            <w:vMerge w:val="continue"/>
            <w:noWrap w:val="0"/>
            <w:vAlign w:val="center"/>
          </w:tcPr>
          <w:p w14:paraId="07FC21D7">
            <w:pPr>
              <w:pStyle w:val="24"/>
              <w:bidi w:val="0"/>
              <w:rPr>
                <w:rFonts w:hint="default"/>
                <w:color w:val="auto"/>
                <w:u w:val="none" w:color="auto"/>
                <w:lang w:val="en-US" w:eastAsia="zh-CN"/>
              </w:rPr>
            </w:pPr>
          </w:p>
        </w:tc>
        <w:tc>
          <w:tcPr>
            <w:tcW w:w="1140" w:type="dxa"/>
            <w:gridSpan w:val="2"/>
            <w:noWrap w:val="0"/>
            <w:vAlign w:val="center"/>
          </w:tcPr>
          <w:p w14:paraId="792077A5">
            <w:pPr>
              <w:pStyle w:val="24"/>
              <w:bidi w:val="0"/>
              <w:rPr>
                <w:rFonts w:hint="default"/>
                <w:color w:val="auto"/>
                <w:u w:val="none" w:color="auto"/>
                <w:lang w:val="en-US" w:eastAsia="zh-CN"/>
              </w:rPr>
            </w:pPr>
            <w:r>
              <w:rPr>
                <w:rFonts w:hint="eastAsia"/>
                <w:color w:val="auto"/>
                <w:u w:val="none" w:color="auto"/>
                <w:lang w:val="en-US" w:eastAsia="zh-CN"/>
              </w:rPr>
              <w:t>/</w:t>
            </w:r>
          </w:p>
        </w:tc>
        <w:tc>
          <w:tcPr>
            <w:tcW w:w="1065" w:type="dxa"/>
            <w:gridSpan w:val="2"/>
            <w:noWrap w:val="0"/>
            <w:vAlign w:val="center"/>
          </w:tcPr>
          <w:p w14:paraId="77849EC1">
            <w:pPr>
              <w:pStyle w:val="24"/>
              <w:bidi w:val="0"/>
              <w:rPr>
                <w:rFonts w:hint="default"/>
                <w:color w:val="auto"/>
                <w:u w:val="none" w:color="auto"/>
                <w:lang w:val="en-US" w:eastAsia="zh-CN"/>
              </w:rPr>
            </w:pPr>
            <w:r>
              <w:rPr>
                <w:rFonts w:hint="eastAsia"/>
                <w:color w:val="auto"/>
                <w:u w:val="none" w:color="auto"/>
                <w:lang w:val="en-US" w:eastAsia="zh-CN"/>
              </w:rPr>
              <w:t>0.018</w:t>
            </w:r>
          </w:p>
        </w:tc>
        <w:tc>
          <w:tcPr>
            <w:tcW w:w="900" w:type="dxa"/>
            <w:noWrap w:val="0"/>
            <w:vAlign w:val="center"/>
          </w:tcPr>
          <w:p w14:paraId="7CE0327D">
            <w:pPr>
              <w:pStyle w:val="24"/>
              <w:bidi w:val="0"/>
              <w:rPr>
                <w:rFonts w:hint="default"/>
                <w:color w:val="auto"/>
                <w:u w:val="none" w:color="auto"/>
                <w:lang w:val="en-US" w:eastAsia="zh-CN"/>
              </w:rPr>
            </w:pPr>
            <w:r>
              <w:rPr>
                <w:rFonts w:hint="eastAsia"/>
                <w:color w:val="auto"/>
                <w:u w:val="none" w:color="auto"/>
                <w:lang w:val="en-US" w:eastAsia="zh-CN"/>
              </w:rPr>
              <w:t>0.086</w:t>
            </w:r>
          </w:p>
        </w:tc>
        <w:tc>
          <w:tcPr>
            <w:tcW w:w="1815" w:type="dxa"/>
            <w:gridSpan w:val="2"/>
            <w:vMerge w:val="continue"/>
            <w:noWrap w:val="0"/>
            <w:vAlign w:val="center"/>
          </w:tcPr>
          <w:p w14:paraId="74376EF3">
            <w:pPr>
              <w:pStyle w:val="24"/>
              <w:bidi w:val="0"/>
              <w:rPr>
                <w:rFonts w:hint="default"/>
                <w:color w:val="auto"/>
                <w:u w:val="none" w:color="auto"/>
                <w:lang w:val="en-US" w:eastAsia="zh-CN"/>
              </w:rPr>
            </w:pPr>
          </w:p>
        </w:tc>
        <w:tc>
          <w:tcPr>
            <w:tcW w:w="675" w:type="dxa"/>
            <w:vMerge w:val="continue"/>
            <w:noWrap w:val="0"/>
            <w:vAlign w:val="center"/>
          </w:tcPr>
          <w:p w14:paraId="44289094">
            <w:pPr>
              <w:pStyle w:val="24"/>
              <w:bidi w:val="0"/>
              <w:rPr>
                <w:rFonts w:hint="default"/>
                <w:color w:val="auto"/>
                <w:u w:val="none" w:color="auto"/>
                <w:lang w:val="en-US" w:eastAsia="zh-CN"/>
              </w:rPr>
            </w:pPr>
          </w:p>
        </w:tc>
        <w:tc>
          <w:tcPr>
            <w:tcW w:w="870" w:type="dxa"/>
            <w:vMerge w:val="continue"/>
            <w:noWrap w:val="0"/>
            <w:vAlign w:val="center"/>
          </w:tcPr>
          <w:p w14:paraId="2155396B">
            <w:pPr>
              <w:pStyle w:val="24"/>
              <w:bidi w:val="0"/>
              <w:rPr>
                <w:rFonts w:hint="default"/>
                <w:color w:val="auto"/>
                <w:u w:val="none" w:color="auto"/>
                <w:lang w:val="en-US" w:eastAsia="zh-CN"/>
              </w:rPr>
            </w:pPr>
          </w:p>
        </w:tc>
        <w:tc>
          <w:tcPr>
            <w:tcW w:w="1125" w:type="dxa"/>
            <w:gridSpan w:val="2"/>
            <w:noWrap w:val="0"/>
            <w:vAlign w:val="center"/>
          </w:tcPr>
          <w:p w14:paraId="31A86DD4">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w:t>
            </w:r>
          </w:p>
        </w:tc>
        <w:tc>
          <w:tcPr>
            <w:tcW w:w="1080" w:type="dxa"/>
            <w:gridSpan w:val="2"/>
            <w:noWrap w:val="0"/>
            <w:vAlign w:val="center"/>
          </w:tcPr>
          <w:p w14:paraId="2586A5BA">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0.018</w:t>
            </w:r>
          </w:p>
        </w:tc>
        <w:tc>
          <w:tcPr>
            <w:tcW w:w="900" w:type="dxa"/>
            <w:noWrap w:val="0"/>
            <w:vAlign w:val="center"/>
          </w:tcPr>
          <w:p w14:paraId="327C7911">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0.086</w:t>
            </w:r>
          </w:p>
        </w:tc>
        <w:tc>
          <w:tcPr>
            <w:tcW w:w="716" w:type="dxa"/>
            <w:vMerge w:val="continue"/>
            <w:noWrap w:val="0"/>
            <w:vAlign w:val="center"/>
          </w:tcPr>
          <w:p w14:paraId="5171E0BD">
            <w:pPr>
              <w:pStyle w:val="24"/>
              <w:bidi w:val="0"/>
              <w:rPr>
                <w:rFonts w:hint="default"/>
                <w:color w:val="auto"/>
                <w:u w:val="none" w:color="auto"/>
                <w:lang w:val="en-US" w:eastAsia="zh-CN"/>
              </w:rPr>
            </w:pPr>
          </w:p>
        </w:tc>
      </w:tr>
      <w:tr w14:paraId="1D647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449946BC">
            <w:pPr>
              <w:pStyle w:val="24"/>
              <w:bidi w:val="0"/>
              <w:rPr>
                <w:rFonts w:hint="default"/>
                <w:color w:val="auto"/>
                <w:u w:val="none" w:color="auto"/>
                <w:lang w:val="en-US" w:eastAsia="zh-CN"/>
              </w:rPr>
            </w:pPr>
            <w:r>
              <w:rPr>
                <w:rFonts w:hint="eastAsia"/>
                <w:color w:val="auto"/>
                <w:u w:val="none" w:color="auto"/>
                <w:lang w:val="en-US" w:eastAsia="zh-CN"/>
              </w:rPr>
              <w:t>2#厂房覆膜废气</w:t>
            </w:r>
          </w:p>
        </w:tc>
        <w:tc>
          <w:tcPr>
            <w:tcW w:w="885" w:type="dxa"/>
            <w:vMerge w:val="restart"/>
            <w:noWrap w:val="0"/>
            <w:vAlign w:val="center"/>
          </w:tcPr>
          <w:p w14:paraId="03F8C496">
            <w:pPr>
              <w:pStyle w:val="24"/>
              <w:bidi w:val="0"/>
              <w:rPr>
                <w:rFonts w:hint="default"/>
                <w:color w:val="auto"/>
                <w:u w:val="none" w:color="auto"/>
                <w:lang w:val="en-US" w:eastAsia="zh-CN"/>
              </w:rPr>
            </w:pPr>
            <w:r>
              <w:rPr>
                <w:rFonts w:hint="eastAsia"/>
                <w:color w:val="auto"/>
                <w:u w:val="none" w:color="auto"/>
                <w:lang w:val="en-US" w:eastAsia="zh-CN"/>
              </w:rPr>
              <w:t>非甲烷总烃</w:t>
            </w:r>
          </w:p>
        </w:tc>
        <w:tc>
          <w:tcPr>
            <w:tcW w:w="885" w:type="dxa"/>
            <w:noWrap w:val="0"/>
            <w:vAlign w:val="center"/>
          </w:tcPr>
          <w:p w14:paraId="154B1436">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有组织</w:t>
            </w:r>
          </w:p>
        </w:tc>
        <w:tc>
          <w:tcPr>
            <w:tcW w:w="900" w:type="dxa"/>
            <w:vMerge w:val="restart"/>
            <w:noWrap w:val="0"/>
            <w:vAlign w:val="center"/>
          </w:tcPr>
          <w:p w14:paraId="43C3CD99">
            <w:pPr>
              <w:pStyle w:val="24"/>
              <w:bidi w:val="0"/>
              <w:rPr>
                <w:rFonts w:hint="default"/>
                <w:color w:val="auto"/>
                <w:u w:val="none" w:color="auto"/>
                <w:lang w:val="en-US" w:eastAsia="zh-CN"/>
              </w:rPr>
            </w:pPr>
            <w:r>
              <w:rPr>
                <w:rFonts w:hint="default"/>
                <w:color w:val="auto"/>
                <w:u w:val="none" w:color="auto"/>
                <w:lang w:val="en-US" w:eastAsia="zh-CN"/>
              </w:rPr>
              <w:t>产污系数法</w:t>
            </w:r>
          </w:p>
        </w:tc>
        <w:tc>
          <w:tcPr>
            <w:tcW w:w="1140" w:type="dxa"/>
            <w:gridSpan w:val="2"/>
            <w:noWrap w:val="0"/>
            <w:vAlign w:val="center"/>
          </w:tcPr>
          <w:p w14:paraId="7D1F8D3F">
            <w:pPr>
              <w:pStyle w:val="24"/>
              <w:bidi w:val="0"/>
              <w:rPr>
                <w:rFonts w:hint="default"/>
                <w:color w:val="auto"/>
                <w:u w:val="none" w:color="auto"/>
                <w:lang w:val="en-US" w:eastAsia="zh-CN"/>
              </w:rPr>
            </w:pPr>
            <w:r>
              <w:rPr>
                <w:rFonts w:hint="eastAsia"/>
                <w:color w:val="auto"/>
                <w:u w:val="none" w:color="auto"/>
                <w:lang w:val="en-US" w:eastAsia="zh-CN"/>
              </w:rPr>
              <w:t>51.972</w:t>
            </w:r>
          </w:p>
        </w:tc>
        <w:tc>
          <w:tcPr>
            <w:tcW w:w="1065" w:type="dxa"/>
            <w:gridSpan w:val="2"/>
            <w:noWrap w:val="0"/>
            <w:vAlign w:val="center"/>
          </w:tcPr>
          <w:p w14:paraId="7989DE4D">
            <w:pPr>
              <w:pStyle w:val="24"/>
              <w:bidi w:val="0"/>
              <w:rPr>
                <w:rFonts w:hint="default"/>
                <w:color w:val="auto"/>
                <w:u w:val="none" w:color="auto"/>
                <w:lang w:val="en-US" w:eastAsia="zh-CN"/>
              </w:rPr>
            </w:pPr>
            <w:r>
              <w:rPr>
                <w:rFonts w:hint="eastAsia"/>
                <w:color w:val="auto"/>
                <w:u w:val="none" w:color="auto"/>
                <w:lang w:val="en-US" w:eastAsia="zh-CN"/>
              </w:rPr>
              <w:t>1.299</w:t>
            </w:r>
          </w:p>
        </w:tc>
        <w:tc>
          <w:tcPr>
            <w:tcW w:w="900" w:type="dxa"/>
            <w:noWrap w:val="0"/>
            <w:vAlign w:val="center"/>
          </w:tcPr>
          <w:p w14:paraId="5B68DF3E">
            <w:pPr>
              <w:pStyle w:val="24"/>
              <w:bidi w:val="0"/>
              <w:rPr>
                <w:rFonts w:hint="default"/>
                <w:color w:val="auto"/>
                <w:u w:val="none" w:color="auto"/>
                <w:lang w:val="en-US" w:eastAsia="zh-CN"/>
              </w:rPr>
            </w:pPr>
            <w:r>
              <w:rPr>
                <w:rFonts w:hint="eastAsia"/>
                <w:color w:val="auto"/>
                <w:u w:val="none" w:color="auto"/>
                <w:lang w:val="en-US" w:eastAsia="zh-CN"/>
              </w:rPr>
              <w:t>3.118</w:t>
            </w:r>
          </w:p>
        </w:tc>
        <w:tc>
          <w:tcPr>
            <w:tcW w:w="1815" w:type="dxa"/>
            <w:gridSpan w:val="2"/>
            <w:vMerge w:val="restart"/>
            <w:noWrap w:val="0"/>
            <w:vAlign w:val="center"/>
          </w:tcPr>
          <w:p w14:paraId="50F41ADF">
            <w:pPr>
              <w:pStyle w:val="24"/>
              <w:bidi w:val="0"/>
              <w:rPr>
                <w:rFonts w:hint="default"/>
                <w:color w:val="auto"/>
                <w:u w:val="none" w:color="auto"/>
                <w:lang w:val="en-US" w:eastAsia="zh-CN"/>
              </w:rPr>
            </w:pPr>
            <w:r>
              <w:rPr>
                <w:rFonts w:hint="eastAsia"/>
                <w:color w:val="auto"/>
                <w:u w:val="none" w:color="auto"/>
                <w:lang w:val="en-US" w:eastAsia="zh-CN"/>
              </w:rPr>
              <w:t>集气罩+垂帘（溶剂型胶粘剂覆膜机加装设置为区域半封闭）+两级活性炭吸附+15m高排气筒（DA003）</w:t>
            </w:r>
          </w:p>
        </w:tc>
        <w:tc>
          <w:tcPr>
            <w:tcW w:w="675" w:type="dxa"/>
            <w:vMerge w:val="restart"/>
            <w:noWrap w:val="0"/>
            <w:vAlign w:val="center"/>
          </w:tcPr>
          <w:p w14:paraId="2E68D8D2">
            <w:pPr>
              <w:pStyle w:val="24"/>
              <w:bidi w:val="0"/>
              <w:rPr>
                <w:rFonts w:hint="default"/>
                <w:color w:val="auto"/>
                <w:u w:val="none" w:color="auto"/>
                <w:lang w:val="en-US" w:eastAsia="zh-CN"/>
              </w:rPr>
            </w:pPr>
            <w:r>
              <w:rPr>
                <w:rFonts w:hint="eastAsia"/>
                <w:color w:val="auto"/>
                <w:u w:val="none" w:color="auto"/>
                <w:lang w:val="en-US" w:eastAsia="zh-CN"/>
              </w:rPr>
              <w:t>70</w:t>
            </w:r>
          </w:p>
        </w:tc>
        <w:tc>
          <w:tcPr>
            <w:tcW w:w="870" w:type="dxa"/>
            <w:vMerge w:val="restart"/>
            <w:noWrap w:val="0"/>
            <w:vAlign w:val="center"/>
          </w:tcPr>
          <w:p w14:paraId="34A4CD75">
            <w:pPr>
              <w:pStyle w:val="24"/>
              <w:bidi w:val="0"/>
              <w:rPr>
                <w:rFonts w:hint="default"/>
                <w:color w:val="auto"/>
                <w:u w:val="none" w:color="auto"/>
                <w:lang w:val="en-US" w:eastAsia="zh-CN"/>
              </w:rPr>
            </w:pPr>
            <w:r>
              <w:rPr>
                <w:rFonts w:hint="default"/>
                <w:color w:val="auto"/>
                <w:u w:val="none" w:color="auto"/>
                <w:lang w:val="en-US" w:eastAsia="zh-CN"/>
              </w:rPr>
              <w:t>产污系数法</w:t>
            </w:r>
          </w:p>
        </w:tc>
        <w:tc>
          <w:tcPr>
            <w:tcW w:w="1125" w:type="dxa"/>
            <w:gridSpan w:val="2"/>
            <w:noWrap w:val="0"/>
            <w:vAlign w:val="center"/>
          </w:tcPr>
          <w:p w14:paraId="03F9194F">
            <w:pPr>
              <w:pStyle w:val="24"/>
              <w:bidi w:val="0"/>
              <w:rPr>
                <w:rFonts w:hint="default"/>
                <w:color w:val="auto"/>
                <w:u w:val="none" w:color="auto"/>
                <w:lang w:val="en-US" w:eastAsia="zh-CN"/>
              </w:rPr>
            </w:pPr>
            <w:r>
              <w:rPr>
                <w:rFonts w:hint="eastAsia"/>
                <w:color w:val="auto"/>
                <w:u w:val="none" w:color="auto"/>
                <w:lang w:val="en-US" w:eastAsia="zh-CN"/>
              </w:rPr>
              <w:t>15.592</w:t>
            </w:r>
          </w:p>
        </w:tc>
        <w:tc>
          <w:tcPr>
            <w:tcW w:w="1080" w:type="dxa"/>
            <w:gridSpan w:val="2"/>
            <w:noWrap w:val="0"/>
            <w:vAlign w:val="center"/>
          </w:tcPr>
          <w:p w14:paraId="6AEDE46D">
            <w:pPr>
              <w:pStyle w:val="24"/>
              <w:bidi w:val="0"/>
              <w:rPr>
                <w:rFonts w:hint="default"/>
                <w:color w:val="auto"/>
                <w:u w:val="none" w:color="auto"/>
                <w:lang w:val="en-US" w:eastAsia="zh-CN"/>
              </w:rPr>
            </w:pPr>
            <w:r>
              <w:rPr>
                <w:rFonts w:hint="eastAsia"/>
                <w:color w:val="auto"/>
                <w:u w:val="none" w:color="auto"/>
                <w:lang w:val="en-US" w:eastAsia="zh-CN"/>
              </w:rPr>
              <w:t>0.39</w:t>
            </w:r>
          </w:p>
        </w:tc>
        <w:tc>
          <w:tcPr>
            <w:tcW w:w="900" w:type="dxa"/>
            <w:noWrap w:val="0"/>
            <w:vAlign w:val="center"/>
          </w:tcPr>
          <w:p w14:paraId="7D4C5D36">
            <w:pPr>
              <w:pStyle w:val="24"/>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0.936</w:t>
            </w:r>
          </w:p>
        </w:tc>
        <w:tc>
          <w:tcPr>
            <w:tcW w:w="716" w:type="dxa"/>
            <w:vMerge w:val="restart"/>
            <w:noWrap w:val="0"/>
            <w:vAlign w:val="center"/>
          </w:tcPr>
          <w:p w14:paraId="3D6F742C">
            <w:pPr>
              <w:pStyle w:val="24"/>
              <w:bidi w:val="0"/>
              <w:rPr>
                <w:rFonts w:hint="default"/>
                <w:color w:val="auto"/>
                <w:u w:val="none" w:color="auto"/>
                <w:lang w:val="en-US" w:eastAsia="zh-CN"/>
              </w:rPr>
            </w:pPr>
            <w:r>
              <w:rPr>
                <w:rFonts w:hint="eastAsia"/>
                <w:color w:val="auto"/>
                <w:u w:val="none" w:color="auto"/>
                <w:lang w:val="en-US" w:eastAsia="zh-CN"/>
              </w:rPr>
              <w:t>2400</w:t>
            </w:r>
          </w:p>
        </w:tc>
      </w:tr>
      <w:tr w14:paraId="569AD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7C354CF7">
            <w:pPr>
              <w:pStyle w:val="24"/>
              <w:bidi w:val="0"/>
              <w:rPr>
                <w:rFonts w:hint="default"/>
                <w:color w:val="auto"/>
                <w:u w:val="none" w:color="auto"/>
                <w:lang w:val="en-US" w:eastAsia="zh-CN"/>
              </w:rPr>
            </w:pPr>
          </w:p>
        </w:tc>
        <w:tc>
          <w:tcPr>
            <w:tcW w:w="885" w:type="dxa"/>
            <w:vMerge w:val="continue"/>
            <w:noWrap w:val="0"/>
            <w:vAlign w:val="center"/>
          </w:tcPr>
          <w:p w14:paraId="23BBC1CD">
            <w:pPr>
              <w:pStyle w:val="24"/>
              <w:bidi w:val="0"/>
              <w:rPr>
                <w:rFonts w:hint="default"/>
                <w:color w:val="auto"/>
                <w:u w:val="none" w:color="auto"/>
                <w:lang w:val="en-US" w:eastAsia="zh-CN"/>
              </w:rPr>
            </w:pPr>
          </w:p>
        </w:tc>
        <w:tc>
          <w:tcPr>
            <w:tcW w:w="885" w:type="dxa"/>
            <w:noWrap w:val="0"/>
            <w:vAlign w:val="center"/>
          </w:tcPr>
          <w:p w14:paraId="7C156937">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无</w:t>
            </w:r>
            <w:r>
              <w:rPr>
                <w:rFonts w:hint="default"/>
                <w:color w:val="auto"/>
                <w:u w:val="none" w:color="auto"/>
                <w:lang w:eastAsia="zh-CN"/>
              </w:rPr>
              <w:t>组织</w:t>
            </w:r>
          </w:p>
        </w:tc>
        <w:tc>
          <w:tcPr>
            <w:tcW w:w="900" w:type="dxa"/>
            <w:vMerge w:val="continue"/>
            <w:noWrap w:val="0"/>
            <w:vAlign w:val="center"/>
          </w:tcPr>
          <w:p w14:paraId="494E4C83">
            <w:pPr>
              <w:pStyle w:val="24"/>
              <w:bidi w:val="0"/>
              <w:rPr>
                <w:rFonts w:hint="default"/>
                <w:color w:val="auto"/>
                <w:u w:val="none" w:color="auto"/>
                <w:lang w:val="en-US" w:eastAsia="zh-CN"/>
              </w:rPr>
            </w:pPr>
          </w:p>
        </w:tc>
        <w:tc>
          <w:tcPr>
            <w:tcW w:w="1140" w:type="dxa"/>
            <w:gridSpan w:val="2"/>
            <w:noWrap w:val="0"/>
            <w:vAlign w:val="center"/>
          </w:tcPr>
          <w:p w14:paraId="37345D97">
            <w:pPr>
              <w:pStyle w:val="24"/>
              <w:bidi w:val="0"/>
              <w:rPr>
                <w:rFonts w:hint="default"/>
                <w:color w:val="auto"/>
                <w:u w:val="none" w:color="auto"/>
                <w:lang w:val="en-US" w:eastAsia="zh-CN"/>
              </w:rPr>
            </w:pPr>
            <w:r>
              <w:rPr>
                <w:rFonts w:hint="eastAsia"/>
                <w:color w:val="auto"/>
                <w:u w:val="none" w:color="auto"/>
                <w:lang w:val="en-US" w:eastAsia="zh-CN"/>
              </w:rPr>
              <w:t>/</w:t>
            </w:r>
          </w:p>
        </w:tc>
        <w:tc>
          <w:tcPr>
            <w:tcW w:w="1065" w:type="dxa"/>
            <w:gridSpan w:val="2"/>
            <w:noWrap w:val="0"/>
            <w:vAlign w:val="center"/>
          </w:tcPr>
          <w:p w14:paraId="2E11668A">
            <w:pPr>
              <w:pStyle w:val="24"/>
              <w:bidi w:val="0"/>
              <w:rPr>
                <w:rFonts w:hint="default"/>
                <w:color w:val="auto"/>
                <w:u w:val="none" w:color="auto"/>
                <w:lang w:val="en-US" w:eastAsia="zh-CN"/>
              </w:rPr>
            </w:pPr>
            <w:r>
              <w:rPr>
                <w:rFonts w:hint="eastAsia"/>
                <w:color w:val="auto"/>
                <w:u w:val="none" w:color="auto"/>
                <w:lang w:val="en-US" w:eastAsia="zh-CN"/>
              </w:rPr>
              <w:t>0.17</w:t>
            </w:r>
          </w:p>
        </w:tc>
        <w:tc>
          <w:tcPr>
            <w:tcW w:w="900" w:type="dxa"/>
            <w:noWrap w:val="0"/>
            <w:vAlign w:val="center"/>
          </w:tcPr>
          <w:p w14:paraId="6F7BF4F2">
            <w:pPr>
              <w:pStyle w:val="24"/>
              <w:bidi w:val="0"/>
              <w:rPr>
                <w:rFonts w:hint="default"/>
                <w:color w:val="auto"/>
                <w:u w:val="none" w:color="auto"/>
                <w:lang w:val="en-US" w:eastAsia="zh-CN"/>
              </w:rPr>
            </w:pPr>
            <w:r>
              <w:rPr>
                <w:rFonts w:hint="eastAsia"/>
                <w:color w:val="auto"/>
                <w:u w:val="none" w:color="auto"/>
                <w:lang w:val="en-US" w:eastAsia="zh-CN"/>
              </w:rPr>
              <w:t>0.408</w:t>
            </w:r>
          </w:p>
        </w:tc>
        <w:tc>
          <w:tcPr>
            <w:tcW w:w="1815" w:type="dxa"/>
            <w:gridSpan w:val="2"/>
            <w:vMerge w:val="continue"/>
            <w:noWrap w:val="0"/>
            <w:vAlign w:val="center"/>
          </w:tcPr>
          <w:p w14:paraId="05D85AB0">
            <w:pPr>
              <w:pStyle w:val="24"/>
              <w:bidi w:val="0"/>
              <w:rPr>
                <w:rFonts w:hint="default"/>
                <w:color w:val="auto"/>
                <w:u w:val="none" w:color="auto"/>
                <w:lang w:val="en-US" w:eastAsia="zh-CN"/>
              </w:rPr>
            </w:pPr>
          </w:p>
        </w:tc>
        <w:tc>
          <w:tcPr>
            <w:tcW w:w="675" w:type="dxa"/>
            <w:vMerge w:val="continue"/>
            <w:noWrap w:val="0"/>
            <w:vAlign w:val="center"/>
          </w:tcPr>
          <w:p w14:paraId="6C9F01AA">
            <w:pPr>
              <w:pStyle w:val="24"/>
              <w:bidi w:val="0"/>
              <w:rPr>
                <w:rFonts w:hint="default"/>
                <w:color w:val="auto"/>
                <w:u w:val="none" w:color="auto"/>
                <w:lang w:val="en-US" w:eastAsia="zh-CN"/>
              </w:rPr>
            </w:pPr>
          </w:p>
        </w:tc>
        <w:tc>
          <w:tcPr>
            <w:tcW w:w="870" w:type="dxa"/>
            <w:vMerge w:val="continue"/>
            <w:noWrap w:val="0"/>
            <w:vAlign w:val="center"/>
          </w:tcPr>
          <w:p w14:paraId="2A337BA6">
            <w:pPr>
              <w:pStyle w:val="24"/>
              <w:bidi w:val="0"/>
              <w:rPr>
                <w:rFonts w:hint="default"/>
                <w:color w:val="auto"/>
                <w:u w:val="none" w:color="auto"/>
                <w:lang w:val="en-US" w:eastAsia="zh-CN"/>
              </w:rPr>
            </w:pPr>
          </w:p>
        </w:tc>
        <w:tc>
          <w:tcPr>
            <w:tcW w:w="1125" w:type="dxa"/>
            <w:gridSpan w:val="2"/>
            <w:noWrap w:val="0"/>
            <w:vAlign w:val="center"/>
          </w:tcPr>
          <w:p w14:paraId="3BACB3B0">
            <w:pPr>
              <w:pStyle w:val="24"/>
              <w:bidi w:val="0"/>
              <w:rPr>
                <w:rFonts w:hint="default"/>
                <w:color w:val="auto"/>
                <w:u w:val="none" w:color="auto"/>
                <w:lang w:val="en-US" w:eastAsia="zh-CN"/>
              </w:rPr>
            </w:pPr>
            <w:r>
              <w:rPr>
                <w:rFonts w:hint="eastAsia"/>
                <w:color w:val="auto"/>
                <w:u w:val="none" w:color="auto"/>
                <w:lang w:val="en-US" w:eastAsia="zh-CN"/>
              </w:rPr>
              <w:t>/</w:t>
            </w:r>
          </w:p>
        </w:tc>
        <w:tc>
          <w:tcPr>
            <w:tcW w:w="1080" w:type="dxa"/>
            <w:gridSpan w:val="2"/>
            <w:noWrap w:val="0"/>
            <w:vAlign w:val="center"/>
          </w:tcPr>
          <w:p w14:paraId="64EE5574">
            <w:pPr>
              <w:pStyle w:val="24"/>
              <w:bidi w:val="0"/>
              <w:rPr>
                <w:rFonts w:hint="default"/>
                <w:color w:val="auto"/>
                <w:u w:val="none" w:color="auto"/>
                <w:lang w:val="en-US" w:eastAsia="zh-CN"/>
              </w:rPr>
            </w:pPr>
            <w:r>
              <w:rPr>
                <w:rFonts w:hint="eastAsia"/>
                <w:color w:val="auto"/>
                <w:u w:val="none" w:color="auto"/>
                <w:lang w:val="en-US" w:eastAsia="zh-CN"/>
              </w:rPr>
              <w:t>0.17</w:t>
            </w:r>
          </w:p>
        </w:tc>
        <w:tc>
          <w:tcPr>
            <w:tcW w:w="900" w:type="dxa"/>
            <w:noWrap w:val="0"/>
            <w:vAlign w:val="center"/>
          </w:tcPr>
          <w:p w14:paraId="05E9D1A3">
            <w:pPr>
              <w:pStyle w:val="24"/>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0.408</w:t>
            </w:r>
          </w:p>
        </w:tc>
        <w:tc>
          <w:tcPr>
            <w:tcW w:w="716" w:type="dxa"/>
            <w:vMerge w:val="continue"/>
            <w:noWrap w:val="0"/>
            <w:vAlign w:val="center"/>
          </w:tcPr>
          <w:p w14:paraId="6E25AC84">
            <w:pPr>
              <w:pStyle w:val="24"/>
              <w:bidi w:val="0"/>
              <w:rPr>
                <w:rFonts w:hint="default"/>
                <w:color w:val="auto"/>
                <w:u w:val="none" w:color="auto"/>
                <w:lang w:val="en-US" w:eastAsia="zh-CN"/>
              </w:rPr>
            </w:pPr>
          </w:p>
        </w:tc>
      </w:tr>
      <w:tr w14:paraId="1818D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69D2E5FA">
            <w:pPr>
              <w:pStyle w:val="24"/>
              <w:bidi w:val="0"/>
              <w:rPr>
                <w:rFonts w:hint="default"/>
                <w:color w:val="auto"/>
                <w:u w:val="none" w:color="auto"/>
                <w:lang w:val="en-US" w:eastAsia="zh-CN"/>
              </w:rPr>
            </w:pPr>
          </w:p>
        </w:tc>
        <w:tc>
          <w:tcPr>
            <w:tcW w:w="885" w:type="dxa"/>
            <w:vMerge w:val="restart"/>
            <w:noWrap w:val="0"/>
            <w:vAlign w:val="center"/>
          </w:tcPr>
          <w:p w14:paraId="66EBC35E">
            <w:pPr>
              <w:pStyle w:val="24"/>
              <w:bidi w:val="0"/>
              <w:rPr>
                <w:rFonts w:hint="default"/>
                <w:color w:val="auto"/>
                <w:u w:val="none" w:color="auto"/>
                <w:lang w:val="en-US" w:eastAsia="zh-CN"/>
              </w:rPr>
            </w:pPr>
            <w:r>
              <w:rPr>
                <w:rFonts w:hint="eastAsia"/>
                <w:color w:val="auto"/>
                <w:u w:val="none" w:color="auto"/>
                <w:lang w:val="en-US" w:eastAsia="zh-CN"/>
              </w:rPr>
              <w:t>二甲苯</w:t>
            </w:r>
          </w:p>
        </w:tc>
        <w:tc>
          <w:tcPr>
            <w:tcW w:w="885" w:type="dxa"/>
            <w:noWrap w:val="0"/>
            <w:vAlign w:val="center"/>
          </w:tcPr>
          <w:p w14:paraId="7328C4A0">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有组织</w:t>
            </w:r>
          </w:p>
        </w:tc>
        <w:tc>
          <w:tcPr>
            <w:tcW w:w="900" w:type="dxa"/>
            <w:vMerge w:val="continue"/>
            <w:noWrap w:val="0"/>
            <w:vAlign w:val="center"/>
          </w:tcPr>
          <w:p w14:paraId="4D7ECFC7">
            <w:pPr>
              <w:pStyle w:val="24"/>
              <w:bidi w:val="0"/>
              <w:rPr>
                <w:rFonts w:hint="default"/>
                <w:color w:val="auto"/>
                <w:u w:val="none" w:color="auto"/>
                <w:lang w:val="en-US" w:eastAsia="zh-CN"/>
              </w:rPr>
            </w:pPr>
          </w:p>
        </w:tc>
        <w:tc>
          <w:tcPr>
            <w:tcW w:w="1140" w:type="dxa"/>
            <w:gridSpan w:val="2"/>
            <w:noWrap w:val="0"/>
            <w:vAlign w:val="center"/>
          </w:tcPr>
          <w:p w14:paraId="257405BB">
            <w:pPr>
              <w:pStyle w:val="24"/>
              <w:bidi w:val="0"/>
              <w:rPr>
                <w:rFonts w:hint="default"/>
                <w:color w:val="auto"/>
                <w:u w:val="none" w:color="auto"/>
                <w:lang w:val="en-US" w:eastAsia="zh-CN"/>
              </w:rPr>
            </w:pPr>
            <w:r>
              <w:rPr>
                <w:rFonts w:hint="eastAsia"/>
                <w:color w:val="auto"/>
                <w:u w:val="none" w:color="auto"/>
                <w:lang w:val="en-US" w:eastAsia="zh-CN"/>
              </w:rPr>
              <w:t>2.841</w:t>
            </w:r>
          </w:p>
        </w:tc>
        <w:tc>
          <w:tcPr>
            <w:tcW w:w="1065" w:type="dxa"/>
            <w:gridSpan w:val="2"/>
            <w:noWrap w:val="0"/>
            <w:vAlign w:val="center"/>
          </w:tcPr>
          <w:p w14:paraId="48AC957E">
            <w:pPr>
              <w:pStyle w:val="24"/>
              <w:bidi w:val="0"/>
              <w:rPr>
                <w:rFonts w:hint="default"/>
                <w:color w:val="auto"/>
                <w:u w:val="none" w:color="auto"/>
                <w:lang w:val="en-US" w:eastAsia="zh-CN"/>
              </w:rPr>
            </w:pPr>
            <w:r>
              <w:rPr>
                <w:rFonts w:hint="eastAsia"/>
                <w:color w:val="auto"/>
                <w:u w:val="none" w:color="auto"/>
                <w:lang w:val="en-US" w:eastAsia="zh-CN"/>
              </w:rPr>
              <w:t>0.114</w:t>
            </w:r>
          </w:p>
        </w:tc>
        <w:tc>
          <w:tcPr>
            <w:tcW w:w="900" w:type="dxa"/>
            <w:noWrap w:val="0"/>
            <w:vAlign w:val="center"/>
          </w:tcPr>
          <w:p w14:paraId="6B0DC256">
            <w:pPr>
              <w:pStyle w:val="24"/>
              <w:bidi w:val="0"/>
              <w:rPr>
                <w:rFonts w:hint="default"/>
                <w:color w:val="auto"/>
                <w:u w:val="none" w:color="auto"/>
                <w:lang w:val="en-US" w:eastAsia="zh-CN"/>
              </w:rPr>
            </w:pPr>
            <w:r>
              <w:rPr>
                <w:rFonts w:hint="eastAsia"/>
                <w:color w:val="auto"/>
                <w:u w:val="none" w:color="auto"/>
                <w:lang w:val="en-US" w:eastAsia="zh-CN"/>
              </w:rPr>
              <w:t>0.545</w:t>
            </w:r>
          </w:p>
        </w:tc>
        <w:tc>
          <w:tcPr>
            <w:tcW w:w="1815" w:type="dxa"/>
            <w:gridSpan w:val="2"/>
            <w:vMerge w:val="continue"/>
            <w:noWrap w:val="0"/>
            <w:vAlign w:val="center"/>
          </w:tcPr>
          <w:p w14:paraId="72EBDD1C">
            <w:pPr>
              <w:pStyle w:val="24"/>
              <w:bidi w:val="0"/>
              <w:rPr>
                <w:rFonts w:hint="default"/>
                <w:color w:val="auto"/>
                <w:u w:val="none" w:color="auto"/>
                <w:lang w:val="en-US" w:eastAsia="zh-CN"/>
              </w:rPr>
            </w:pPr>
          </w:p>
        </w:tc>
        <w:tc>
          <w:tcPr>
            <w:tcW w:w="675" w:type="dxa"/>
            <w:vMerge w:val="restart"/>
            <w:noWrap w:val="0"/>
            <w:vAlign w:val="center"/>
          </w:tcPr>
          <w:p w14:paraId="1A209C99">
            <w:pPr>
              <w:pStyle w:val="24"/>
              <w:bidi w:val="0"/>
              <w:rPr>
                <w:rFonts w:hint="default"/>
                <w:color w:val="auto"/>
                <w:u w:val="none" w:color="auto"/>
                <w:lang w:val="en-US" w:eastAsia="zh-CN"/>
              </w:rPr>
            </w:pPr>
            <w:r>
              <w:rPr>
                <w:rFonts w:hint="eastAsia"/>
                <w:color w:val="auto"/>
                <w:u w:val="none" w:color="auto"/>
                <w:lang w:val="en-US" w:eastAsia="zh-CN"/>
              </w:rPr>
              <w:t>70</w:t>
            </w:r>
          </w:p>
        </w:tc>
        <w:tc>
          <w:tcPr>
            <w:tcW w:w="870" w:type="dxa"/>
            <w:vMerge w:val="continue"/>
            <w:noWrap w:val="0"/>
            <w:vAlign w:val="center"/>
          </w:tcPr>
          <w:p w14:paraId="3FD66AB9">
            <w:pPr>
              <w:pStyle w:val="24"/>
              <w:bidi w:val="0"/>
              <w:rPr>
                <w:rFonts w:hint="default"/>
                <w:color w:val="auto"/>
                <w:u w:val="none" w:color="auto"/>
                <w:lang w:val="en-US" w:eastAsia="zh-CN"/>
              </w:rPr>
            </w:pPr>
          </w:p>
        </w:tc>
        <w:tc>
          <w:tcPr>
            <w:tcW w:w="1125" w:type="dxa"/>
            <w:gridSpan w:val="2"/>
            <w:noWrap w:val="0"/>
            <w:vAlign w:val="center"/>
          </w:tcPr>
          <w:p w14:paraId="3638053C">
            <w:pPr>
              <w:pStyle w:val="24"/>
              <w:bidi w:val="0"/>
              <w:rPr>
                <w:rFonts w:hint="default"/>
                <w:color w:val="auto"/>
                <w:u w:val="none" w:color="auto"/>
                <w:lang w:val="en-US" w:eastAsia="zh-CN"/>
              </w:rPr>
            </w:pPr>
            <w:r>
              <w:rPr>
                <w:rFonts w:hint="eastAsia"/>
                <w:color w:val="auto"/>
                <w:u w:val="none" w:color="auto"/>
                <w:lang w:val="en-US" w:eastAsia="zh-CN"/>
              </w:rPr>
              <w:t>0.852</w:t>
            </w:r>
          </w:p>
        </w:tc>
        <w:tc>
          <w:tcPr>
            <w:tcW w:w="1080" w:type="dxa"/>
            <w:gridSpan w:val="2"/>
            <w:noWrap w:val="0"/>
            <w:vAlign w:val="center"/>
          </w:tcPr>
          <w:p w14:paraId="5EEC988A">
            <w:pPr>
              <w:pStyle w:val="24"/>
              <w:bidi w:val="0"/>
              <w:rPr>
                <w:rFonts w:hint="default"/>
                <w:color w:val="auto"/>
                <w:u w:val="none" w:color="auto"/>
                <w:lang w:val="en-US" w:eastAsia="zh-CN"/>
              </w:rPr>
            </w:pPr>
            <w:r>
              <w:rPr>
                <w:rFonts w:hint="eastAsia"/>
                <w:color w:val="auto"/>
                <w:u w:val="none" w:color="auto"/>
                <w:lang w:val="en-US" w:eastAsia="zh-CN"/>
              </w:rPr>
              <w:t>0.034</w:t>
            </w:r>
          </w:p>
        </w:tc>
        <w:tc>
          <w:tcPr>
            <w:tcW w:w="900" w:type="dxa"/>
            <w:noWrap w:val="0"/>
            <w:vAlign w:val="center"/>
          </w:tcPr>
          <w:p w14:paraId="647C5A95">
            <w:pPr>
              <w:pStyle w:val="24"/>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0.164</w:t>
            </w:r>
          </w:p>
        </w:tc>
        <w:tc>
          <w:tcPr>
            <w:tcW w:w="716" w:type="dxa"/>
            <w:vMerge w:val="continue"/>
            <w:noWrap w:val="0"/>
            <w:vAlign w:val="center"/>
          </w:tcPr>
          <w:p w14:paraId="72F1B7D4">
            <w:pPr>
              <w:pStyle w:val="24"/>
              <w:bidi w:val="0"/>
              <w:rPr>
                <w:rFonts w:hint="default"/>
                <w:color w:val="auto"/>
                <w:u w:val="none" w:color="auto"/>
                <w:lang w:val="en-US" w:eastAsia="zh-CN"/>
              </w:rPr>
            </w:pPr>
          </w:p>
        </w:tc>
      </w:tr>
      <w:tr w14:paraId="73921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02011125">
            <w:pPr>
              <w:pStyle w:val="24"/>
              <w:bidi w:val="0"/>
              <w:rPr>
                <w:rFonts w:hint="default"/>
                <w:color w:val="auto"/>
                <w:u w:val="none" w:color="auto"/>
                <w:lang w:val="en-US" w:eastAsia="zh-CN"/>
              </w:rPr>
            </w:pPr>
          </w:p>
        </w:tc>
        <w:tc>
          <w:tcPr>
            <w:tcW w:w="885" w:type="dxa"/>
            <w:vMerge w:val="continue"/>
            <w:noWrap w:val="0"/>
            <w:vAlign w:val="center"/>
          </w:tcPr>
          <w:p w14:paraId="0D554C1B">
            <w:pPr>
              <w:pStyle w:val="24"/>
              <w:bidi w:val="0"/>
              <w:rPr>
                <w:rFonts w:hint="default"/>
                <w:color w:val="auto"/>
                <w:u w:val="none" w:color="auto"/>
                <w:lang w:val="en-US" w:eastAsia="zh-CN"/>
              </w:rPr>
            </w:pPr>
          </w:p>
        </w:tc>
        <w:tc>
          <w:tcPr>
            <w:tcW w:w="885" w:type="dxa"/>
            <w:noWrap w:val="0"/>
            <w:vAlign w:val="center"/>
          </w:tcPr>
          <w:p w14:paraId="54FE09C7">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无</w:t>
            </w:r>
            <w:r>
              <w:rPr>
                <w:rFonts w:hint="default"/>
                <w:color w:val="auto"/>
                <w:u w:val="none" w:color="auto"/>
                <w:lang w:eastAsia="zh-CN"/>
              </w:rPr>
              <w:t>组织</w:t>
            </w:r>
          </w:p>
        </w:tc>
        <w:tc>
          <w:tcPr>
            <w:tcW w:w="900" w:type="dxa"/>
            <w:vMerge w:val="continue"/>
            <w:noWrap w:val="0"/>
            <w:vAlign w:val="center"/>
          </w:tcPr>
          <w:p w14:paraId="502DDFBA">
            <w:pPr>
              <w:pStyle w:val="24"/>
              <w:bidi w:val="0"/>
              <w:rPr>
                <w:rFonts w:hint="default"/>
                <w:color w:val="auto"/>
                <w:u w:val="none" w:color="auto"/>
                <w:lang w:val="en-US" w:eastAsia="zh-CN"/>
              </w:rPr>
            </w:pPr>
          </w:p>
        </w:tc>
        <w:tc>
          <w:tcPr>
            <w:tcW w:w="1140" w:type="dxa"/>
            <w:gridSpan w:val="2"/>
            <w:noWrap w:val="0"/>
            <w:vAlign w:val="center"/>
          </w:tcPr>
          <w:p w14:paraId="7569E4E1">
            <w:pPr>
              <w:pStyle w:val="24"/>
              <w:bidi w:val="0"/>
              <w:rPr>
                <w:rFonts w:hint="default"/>
                <w:color w:val="auto"/>
                <w:u w:val="none" w:color="auto"/>
                <w:lang w:val="en-US" w:eastAsia="zh-CN"/>
              </w:rPr>
            </w:pPr>
            <w:r>
              <w:rPr>
                <w:rFonts w:hint="eastAsia"/>
                <w:color w:val="auto"/>
                <w:u w:val="none" w:color="auto"/>
                <w:lang w:val="en-US" w:eastAsia="zh-CN"/>
              </w:rPr>
              <w:t>/</w:t>
            </w:r>
          </w:p>
        </w:tc>
        <w:tc>
          <w:tcPr>
            <w:tcW w:w="1065" w:type="dxa"/>
            <w:gridSpan w:val="2"/>
            <w:noWrap w:val="0"/>
            <w:vAlign w:val="center"/>
          </w:tcPr>
          <w:p w14:paraId="6748F6DF">
            <w:pPr>
              <w:pStyle w:val="24"/>
              <w:bidi w:val="0"/>
              <w:rPr>
                <w:rFonts w:hint="default"/>
                <w:color w:val="auto"/>
                <w:u w:val="none" w:color="auto"/>
                <w:lang w:val="en-US" w:eastAsia="zh-CN"/>
              </w:rPr>
            </w:pPr>
            <w:r>
              <w:rPr>
                <w:rFonts w:hint="eastAsia"/>
                <w:color w:val="auto"/>
                <w:u w:val="none" w:color="auto"/>
                <w:lang w:val="en-US" w:eastAsia="zh-CN"/>
              </w:rPr>
              <w:t>0.013</w:t>
            </w:r>
          </w:p>
        </w:tc>
        <w:tc>
          <w:tcPr>
            <w:tcW w:w="900" w:type="dxa"/>
            <w:noWrap w:val="0"/>
            <w:vAlign w:val="center"/>
          </w:tcPr>
          <w:p w14:paraId="5560A51B">
            <w:pPr>
              <w:pStyle w:val="24"/>
              <w:bidi w:val="0"/>
              <w:rPr>
                <w:rFonts w:hint="default"/>
                <w:color w:val="auto"/>
                <w:u w:val="none" w:color="auto"/>
                <w:lang w:val="en-US" w:eastAsia="zh-CN"/>
              </w:rPr>
            </w:pPr>
            <w:r>
              <w:rPr>
                <w:rFonts w:hint="eastAsia"/>
                <w:color w:val="auto"/>
                <w:u w:val="none" w:color="auto"/>
                <w:lang w:val="en-US" w:eastAsia="zh-CN"/>
              </w:rPr>
              <w:t>0.061</w:t>
            </w:r>
          </w:p>
        </w:tc>
        <w:tc>
          <w:tcPr>
            <w:tcW w:w="1815" w:type="dxa"/>
            <w:gridSpan w:val="2"/>
            <w:vMerge w:val="continue"/>
            <w:noWrap w:val="0"/>
            <w:vAlign w:val="center"/>
          </w:tcPr>
          <w:p w14:paraId="39D62555">
            <w:pPr>
              <w:pStyle w:val="24"/>
              <w:bidi w:val="0"/>
              <w:rPr>
                <w:rFonts w:hint="default"/>
                <w:color w:val="auto"/>
                <w:u w:val="none" w:color="auto"/>
                <w:lang w:val="en-US" w:eastAsia="zh-CN"/>
              </w:rPr>
            </w:pPr>
          </w:p>
        </w:tc>
        <w:tc>
          <w:tcPr>
            <w:tcW w:w="675" w:type="dxa"/>
            <w:vMerge w:val="continue"/>
            <w:noWrap w:val="0"/>
            <w:vAlign w:val="center"/>
          </w:tcPr>
          <w:p w14:paraId="5FB0018A">
            <w:pPr>
              <w:pStyle w:val="24"/>
              <w:bidi w:val="0"/>
              <w:rPr>
                <w:rFonts w:hint="default"/>
                <w:color w:val="auto"/>
                <w:u w:val="none" w:color="auto"/>
                <w:lang w:val="en-US" w:eastAsia="zh-CN"/>
              </w:rPr>
            </w:pPr>
          </w:p>
        </w:tc>
        <w:tc>
          <w:tcPr>
            <w:tcW w:w="870" w:type="dxa"/>
            <w:vMerge w:val="continue"/>
            <w:noWrap w:val="0"/>
            <w:vAlign w:val="center"/>
          </w:tcPr>
          <w:p w14:paraId="68598303">
            <w:pPr>
              <w:pStyle w:val="24"/>
              <w:bidi w:val="0"/>
              <w:rPr>
                <w:rFonts w:hint="default"/>
                <w:color w:val="auto"/>
                <w:u w:val="none" w:color="auto"/>
                <w:lang w:val="en-US" w:eastAsia="zh-CN"/>
              </w:rPr>
            </w:pPr>
          </w:p>
        </w:tc>
        <w:tc>
          <w:tcPr>
            <w:tcW w:w="1125" w:type="dxa"/>
            <w:gridSpan w:val="2"/>
            <w:noWrap w:val="0"/>
            <w:vAlign w:val="center"/>
          </w:tcPr>
          <w:p w14:paraId="3E5C2904">
            <w:pPr>
              <w:pStyle w:val="24"/>
              <w:bidi w:val="0"/>
              <w:rPr>
                <w:rFonts w:hint="default"/>
                <w:color w:val="auto"/>
                <w:u w:val="none" w:color="auto"/>
                <w:lang w:val="en-US" w:eastAsia="zh-CN"/>
              </w:rPr>
            </w:pPr>
            <w:r>
              <w:rPr>
                <w:rFonts w:hint="eastAsia"/>
                <w:color w:val="auto"/>
                <w:u w:val="none" w:color="auto"/>
                <w:lang w:val="en-US" w:eastAsia="zh-CN"/>
              </w:rPr>
              <w:t>/</w:t>
            </w:r>
          </w:p>
        </w:tc>
        <w:tc>
          <w:tcPr>
            <w:tcW w:w="1080" w:type="dxa"/>
            <w:gridSpan w:val="2"/>
            <w:noWrap w:val="0"/>
            <w:vAlign w:val="center"/>
          </w:tcPr>
          <w:p w14:paraId="752E1B51">
            <w:pPr>
              <w:pStyle w:val="24"/>
              <w:bidi w:val="0"/>
              <w:rPr>
                <w:rFonts w:hint="default"/>
                <w:color w:val="auto"/>
                <w:u w:val="none" w:color="auto"/>
                <w:lang w:val="en-US" w:eastAsia="zh-CN"/>
              </w:rPr>
            </w:pPr>
            <w:r>
              <w:rPr>
                <w:rFonts w:hint="eastAsia"/>
                <w:color w:val="auto"/>
                <w:u w:val="none" w:color="auto"/>
                <w:lang w:val="en-US" w:eastAsia="zh-CN"/>
              </w:rPr>
              <w:t>0.013</w:t>
            </w:r>
          </w:p>
        </w:tc>
        <w:tc>
          <w:tcPr>
            <w:tcW w:w="900" w:type="dxa"/>
            <w:noWrap w:val="0"/>
            <w:vAlign w:val="center"/>
          </w:tcPr>
          <w:p w14:paraId="75F1B3E2">
            <w:pPr>
              <w:pStyle w:val="24"/>
              <w:bidi w:val="0"/>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0.061</w:t>
            </w:r>
          </w:p>
        </w:tc>
        <w:tc>
          <w:tcPr>
            <w:tcW w:w="716" w:type="dxa"/>
            <w:vMerge w:val="continue"/>
            <w:noWrap w:val="0"/>
            <w:vAlign w:val="center"/>
          </w:tcPr>
          <w:p w14:paraId="1E4AC7F4">
            <w:pPr>
              <w:pStyle w:val="24"/>
              <w:bidi w:val="0"/>
              <w:rPr>
                <w:rFonts w:hint="default"/>
                <w:color w:val="auto"/>
                <w:u w:val="none" w:color="auto"/>
                <w:lang w:val="en-US" w:eastAsia="zh-CN"/>
              </w:rPr>
            </w:pPr>
          </w:p>
        </w:tc>
      </w:tr>
      <w:tr w14:paraId="3D7B8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4E8C4B6E">
            <w:pPr>
              <w:pStyle w:val="24"/>
              <w:bidi w:val="0"/>
              <w:rPr>
                <w:rFonts w:hint="default"/>
                <w:b/>
                <w:bCs/>
                <w:color w:val="auto"/>
                <w:u w:val="none" w:color="auto"/>
                <w:lang w:val="en-US" w:eastAsia="zh-CN"/>
              </w:rPr>
            </w:pPr>
            <w:r>
              <w:rPr>
                <w:rFonts w:hint="default"/>
                <w:b/>
                <w:bCs/>
                <w:color w:val="auto"/>
                <w:u w:val="none" w:color="auto"/>
                <w:lang w:val="en-US" w:eastAsia="zh-CN"/>
              </w:rPr>
              <w:t>污染源</w:t>
            </w:r>
          </w:p>
        </w:tc>
        <w:tc>
          <w:tcPr>
            <w:tcW w:w="1770" w:type="dxa"/>
            <w:gridSpan w:val="2"/>
            <w:vMerge w:val="restart"/>
            <w:noWrap w:val="0"/>
            <w:vAlign w:val="center"/>
          </w:tcPr>
          <w:p w14:paraId="59D5A62D">
            <w:pPr>
              <w:pStyle w:val="24"/>
              <w:bidi w:val="0"/>
              <w:rPr>
                <w:rFonts w:hint="default"/>
                <w:b/>
                <w:bCs/>
                <w:color w:val="auto"/>
                <w:u w:val="none" w:color="auto"/>
                <w:lang w:val="en-US" w:eastAsia="zh-CN"/>
              </w:rPr>
            </w:pPr>
            <w:r>
              <w:rPr>
                <w:rFonts w:hint="default"/>
                <w:b/>
                <w:bCs/>
                <w:color w:val="auto"/>
                <w:u w:val="none" w:color="auto"/>
                <w:lang w:val="en-US" w:eastAsia="zh-CN"/>
              </w:rPr>
              <w:t>污染物</w:t>
            </w:r>
          </w:p>
        </w:tc>
        <w:tc>
          <w:tcPr>
            <w:tcW w:w="4005" w:type="dxa"/>
            <w:gridSpan w:val="6"/>
            <w:noWrap w:val="0"/>
            <w:vAlign w:val="center"/>
          </w:tcPr>
          <w:p w14:paraId="44DB6A7E">
            <w:pPr>
              <w:pStyle w:val="24"/>
              <w:bidi w:val="0"/>
              <w:rPr>
                <w:rFonts w:hint="default"/>
                <w:b/>
                <w:bCs/>
                <w:color w:val="auto"/>
                <w:u w:val="none" w:color="auto"/>
                <w:lang w:val="en-US" w:eastAsia="zh-CN"/>
              </w:rPr>
            </w:pPr>
            <w:r>
              <w:rPr>
                <w:rFonts w:hint="default"/>
                <w:b/>
                <w:bCs/>
                <w:color w:val="auto"/>
                <w:u w:val="none" w:color="auto"/>
                <w:lang w:val="en-US" w:eastAsia="zh-CN"/>
              </w:rPr>
              <w:t>污染物产生</w:t>
            </w:r>
          </w:p>
        </w:tc>
        <w:tc>
          <w:tcPr>
            <w:tcW w:w="2490" w:type="dxa"/>
            <w:gridSpan w:val="3"/>
            <w:vMerge w:val="restart"/>
            <w:noWrap w:val="0"/>
            <w:vAlign w:val="center"/>
          </w:tcPr>
          <w:p w14:paraId="0FB9194B">
            <w:pPr>
              <w:pStyle w:val="24"/>
              <w:bidi w:val="0"/>
              <w:rPr>
                <w:rFonts w:hint="default"/>
                <w:b/>
                <w:bCs/>
                <w:color w:val="auto"/>
                <w:u w:val="none" w:color="auto"/>
                <w:lang w:val="en-US" w:eastAsia="zh-CN"/>
              </w:rPr>
            </w:pPr>
            <w:r>
              <w:rPr>
                <w:rFonts w:hint="default"/>
                <w:b/>
                <w:bCs/>
                <w:color w:val="auto"/>
                <w:u w:val="none" w:color="auto"/>
                <w:lang w:val="en-US" w:eastAsia="zh-CN"/>
              </w:rPr>
              <w:t>治理工艺</w:t>
            </w:r>
          </w:p>
        </w:tc>
        <w:tc>
          <w:tcPr>
            <w:tcW w:w="3975" w:type="dxa"/>
            <w:gridSpan w:val="6"/>
            <w:noWrap w:val="0"/>
            <w:vAlign w:val="center"/>
          </w:tcPr>
          <w:p w14:paraId="279852D8">
            <w:pPr>
              <w:pStyle w:val="24"/>
              <w:bidi w:val="0"/>
              <w:rPr>
                <w:rFonts w:hint="default"/>
                <w:b/>
                <w:bCs/>
                <w:color w:val="auto"/>
                <w:u w:val="none" w:color="auto"/>
                <w:lang w:val="en-US" w:eastAsia="zh-CN"/>
              </w:rPr>
            </w:pPr>
            <w:r>
              <w:rPr>
                <w:rFonts w:hint="default"/>
                <w:b/>
                <w:bCs/>
                <w:color w:val="auto"/>
                <w:u w:val="none" w:color="auto"/>
                <w:lang w:val="en-US" w:eastAsia="zh-CN"/>
              </w:rPr>
              <w:t>污染物排放</w:t>
            </w:r>
          </w:p>
        </w:tc>
        <w:tc>
          <w:tcPr>
            <w:tcW w:w="716" w:type="dxa"/>
            <w:vMerge w:val="restart"/>
            <w:noWrap w:val="0"/>
            <w:vAlign w:val="center"/>
          </w:tcPr>
          <w:p w14:paraId="35D9FAEF">
            <w:pPr>
              <w:pStyle w:val="24"/>
              <w:bidi w:val="0"/>
              <w:rPr>
                <w:rFonts w:hint="default"/>
                <w:b/>
                <w:bCs/>
                <w:color w:val="auto"/>
                <w:u w:val="none" w:color="auto"/>
                <w:lang w:val="en-US" w:eastAsia="zh-CN"/>
              </w:rPr>
            </w:pPr>
            <w:r>
              <w:rPr>
                <w:rFonts w:hint="default"/>
                <w:b/>
                <w:bCs/>
                <w:color w:val="auto"/>
                <w:u w:val="none" w:color="auto"/>
                <w:lang w:val="en-US" w:eastAsia="zh-CN"/>
              </w:rPr>
              <w:t>排放时间（h）</w:t>
            </w:r>
          </w:p>
        </w:tc>
      </w:tr>
      <w:tr w14:paraId="47382B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0C01C8E4">
            <w:pPr>
              <w:pStyle w:val="24"/>
              <w:bidi w:val="0"/>
              <w:rPr>
                <w:rFonts w:hint="default"/>
                <w:b/>
                <w:bCs/>
                <w:color w:val="auto"/>
                <w:u w:val="none" w:color="auto"/>
              </w:rPr>
            </w:pPr>
          </w:p>
        </w:tc>
        <w:tc>
          <w:tcPr>
            <w:tcW w:w="1770" w:type="dxa"/>
            <w:gridSpan w:val="2"/>
            <w:vMerge w:val="continue"/>
            <w:noWrap w:val="0"/>
            <w:vAlign w:val="center"/>
          </w:tcPr>
          <w:p w14:paraId="56356BF2">
            <w:pPr>
              <w:pStyle w:val="24"/>
              <w:bidi w:val="0"/>
              <w:rPr>
                <w:rFonts w:hint="default"/>
                <w:b/>
                <w:bCs/>
                <w:color w:val="auto"/>
                <w:u w:val="none" w:color="auto"/>
              </w:rPr>
            </w:pPr>
          </w:p>
        </w:tc>
        <w:tc>
          <w:tcPr>
            <w:tcW w:w="1175" w:type="dxa"/>
            <w:gridSpan w:val="2"/>
            <w:noWrap w:val="0"/>
            <w:vAlign w:val="center"/>
          </w:tcPr>
          <w:p w14:paraId="53D64B52">
            <w:pPr>
              <w:pStyle w:val="24"/>
              <w:bidi w:val="0"/>
              <w:rPr>
                <w:rFonts w:hint="default"/>
                <w:b/>
                <w:bCs/>
                <w:color w:val="auto"/>
                <w:u w:val="none" w:color="auto"/>
                <w:lang w:val="en-US" w:eastAsia="zh-CN"/>
              </w:rPr>
            </w:pPr>
            <w:r>
              <w:rPr>
                <w:rFonts w:hint="default"/>
                <w:b/>
                <w:bCs/>
                <w:color w:val="auto"/>
                <w:u w:val="none" w:color="auto"/>
              </w:rPr>
              <w:t>产生废水量（m</w:t>
            </w:r>
            <w:r>
              <w:rPr>
                <w:rFonts w:hint="default"/>
                <w:b/>
                <w:bCs/>
                <w:color w:val="auto"/>
                <w:u w:val="none" w:color="auto"/>
                <w:vertAlign w:val="superscript"/>
              </w:rPr>
              <w:t>3</w:t>
            </w:r>
            <w:r>
              <w:rPr>
                <w:rFonts w:hint="default"/>
                <w:b/>
                <w:bCs/>
                <w:color w:val="auto"/>
                <w:u w:val="none" w:color="auto"/>
              </w:rPr>
              <w:t>/a）</w:t>
            </w:r>
          </w:p>
        </w:tc>
        <w:tc>
          <w:tcPr>
            <w:tcW w:w="1350" w:type="dxa"/>
            <w:gridSpan w:val="2"/>
            <w:noWrap w:val="0"/>
            <w:vAlign w:val="center"/>
          </w:tcPr>
          <w:p w14:paraId="4D42534F">
            <w:pPr>
              <w:pStyle w:val="24"/>
              <w:bidi w:val="0"/>
              <w:rPr>
                <w:rFonts w:hint="default"/>
                <w:b/>
                <w:bCs/>
                <w:color w:val="auto"/>
                <w:u w:val="none" w:color="auto"/>
                <w:lang w:val="en-US" w:eastAsia="zh-CN"/>
              </w:rPr>
            </w:pPr>
            <w:r>
              <w:rPr>
                <w:rFonts w:hint="default"/>
                <w:b/>
                <w:bCs/>
                <w:color w:val="auto"/>
                <w:u w:val="none" w:color="auto"/>
              </w:rPr>
              <w:t>产生</w:t>
            </w:r>
            <w:r>
              <w:rPr>
                <w:rFonts w:hint="default"/>
                <w:b/>
                <w:bCs/>
                <w:color w:val="auto"/>
                <w:u w:val="none" w:color="auto"/>
                <w:lang w:val="en-US" w:eastAsia="zh-CN"/>
              </w:rPr>
              <w:t>浓度</w:t>
            </w:r>
            <w:r>
              <w:rPr>
                <w:rFonts w:hint="default"/>
                <w:b/>
                <w:bCs/>
                <w:color w:val="auto"/>
                <w:u w:val="none" w:color="auto"/>
              </w:rPr>
              <w:t>（</w:t>
            </w:r>
            <w:r>
              <w:rPr>
                <w:rFonts w:hint="default"/>
                <w:b/>
                <w:bCs/>
                <w:color w:val="auto"/>
                <w:u w:val="none" w:color="auto"/>
                <w:lang w:val="en-US" w:eastAsia="zh-CN"/>
              </w:rPr>
              <w:t>mg/L</w:t>
            </w:r>
            <w:r>
              <w:rPr>
                <w:rFonts w:hint="default"/>
                <w:b/>
                <w:bCs/>
                <w:color w:val="auto"/>
                <w:u w:val="none" w:color="auto"/>
              </w:rPr>
              <w:t>）</w:t>
            </w:r>
          </w:p>
        </w:tc>
        <w:tc>
          <w:tcPr>
            <w:tcW w:w="1480" w:type="dxa"/>
            <w:gridSpan w:val="2"/>
            <w:noWrap w:val="0"/>
            <w:vAlign w:val="center"/>
          </w:tcPr>
          <w:p w14:paraId="445B58D7">
            <w:pPr>
              <w:pStyle w:val="24"/>
              <w:bidi w:val="0"/>
              <w:rPr>
                <w:rFonts w:hint="default"/>
                <w:b/>
                <w:bCs/>
                <w:color w:val="auto"/>
                <w:u w:val="none" w:color="auto"/>
              </w:rPr>
            </w:pPr>
            <w:r>
              <w:rPr>
                <w:rFonts w:hint="default"/>
                <w:b/>
                <w:bCs/>
                <w:color w:val="auto"/>
                <w:u w:val="none" w:color="auto"/>
              </w:rPr>
              <w:t>产生量（t/a）</w:t>
            </w:r>
          </w:p>
        </w:tc>
        <w:tc>
          <w:tcPr>
            <w:tcW w:w="2490" w:type="dxa"/>
            <w:gridSpan w:val="3"/>
            <w:vMerge w:val="continue"/>
            <w:noWrap w:val="0"/>
            <w:vAlign w:val="center"/>
          </w:tcPr>
          <w:p w14:paraId="6AA40D28">
            <w:pPr>
              <w:pStyle w:val="24"/>
              <w:bidi w:val="0"/>
              <w:rPr>
                <w:rFonts w:hint="default"/>
                <w:b/>
                <w:bCs/>
                <w:color w:val="auto"/>
                <w:u w:val="none" w:color="auto"/>
                <w:lang w:val="en-US" w:eastAsia="zh-CN"/>
              </w:rPr>
            </w:pPr>
          </w:p>
        </w:tc>
        <w:tc>
          <w:tcPr>
            <w:tcW w:w="1400" w:type="dxa"/>
            <w:gridSpan w:val="2"/>
            <w:noWrap w:val="0"/>
            <w:vAlign w:val="center"/>
          </w:tcPr>
          <w:p w14:paraId="0DEC6FEE">
            <w:pPr>
              <w:pStyle w:val="24"/>
              <w:bidi w:val="0"/>
              <w:rPr>
                <w:rFonts w:hint="default"/>
                <w:b/>
                <w:bCs/>
                <w:color w:val="auto"/>
                <w:u w:val="none" w:color="auto"/>
                <w:lang w:val="en-US" w:eastAsia="zh-CN"/>
              </w:rPr>
            </w:pPr>
            <w:r>
              <w:rPr>
                <w:rFonts w:hint="default"/>
                <w:b/>
                <w:bCs/>
                <w:color w:val="auto"/>
                <w:u w:val="none" w:color="auto"/>
              </w:rPr>
              <w:t>排放废水量（m</w:t>
            </w:r>
            <w:r>
              <w:rPr>
                <w:rFonts w:hint="default"/>
                <w:b/>
                <w:bCs/>
                <w:color w:val="auto"/>
                <w:u w:val="none" w:color="auto"/>
                <w:vertAlign w:val="superscript"/>
              </w:rPr>
              <w:t>3</w:t>
            </w:r>
            <w:r>
              <w:rPr>
                <w:rFonts w:hint="default"/>
                <w:b/>
                <w:bCs/>
                <w:color w:val="auto"/>
                <w:u w:val="none" w:color="auto"/>
              </w:rPr>
              <w:t>/a）</w:t>
            </w:r>
          </w:p>
        </w:tc>
        <w:tc>
          <w:tcPr>
            <w:tcW w:w="1251" w:type="dxa"/>
            <w:gridSpan w:val="2"/>
            <w:noWrap w:val="0"/>
            <w:vAlign w:val="center"/>
          </w:tcPr>
          <w:p w14:paraId="26860F19">
            <w:pPr>
              <w:pStyle w:val="24"/>
              <w:bidi w:val="0"/>
              <w:rPr>
                <w:rFonts w:hint="default"/>
                <w:b/>
                <w:bCs/>
                <w:color w:val="auto"/>
                <w:u w:val="none" w:color="auto"/>
                <w:lang w:val="en-US" w:eastAsia="zh-CN"/>
              </w:rPr>
            </w:pPr>
            <w:r>
              <w:rPr>
                <w:rFonts w:hint="default"/>
                <w:b/>
                <w:bCs/>
                <w:color w:val="auto"/>
                <w:u w:val="none" w:color="auto"/>
                <w:lang w:val="en-US" w:eastAsia="zh-CN"/>
              </w:rPr>
              <w:t>排放浓度（mg/L）</w:t>
            </w:r>
          </w:p>
        </w:tc>
        <w:tc>
          <w:tcPr>
            <w:tcW w:w="1324" w:type="dxa"/>
            <w:gridSpan w:val="2"/>
            <w:noWrap w:val="0"/>
            <w:vAlign w:val="center"/>
          </w:tcPr>
          <w:p w14:paraId="6C6DFD33">
            <w:pPr>
              <w:pStyle w:val="24"/>
              <w:bidi w:val="0"/>
              <w:rPr>
                <w:rFonts w:hint="default"/>
                <w:b/>
                <w:bCs/>
                <w:color w:val="auto"/>
                <w:u w:val="none" w:color="auto"/>
                <w:lang w:val="en-US" w:eastAsia="zh-CN"/>
              </w:rPr>
            </w:pPr>
            <w:r>
              <w:rPr>
                <w:rFonts w:hint="default"/>
                <w:b/>
                <w:bCs/>
                <w:color w:val="auto"/>
                <w:u w:val="none" w:color="auto"/>
              </w:rPr>
              <w:t>排放量（t/a）</w:t>
            </w:r>
          </w:p>
        </w:tc>
        <w:tc>
          <w:tcPr>
            <w:tcW w:w="716" w:type="dxa"/>
            <w:vMerge w:val="continue"/>
            <w:noWrap w:val="0"/>
            <w:vAlign w:val="center"/>
          </w:tcPr>
          <w:p w14:paraId="10AEA0B4">
            <w:pPr>
              <w:pStyle w:val="24"/>
              <w:bidi w:val="0"/>
              <w:rPr>
                <w:rFonts w:hint="default"/>
                <w:b/>
                <w:bCs/>
                <w:color w:val="auto"/>
                <w:u w:val="none" w:color="auto"/>
                <w:lang w:val="en-US" w:eastAsia="zh-CN"/>
              </w:rPr>
            </w:pPr>
          </w:p>
        </w:tc>
      </w:tr>
      <w:tr w14:paraId="0E192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29F28D8E">
            <w:pPr>
              <w:pStyle w:val="24"/>
              <w:bidi w:val="0"/>
              <w:rPr>
                <w:rFonts w:hint="default"/>
                <w:color w:val="auto"/>
                <w:u w:val="none" w:color="auto"/>
                <w:lang w:val="en-US" w:eastAsia="zh-CN"/>
              </w:rPr>
            </w:pPr>
            <w:r>
              <w:rPr>
                <w:rFonts w:hint="default"/>
                <w:color w:val="auto"/>
                <w:highlight w:val="none"/>
                <w:u w:val="none" w:color="auto"/>
                <w:lang w:val="en-US" w:eastAsia="zh-CN"/>
              </w:rPr>
              <w:t>生活污水</w:t>
            </w:r>
            <w:r>
              <w:rPr>
                <w:rFonts w:hint="eastAsia"/>
                <w:color w:val="auto"/>
                <w:highlight w:val="none"/>
                <w:u w:val="none" w:color="auto"/>
                <w:lang w:val="en-US" w:eastAsia="zh-CN"/>
              </w:rPr>
              <w:t>（排入外环境）</w:t>
            </w:r>
          </w:p>
        </w:tc>
        <w:tc>
          <w:tcPr>
            <w:tcW w:w="1770" w:type="dxa"/>
            <w:gridSpan w:val="2"/>
            <w:noWrap w:val="0"/>
            <w:vAlign w:val="center"/>
          </w:tcPr>
          <w:p w14:paraId="3A36C607">
            <w:pPr>
              <w:pStyle w:val="24"/>
              <w:bidi w:val="0"/>
              <w:rPr>
                <w:rFonts w:hint="default"/>
                <w:color w:val="auto"/>
                <w:u w:val="none" w:color="auto"/>
                <w:lang w:val="en-US" w:eastAsia="zh-CN"/>
              </w:rPr>
            </w:pPr>
            <w:r>
              <w:rPr>
                <w:rFonts w:hint="default"/>
                <w:color w:val="auto"/>
                <w:u w:val="none" w:color="auto"/>
                <w:lang w:eastAsia="zh-CN"/>
              </w:rPr>
              <w:t>CODcr</w:t>
            </w:r>
          </w:p>
        </w:tc>
        <w:tc>
          <w:tcPr>
            <w:tcW w:w="1175" w:type="dxa"/>
            <w:gridSpan w:val="2"/>
            <w:vMerge w:val="restart"/>
            <w:noWrap w:val="0"/>
            <w:vAlign w:val="center"/>
          </w:tcPr>
          <w:p w14:paraId="5B1D7526">
            <w:pPr>
              <w:pStyle w:val="24"/>
              <w:bidi w:val="0"/>
              <w:rPr>
                <w:rFonts w:hint="default"/>
                <w:color w:val="auto"/>
                <w:u w:val="none" w:color="auto"/>
                <w:lang w:val="en-US" w:eastAsia="zh-CN"/>
              </w:rPr>
            </w:pPr>
            <w:r>
              <w:rPr>
                <w:rFonts w:hint="eastAsia"/>
                <w:color w:val="auto"/>
                <w:u w:val="none" w:color="auto"/>
                <w:lang w:val="en-US" w:eastAsia="zh-CN"/>
              </w:rPr>
              <w:t>2088</w:t>
            </w:r>
          </w:p>
        </w:tc>
        <w:tc>
          <w:tcPr>
            <w:tcW w:w="1350" w:type="dxa"/>
            <w:gridSpan w:val="2"/>
            <w:noWrap w:val="0"/>
            <w:vAlign w:val="center"/>
          </w:tcPr>
          <w:p w14:paraId="41A9E942">
            <w:pPr>
              <w:pStyle w:val="24"/>
              <w:bidi w:val="0"/>
              <w:rPr>
                <w:rFonts w:hint="default"/>
                <w:color w:val="auto"/>
                <w:u w:val="none" w:color="auto"/>
                <w:lang w:val="en-US" w:eastAsia="zh-CN"/>
              </w:rPr>
            </w:pPr>
            <w:r>
              <w:rPr>
                <w:rFonts w:hint="default"/>
                <w:color w:val="auto"/>
                <w:u w:val="none" w:color="auto"/>
                <w:lang w:val="en-US" w:eastAsia="zh-CN"/>
              </w:rPr>
              <w:t>300</w:t>
            </w:r>
          </w:p>
        </w:tc>
        <w:tc>
          <w:tcPr>
            <w:tcW w:w="1480" w:type="dxa"/>
            <w:gridSpan w:val="2"/>
            <w:noWrap w:val="0"/>
            <w:vAlign w:val="center"/>
          </w:tcPr>
          <w:p w14:paraId="6E603505">
            <w:pPr>
              <w:pStyle w:val="24"/>
              <w:bidi w:val="0"/>
              <w:rPr>
                <w:rFonts w:hint="default"/>
                <w:color w:val="auto"/>
                <w:u w:val="none" w:color="auto"/>
                <w:lang w:val="en-US" w:eastAsia="zh-CN"/>
              </w:rPr>
            </w:pPr>
            <w:r>
              <w:rPr>
                <w:rFonts w:hint="eastAsia"/>
                <w:color w:val="auto"/>
                <w:u w:val="none" w:color="auto"/>
                <w:lang w:val="en-US" w:eastAsia="zh-CN"/>
              </w:rPr>
              <w:t>0.626</w:t>
            </w:r>
          </w:p>
        </w:tc>
        <w:tc>
          <w:tcPr>
            <w:tcW w:w="2490" w:type="dxa"/>
            <w:gridSpan w:val="3"/>
            <w:vMerge w:val="restart"/>
            <w:noWrap w:val="0"/>
            <w:vAlign w:val="center"/>
          </w:tcPr>
          <w:p w14:paraId="67998BBF">
            <w:pPr>
              <w:pStyle w:val="24"/>
              <w:bidi w:val="0"/>
              <w:rPr>
                <w:rFonts w:hint="default"/>
                <w:color w:val="auto"/>
                <w:u w:val="none" w:color="auto"/>
                <w:lang w:val="en-US" w:eastAsia="zh-CN"/>
              </w:rPr>
            </w:pPr>
            <w:r>
              <w:rPr>
                <w:rFonts w:hint="default"/>
                <w:color w:val="auto"/>
                <w:u w:val="none" w:color="auto"/>
                <w:lang w:eastAsia="zh-CN"/>
              </w:rPr>
              <w:t>经</w:t>
            </w:r>
            <w:r>
              <w:rPr>
                <w:rFonts w:hint="default"/>
                <w:color w:val="auto"/>
                <w:u w:val="none" w:color="auto"/>
                <w:lang w:val="en-US" w:eastAsia="zh-CN"/>
              </w:rPr>
              <w:t>化粪池</w:t>
            </w:r>
            <w:r>
              <w:rPr>
                <w:rFonts w:hint="default"/>
                <w:color w:val="auto"/>
                <w:u w:val="none" w:color="auto"/>
                <w:lang w:eastAsia="zh-CN"/>
              </w:rPr>
              <w:t>预处理后排入湖南汨罗高新技术产业开发区（循环园区）污水处理厂</w:t>
            </w:r>
          </w:p>
        </w:tc>
        <w:tc>
          <w:tcPr>
            <w:tcW w:w="1400" w:type="dxa"/>
            <w:gridSpan w:val="2"/>
            <w:vMerge w:val="restart"/>
            <w:noWrap w:val="0"/>
            <w:vAlign w:val="center"/>
          </w:tcPr>
          <w:p w14:paraId="57DDC3A8">
            <w:pPr>
              <w:pStyle w:val="24"/>
              <w:bidi w:val="0"/>
              <w:rPr>
                <w:rFonts w:hint="default"/>
                <w:color w:val="auto"/>
                <w:u w:val="none" w:color="auto"/>
                <w:lang w:val="en-US" w:eastAsia="zh-CN"/>
              </w:rPr>
            </w:pPr>
            <w:r>
              <w:rPr>
                <w:rFonts w:hint="eastAsia"/>
                <w:color w:val="auto"/>
                <w:u w:val="none" w:color="auto"/>
                <w:lang w:val="en-US" w:eastAsia="zh-CN"/>
              </w:rPr>
              <w:t>2088</w:t>
            </w:r>
          </w:p>
        </w:tc>
        <w:tc>
          <w:tcPr>
            <w:tcW w:w="1251" w:type="dxa"/>
            <w:gridSpan w:val="2"/>
            <w:noWrap w:val="0"/>
            <w:vAlign w:val="center"/>
          </w:tcPr>
          <w:p w14:paraId="2C7839ED">
            <w:pPr>
              <w:pStyle w:val="24"/>
              <w:bidi w:val="0"/>
              <w:rPr>
                <w:rFonts w:hint="default"/>
                <w:color w:val="auto"/>
                <w:u w:val="none" w:color="auto"/>
                <w:lang w:val="en-US" w:eastAsia="zh-CN"/>
              </w:rPr>
            </w:pPr>
            <w:r>
              <w:rPr>
                <w:rFonts w:hint="default"/>
                <w:color w:val="auto"/>
                <w:u w:val="none" w:color="auto"/>
                <w:lang w:val="en-US" w:eastAsia="zh-CN"/>
              </w:rPr>
              <w:t>30</w:t>
            </w:r>
          </w:p>
        </w:tc>
        <w:tc>
          <w:tcPr>
            <w:tcW w:w="1324" w:type="dxa"/>
            <w:gridSpan w:val="2"/>
            <w:noWrap w:val="0"/>
            <w:vAlign w:val="center"/>
          </w:tcPr>
          <w:p w14:paraId="7472946A">
            <w:pPr>
              <w:pStyle w:val="24"/>
              <w:bidi w:val="0"/>
              <w:rPr>
                <w:rFonts w:hint="default"/>
                <w:color w:val="auto"/>
                <w:u w:val="none" w:color="auto"/>
                <w:lang w:val="en-US" w:eastAsia="zh-CN"/>
              </w:rPr>
            </w:pPr>
            <w:r>
              <w:rPr>
                <w:rFonts w:hint="eastAsia"/>
                <w:color w:val="auto"/>
                <w:u w:val="none" w:color="auto"/>
                <w:lang w:val="en-US" w:eastAsia="zh-CN"/>
              </w:rPr>
              <w:t>0.06264</w:t>
            </w:r>
          </w:p>
        </w:tc>
        <w:tc>
          <w:tcPr>
            <w:tcW w:w="716" w:type="dxa"/>
            <w:vMerge w:val="restart"/>
            <w:noWrap w:val="0"/>
            <w:vAlign w:val="center"/>
          </w:tcPr>
          <w:p w14:paraId="52663158">
            <w:pPr>
              <w:pStyle w:val="24"/>
              <w:bidi w:val="0"/>
              <w:rPr>
                <w:rFonts w:hint="default"/>
                <w:color w:val="auto"/>
                <w:u w:val="none" w:color="auto"/>
                <w:lang w:val="en-US" w:eastAsia="zh-CN"/>
              </w:rPr>
            </w:pPr>
            <w:r>
              <w:rPr>
                <w:rFonts w:hint="eastAsia"/>
                <w:color w:val="auto"/>
                <w:u w:val="none" w:color="auto"/>
                <w:lang w:val="en-US" w:eastAsia="zh-CN"/>
              </w:rPr>
              <w:t>48</w:t>
            </w:r>
            <w:r>
              <w:rPr>
                <w:rFonts w:hint="default"/>
                <w:color w:val="auto"/>
                <w:u w:val="none" w:color="auto"/>
                <w:lang w:val="en-US" w:eastAsia="zh-CN"/>
              </w:rPr>
              <w:t>00</w:t>
            </w:r>
          </w:p>
        </w:tc>
      </w:tr>
      <w:tr w14:paraId="0E4340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324E9B2C">
            <w:pPr>
              <w:pStyle w:val="24"/>
              <w:bidi w:val="0"/>
              <w:rPr>
                <w:rFonts w:hint="default"/>
                <w:color w:val="auto"/>
                <w:u w:val="none" w:color="auto"/>
                <w:lang w:val="en-US" w:eastAsia="zh-CN"/>
              </w:rPr>
            </w:pPr>
          </w:p>
        </w:tc>
        <w:tc>
          <w:tcPr>
            <w:tcW w:w="1770" w:type="dxa"/>
            <w:gridSpan w:val="2"/>
            <w:noWrap w:val="0"/>
            <w:vAlign w:val="center"/>
          </w:tcPr>
          <w:p w14:paraId="3E32927C">
            <w:pPr>
              <w:pStyle w:val="24"/>
              <w:bidi w:val="0"/>
              <w:rPr>
                <w:rFonts w:hint="default"/>
                <w:color w:val="auto"/>
                <w:u w:val="none" w:color="auto"/>
                <w:lang w:val="en-US" w:eastAsia="zh-CN"/>
              </w:rPr>
            </w:pPr>
            <w:r>
              <w:rPr>
                <w:rFonts w:hint="default"/>
                <w:color w:val="auto"/>
                <w:u w:val="none" w:color="auto"/>
                <w:lang w:val="en-US" w:eastAsia="zh-CN"/>
              </w:rPr>
              <w:t>BOD</w:t>
            </w:r>
            <w:r>
              <w:rPr>
                <w:rFonts w:hint="default"/>
                <w:color w:val="auto"/>
                <w:u w:val="none" w:color="auto"/>
                <w:vertAlign w:val="subscript"/>
                <w:lang w:val="en-US" w:eastAsia="zh-CN"/>
              </w:rPr>
              <w:t>5</w:t>
            </w:r>
          </w:p>
        </w:tc>
        <w:tc>
          <w:tcPr>
            <w:tcW w:w="1175" w:type="dxa"/>
            <w:gridSpan w:val="2"/>
            <w:vMerge w:val="continue"/>
            <w:noWrap w:val="0"/>
            <w:vAlign w:val="center"/>
          </w:tcPr>
          <w:p w14:paraId="4D748DFD">
            <w:pPr>
              <w:pStyle w:val="24"/>
              <w:bidi w:val="0"/>
              <w:rPr>
                <w:rFonts w:hint="default"/>
                <w:color w:val="auto"/>
                <w:u w:val="none" w:color="auto"/>
                <w:lang w:val="en-US" w:eastAsia="zh-CN"/>
              </w:rPr>
            </w:pPr>
          </w:p>
        </w:tc>
        <w:tc>
          <w:tcPr>
            <w:tcW w:w="1350" w:type="dxa"/>
            <w:gridSpan w:val="2"/>
            <w:noWrap w:val="0"/>
            <w:vAlign w:val="center"/>
          </w:tcPr>
          <w:p w14:paraId="739DF04F">
            <w:pPr>
              <w:pStyle w:val="24"/>
              <w:bidi w:val="0"/>
              <w:rPr>
                <w:rFonts w:hint="default"/>
                <w:color w:val="auto"/>
                <w:u w:val="none" w:color="auto"/>
                <w:lang w:val="en-US" w:eastAsia="zh-CN"/>
              </w:rPr>
            </w:pPr>
            <w:r>
              <w:rPr>
                <w:rFonts w:hint="eastAsia"/>
                <w:color w:val="auto"/>
                <w:u w:val="none" w:color="auto"/>
                <w:lang w:val="en-US" w:eastAsia="zh-CN"/>
              </w:rPr>
              <w:t>200</w:t>
            </w:r>
          </w:p>
        </w:tc>
        <w:tc>
          <w:tcPr>
            <w:tcW w:w="1480" w:type="dxa"/>
            <w:gridSpan w:val="2"/>
            <w:noWrap w:val="0"/>
            <w:vAlign w:val="center"/>
          </w:tcPr>
          <w:p w14:paraId="7876F659">
            <w:pPr>
              <w:pStyle w:val="24"/>
              <w:bidi w:val="0"/>
              <w:rPr>
                <w:rFonts w:hint="default"/>
                <w:color w:val="auto"/>
                <w:u w:val="none" w:color="auto"/>
                <w:lang w:val="en-US" w:eastAsia="zh-CN"/>
              </w:rPr>
            </w:pPr>
            <w:r>
              <w:rPr>
                <w:rFonts w:hint="eastAsia"/>
                <w:color w:val="auto"/>
                <w:u w:val="none" w:color="auto"/>
                <w:lang w:val="en-US" w:eastAsia="zh-CN"/>
              </w:rPr>
              <w:t>0.418</w:t>
            </w:r>
          </w:p>
        </w:tc>
        <w:tc>
          <w:tcPr>
            <w:tcW w:w="2490" w:type="dxa"/>
            <w:gridSpan w:val="3"/>
            <w:vMerge w:val="continue"/>
            <w:noWrap w:val="0"/>
            <w:vAlign w:val="center"/>
          </w:tcPr>
          <w:p w14:paraId="300E90EE">
            <w:pPr>
              <w:pStyle w:val="24"/>
              <w:bidi w:val="0"/>
              <w:rPr>
                <w:rFonts w:hint="default"/>
                <w:color w:val="auto"/>
                <w:u w:val="none" w:color="auto"/>
                <w:lang w:val="en-US" w:eastAsia="zh-CN"/>
              </w:rPr>
            </w:pPr>
          </w:p>
        </w:tc>
        <w:tc>
          <w:tcPr>
            <w:tcW w:w="1400" w:type="dxa"/>
            <w:gridSpan w:val="2"/>
            <w:vMerge w:val="continue"/>
            <w:noWrap w:val="0"/>
            <w:vAlign w:val="center"/>
          </w:tcPr>
          <w:p w14:paraId="0019292C">
            <w:pPr>
              <w:pStyle w:val="24"/>
              <w:bidi w:val="0"/>
              <w:rPr>
                <w:rFonts w:hint="default"/>
                <w:color w:val="auto"/>
                <w:u w:val="none" w:color="auto"/>
                <w:lang w:val="en-US" w:eastAsia="zh-CN"/>
              </w:rPr>
            </w:pPr>
          </w:p>
        </w:tc>
        <w:tc>
          <w:tcPr>
            <w:tcW w:w="1251" w:type="dxa"/>
            <w:gridSpan w:val="2"/>
            <w:noWrap w:val="0"/>
            <w:vAlign w:val="center"/>
          </w:tcPr>
          <w:p w14:paraId="1FF4A5F6">
            <w:pPr>
              <w:pStyle w:val="24"/>
              <w:bidi w:val="0"/>
              <w:rPr>
                <w:rFonts w:hint="default"/>
                <w:color w:val="auto"/>
                <w:u w:val="none" w:color="auto"/>
                <w:lang w:val="en-US" w:eastAsia="zh-CN"/>
              </w:rPr>
            </w:pPr>
            <w:r>
              <w:rPr>
                <w:rFonts w:hint="default"/>
                <w:color w:val="auto"/>
                <w:u w:val="none" w:color="auto"/>
                <w:lang w:val="en-US" w:eastAsia="zh-CN"/>
              </w:rPr>
              <w:t>10</w:t>
            </w:r>
          </w:p>
        </w:tc>
        <w:tc>
          <w:tcPr>
            <w:tcW w:w="1324" w:type="dxa"/>
            <w:gridSpan w:val="2"/>
            <w:noWrap w:val="0"/>
            <w:vAlign w:val="center"/>
          </w:tcPr>
          <w:p w14:paraId="45B1C203">
            <w:pPr>
              <w:pStyle w:val="24"/>
              <w:bidi w:val="0"/>
              <w:rPr>
                <w:rFonts w:hint="default"/>
                <w:color w:val="auto"/>
                <w:u w:val="none" w:color="auto"/>
                <w:lang w:val="en-US" w:eastAsia="zh-CN"/>
              </w:rPr>
            </w:pPr>
            <w:r>
              <w:rPr>
                <w:rFonts w:hint="eastAsia"/>
                <w:color w:val="auto"/>
                <w:u w:val="none" w:color="auto"/>
                <w:lang w:val="en-US" w:eastAsia="zh-CN"/>
              </w:rPr>
              <w:t>0.02088</w:t>
            </w:r>
          </w:p>
        </w:tc>
        <w:tc>
          <w:tcPr>
            <w:tcW w:w="716" w:type="dxa"/>
            <w:vMerge w:val="continue"/>
            <w:noWrap w:val="0"/>
            <w:vAlign w:val="center"/>
          </w:tcPr>
          <w:p w14:paraId="6AD485DC">
            <w:pPr>
              <w:pStyle w:val="24"/>
              <w:bidi w:val="0"/>
              <w:rPr>
                <w:rFonts w:hint="default"/>
                <w:color w:val="auto"/>
                <w:u w:val="none" w:color="auto"/>
                <w:lang w:val="en-US" w:eastAsia="zh-CN"/>
              </w:rPr>
            </w:pPr>
          </w:p>
        </w:tc>
      </w:tr>
      <w:tr w14:paraId="4566C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7DDD22F2">
            <w:pPr>
              <w:pStyle w:val="24"/>
              <w:bidi w:val="0"/>
              <w:rPr>
                <w:rFonts w:hint="default"/>
                <w:color w:val="auto"/>
                <w:u w:val="none" w:color="auto"/>
                <w:lang w:val="en-US" w:eastAsia="zh-CN"/>
              </w:rPr>
            </w:pPr>
          </w:p>
        </w:tc>
        <w:tc>
          <w:tcPr>
            <w:tcW w:w="1770" w:type="dxa"/>
            <w:gridSpan w:val="2"/>
            <w:noWrap w:val="0"/>
            <w:vAlign w:val="center"/>
          </w:tcPr>
          <w:p w14:paraId="3B63FB58">
            <w:pPr>
              <w:pStyle w:val="24"/>
              <w:bidi w:val="0"/>
              <w:rPr>
                <w:rFonts w:hint="default"/>
                <w:color w:val="auto"/>
                <w:u w:val="none" w:color="auto"/>
                <w:lang w:val="en-US" w:eastAsia="zh-CN"/>
              </w:rPr>
            </w:pPr>
            <w:r>
              <w:rPr>
                <w:rFonts w:hint="default"/>
                <w:color w:val="auto"/>
                <w:u w:val="none" w:color="auto"/>
              </w:rPr>
              <w:t>氨氮</w:t>
            </w:r>
          </w:p>
        </w:tc>
        <w:tc>
          <w:tcPr>
            <w:tcW w:w="1175" w:type="dxa"/>
            <w:gridSpan w:val="2"/>
            <w:vMerge w:val="continue"/>
            <w:noWrap w:val="0"/>
            <w:vAlign w:val="center"/>
          </w:tcPr>
          <w:p w14:paraId="644625B6">
            <w:pPr>
              <w:pStyle w:val="24"/>
              <w:bidi w:val="0"/>
              <w:rPr>
                <w:rFonts w:hint="default"/>
                <w:color w:val="auto"/>
                <w:u w:val="none" w:color="auto"/>
                <w:lang w:val="en-US" w:eastAsia="zh-CN"/>
              </w:rPr>
            </w:pPr>
          </w:p>
        </w:tc>
        <w:tc>
          <w:tcPr>
            <w:tcW w:w="1350" w:type="dxa"/>
            <w:gridSpan w:val="2"/>
            <w:noWrap w:val="0"/>
            <w:vAlign w:val="center"/>
          </w:tcPr>
          <w:p w14:paraId="7A9C2683">
            <w:pPr>
              <w:pStyle w:val="24"/>
              <w:bidi w:val="0"/>
              <w:rPr>
                <w:rFonts w:hint="default"/>
                <w:color w:val="auto"/>
                <w:u w:val="none" w:color="auto"/>
                <w:lang w:val="en-US" w:eastAsia="zh-CN"/>
              </w:rPr>
            </w:pPr>
            <w:r>
              <w:rPr>
                <w:rFonts w:hint="eastAsia"/>
                <w:color w:val="auto"/>
                <w:u w:val="none" w:color="auto"/>
                <w:lang w:val="en-US" w:eastAsia="zh-CN"/>
              </w:rPr>
              <w:t>25</w:t>
            </w:r>
          </w:p>
        </w:tc>
        <w:tc>
          <w:tcPr>
            <w:tcW w:w="1480" w:type="dxa"/>
            <w:gridSpan w:val="2"/>
            <w:noWrap w:val="0"/>
            <w:vAlign w:val="center"/>
          </w:tcPr>
          <w:p w14:paraId="730AFAA5">
            <w:pPr>
              <w:pStyle w:val="24"/>
              <w:bidi w:val="0"/>
              <w:rPr>
                <w:rFonts w:hint="default"/>
                <w:color w:val="auto"/>
                <w:u w:val="none" w:color="auto"/>
                <w:lang w:val="en-US" w:eastAsia="zh-CN"/>
              </w:rPr>
            </w:pPr>
            <w:r>
              <w:rPr>
                <w:rFonts w:hint="eastAsia"/>
                <w:color w:val="auto"/>
                <w:u w:val="none" w:color="auto"/>
                <w:lang w:val="en-US" w:eastAsia="zh-CN"/>
              </w:rPr>
              <w:t>0.052</w:t>
            </w:r>
          </w:p>
        </w:tc>
        <w:tc>
          <w:tcPr>
            <w:tcW w:w="2490" w:type="dxa"/>
            <w:gridSpan w:val="3"/>
            <w:vMerge w:val="continue"/>
            <w:noWrap w:val="0"/>
            <w:vAlign w:val="center"/>
          </w:tcPr>
          <w:p w14:paraId="4C44EE9A">
            <w:pPr>
              <w:pStyle w:val="24"/>
              <w:bidi w:val="0"/>
              <w:rPr>
                <w:rFonts w:hint="default"/>
                <w:color w:val="auto"/>
                <w:u w:val="none" w:color="auto"/>
                <w:lang w:val="en-US" w:eastAsia="zh-CN"/>
              </w:rPr>
            </w:pPr>
          </w:p>
        </w:tc>
        <w:tc>
          <w:tcPr>
            <w:tcW w:w="1400" w:type="dxa"/>
            <w:gridSpan w:val="2"/>
            <w:vMerge w:val="continue"/>
            <w:noWrap w:val="0"/>
            <w:vAlign w:val="center"/>
          </w:tcPr>
          <w:p w14:paraId="5B0A7CE3">
            <w:pPr>
              <w:pStyle w:val="24"/>
              <w:bidi w:val="0"/>
              <w:rPr>
                <w:rFonts w:hint="default"/>
                <w:color w:val="auto"/>
                <w:u w:val="none" w:color="auto"/>
                <w:lang w:val="en-US" w:eastAsia="zh-CN"/>
              </w:rPr>
            </w:pPr>
          </w:p>
        </w:tc>
        <w:tc>
          <w:tcPr>
            <w:tcW w:w="1251" w:type="dxa"/>
            <w:gridSpan w:val="2"/>
            <w:noWrap w:val="0"/>
            <w:vAlign w:val="center"/>
          </w:tcPr>
          <w:p w14:paraId="4AAC5613">
            <w:pPr>
              <w:pStyle w:val="24"/>
              <w:bidi w:val="0"/>
              <w:rPr>
                <w:rFonts w:hint="default"/>
                <w:color w:val="auto"/>
                <w:u w:val="none" w:color="auto"/>
                <w:lang w:val="en-US" w:eastAsia="zh-CN"/>
              </w:rPr>
            </w:pPr>
            <w:r>
              <w:rPr>
                <w:rFonts w:hint="eastAsia"/>
                <w:color w:val="auto"/>
                <w:u w:val="none" w:color="auto"/>
                <w:lang w:val="en-US" w:eastAsia="zh-CN"/>
              </w:rPr>
              <w:t>1.5（3）</w:t>
            </w:r>
          </w:p>
        </w:tc>
        <w:tc>
          <w:tcPr>
            <w:tcW w:w="1324" w:type="dxa"/>
            <w:gridSpan w:val="2"/>
            <w:noWrap w:val="0"/>
            <w:vAlign w:val="center"/>
          </w:tcPr>
          <w:p w14:paraId="2E0D3EBC">
            <w:pPr>
              <w:pStyle w:val="24"/>
              <w:bidi w:val="0"/>
              <w:rPr>
                <w:rFonts w:hint="default"/>
                <w:color w:val="auto"/>
                <w:u w:val="none" w:color="auto"/>
                <w:lang w:val="en-US" w:eastAsia="zh-CN"/>
              </w:rPr>
            </w:pPr>
            <w:r>
              <w:rPr>
                <w:rFonts w:hint="eastAsia"/>
                <w:color w:val="auto"/>
                <w:u w:val="none" w:color="auto"/>
                <w:lang w:val="en-US" w:eastAsia="zh-CN"/>
              </w:rPr>
              <w:t>0.00626</w:t>
            </w:r>
          </w:p>
        </w:tc>
        <w:tc>
          <w:tcPr>
            <w:tcW w:w="716" w:type="dxa"/>
            <w:vMerge w:val="continue"/>
            <w:noWrap w:val="0"/>
            <w:vAlign w:val="center"/>
          </w:tcPr>
          <w:p w14:paraId="3EFF85EB">
            <w:pPr>
              <w:pStyle w:val="24"/>
              <w:bidi w:val="0"/>
              <w:rPr>
                <w:rFonts w:hint="default"/>
                <w:color w:val="auto"/>
                <w:u w:val="none" w:color="auto"/>
                <w:lang w:val="en-US" w:eastAsia="zh-CN"/>
              </w:rPr>
            </w:pPr>
          </w:p>
        </w:tc>
      </w:tr>
      <w:tr w14:paraId="3881A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55FE0F9E">
            <w:pPr>
              <w:pStyle w:val="24"/>
              <w:bidi w:val="0"/>
              <w:rPr>
                <w:rFonts w:hint="default"/>
                <w:color w:val="auto"/>
                <w:u w:val="none" w:color="auto"/>
                <w:lang w:val="en-US" w:eastAsia="zh-CN"/>
              </w:rPr>
            </w:pPr>
          </w:p>
        </w:tc>
        <w:tc>
          <w:tcPr>
            <w:tcW w:w="1770" w:type="dxa"/>
            <w:gridSpan w:val="2"/>
            <w:noWrap w:val="0"/>
            <w:vAlign w:val="center"/>
          </w:tcPr>
          <w:p w14:paraId="02E942DC">
            <w:pPr>
              <w:pStyle w:val="24"/>
              <w:bidi w:val="0"/>
              <w:rPr>
                <w:rFonts w:hint="default"/>
                <w:color w:val="auto"/>
                <w:u w:val="none" w:color="auto"/>
                <w:lang w:val="en-US" w:eastAsia="zh-CN"/>
              </w:rPr>
            </w:pPr>
            <w:r>
              <w:rPr>
                <w:rFonts w:hint="default"/>
                <w:color w:val="auto"/>
                <w:u w:val="none" w:color="auto"/>
                <w:lang w:val="en-US" w:eastAsia="zh-CN"/>
              </w:rPr>
              <w:t>SS</w:t>
            </w:r>
          </w:p>
        </w:tc>
        <w:tc>
          <w:tcPr>
            <w:tcW w:w="1175" w:type="dxa"/>
            <w:gridSpan w:val="2"/>
            <w:vMerge w:val="continue"/>
            <w:noWrap w:val="0"/>
            <w:vAlign w:val="center"/>
          </w:tcPr>
          <w:p w14:paraId="320A53DB">
            <w:pPr>
              <w:pStyle w:val="24"/>
              <w:bidi w:val="0"/>
              <w:rPr>
                <w:rFonts w:hint="default"/>
                <w:color w:val="auto"/>
                <w:u w:val="none" w:color="auto"/>
                <w:lang w:val="en-US" w:eastAsia="zh-CN"/>
              </w:rPr>
            </w:pPr>
          </w:p>
        </w:tc>
        <w:tc>
          <w:tcPr>
            <w:tcW w:w="1350" w:type="dxa"/>
            <w:gridSpan w:val="2"/>
            <w:noWrap w:val="0"/>
            <w:vAlign w:val="center"/>
          </w:tcPr>
          <w:p w14:paraId="7124A899">
            <w:pPr>
              <w:pStyle w:val="24"/>
              <w:bidi w:val="0"/>
              <w:rPr>
                <w:rFonts w:hint="default"/>
                <w:color w:val="auto"/>
                <w:u w:val="none" w:color="auto"/>
                <w:lang w:val="en-US" w:eastAsia="zh-CN"/>
              </w:rPr>
            </w:pPr>
            <w:r>
              <w:rPr>
                <w:rFonts w:hint="eastAsia"/>
                <w:color w:val="auto"/>
                <w:u w:val="none" w:color="auto"/>
                <w:lang w:val="en-US" w:eastAsia="zh-CN"/>
              </w:rPr>
              <w:t>250</w:t>
            </w:r>
          </w:p>
        </w:tc>
        <w:tc>
          <w:tcPr>
            <w:tcW w:w="1480" w:type="dxa"/>
            <w:gridSpan w:val="2"/>
            <w:noWrap w:val="0"/>
            <w:vAlign w:val="center"/>
          </w:tcPr>
          <w:p w14:paraId="1F31B428">
            <w:pPr>
              <w:pStyle w:val="24"/>
              <w:bidi w:val="0"/>
              <w:rPr>
                <w:rFonts w:hint="default"/>
                <w:color w:val="auto"/>
                <w:u w:val="none" w:color="auto"/>
                <w:lang w:val="en-US" w:eastAsia="zh-CN"/>
              </w:rPr>
            </w:pPr>
            <w:r>
              <w:rPr>
                <w:rFonts w:hint="eastAsia"/>
                <w:color w:val="auto"/>
                <w:u w:val="none" w:color="auto"/>
                <w:lang w:val="en-US" w:eastAsia="zh-CN"/>
              </w:rPr>
              <w:t>0.522</w:t>
            </w:r>
          </w:p>
        </w:tc>
        <w:tc>
          <w:tcPr>
            <w:tcW w:w="2490" w:type="dxa"/>
            <w:gridSpan w:val="3"/>
            <w:vMerge w:val="continue"/>
            <w:noWrap w:val="0"/>
            <w:vAlign w:val="center"/>
          </w:tcPr>
          <w:p w14:paraId="744D9217">
            <w:pPr>
              <w:pStyle w:val="24"/>
              <w:bidi w:val="0"/>
              <w:rPr>
                <w:rFonts w:hint="default"/>
                <w:color w:val="auto"/>
                <w:u w:val="none" w:color="auto"/>
                <w:lang w:val="en-US" w:eastAsia="zh-CN"/>
              </w:rPr>
            </w:pPr>
          </w:p>
        </w:tc>
        <w:tc>
          <w:tcPr>
            <w:tcW w:w="1400" w:type="dxa"/>
            <w:gridSpan w:val="2"/>
            <w:vMerge w:val="continue"/>
            <w:noWrap w:val="0"/>
            <w:vAlign w:val="center"/>
          </w:tcPr>
          <w:p w14:paraId="6AD362EF">
            <w:pPr>
              <w:pStyle w:val="24"/>
              <w:bidi w:val="0"/>
              <w:rPr>
                <w:rFonts w:hint="default"/>
                <w:color w:val="auto"/>
                <w:u w:val="none" w:color="auto"/>
                <w:lang w:val="en-US" w:eastAsia="zh-CN"/>
              </w:rPr>
            </w:pPr>
          </w:p>
        </w:tc>
        <w:tc>
          <w:tcPr>
            <w:tcW w:w="1251" w:type="dxa"/>
            <w:gridSpan w:val="2"/>
            <w:noWrap w:val="0"/>
            <w:vAlign w:val="center"/>
          </w:tcPr>
          <w:p w14:paraId="5716BD8B">
            <w:pPr>
              <w:pStyle w:val="24"/>
              <w:bidi w:val="0"/>
              <w:rPr>
                <w:rFonts w:hint="default"/>
                <w:color w:val="auto"/>
                <w:u w:val="none" w:color="auto"/>
                <w:lang w:val="en-US" w:eastAsia="zh-CN"/>
              </w:rPr>
            </w:pPr>
            <w:r>
              <w:rPr>
                <w:rFonts w:hint="eastAsia"/>
                <w:color w:val="auto"/>
                <w:u w:val="none" w:color="auto"/>
                <w:lang w:val="en-US" w:eastAsia="zh-CN"/>
              </w:rPr>
              <w:t>10</w:t>
            </w:r>
          </w:p>
        </w:tc>
        <w:tc>
          <w:tcPr>
            <w:tcW w:w="1324" w:type="dxa"/>
            <w:gridSpan w:val="2"/>
            <w:noWrap w:val="0"/>
            <w:vAlign w:val="center"/>
          </w:tcPr>
          <w:p w14:paraId="29F02019">
            <w:pPr>
              <w:pStyle w:val="24"/>
              <w:bidi w:val="0"/>
              <w:rPr>
                <w:rFonts w:hint="default"/>
                <w:color w:val="auto"/>
                <w:u w:val="none" w:color="auto"/>
                <w:lang w:val="en-US" w:eastAsia="zh-CN"/>
              </w:rPr>
            </w:pPr>
            <w:r>
              <w:rPr>
                <w:rFonts w:hint="eastAsia"/>
                <w:color w:val="auto"/>
                <w:u w:val="none" w:color="auto"/>
                <w:lang w:val="en-US" w:eastAsia="zh-CN"/>
              </w:rPr>
              <w:t>0.02088</w:t>
            </w:r>
          </w:p>
        </w:tc>
        <w:tc>
          <w:tcPr>
            <w:tcW w:w="716" w:type="dxa"/>
            <w:vMerge w:val="continue"/>
            <w:noWrap w:val="0"/>
            <w:vAlign w:val="center"/>
          </w:tcPr>
          <w:p w14:paraId="0194CA3B">
            <w:pPr>
              <w:pStyle w:val="24"/>
              <w:bidi w:val="0"/>
              <w:rPr>
                <w:rFonts w:hint="default"/>
                <w:color w:val="auto"/>
                <w:u w:val="none" w:color="auto"/>
                <w:lang w:val="en-US" w:eastAsia="zh-CN"/>
              </w:rPr>
            </w:pPr>
          </w:p>
        </w:tc>
      </w:tr>
      <w:tr w14:paraId="2E3902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2B4F2663">
            <w:pPr>
              <w:pStyle w:val="24"/>
              <w:bidi w:val="0"/>
              <w:rPr>
                <w:rFonts w:hint="default"/>
                <w:color w:val="auto"/>
                <w:u w:val="none" w:color="auto"/>
                <w:lang w:val="en-US" w:eastAsia="zh-CN"/>
              </w:rPr>
            </w:pPr>
          </w:p>
        </w:tc>
        <w:tc>
          <w:tcPr>
            <w:tcW w:w="1770" w:type="dxa"/>
            <w:gridSpan w:val="2"/>
            <w:noWrap w:val="0"/>
            <w:vAlign w:val="center"/>
          </w:tcPr>
          <w:p w14:paraId="656A8DC3">
            <w:pPr>
              <w:pStyle w:val="24"/>
              <w:bidi w:val="0"/>
              <w:rPr>
                <w:rFonts w:hint="default"/>
                <w:color w:val="auto"/>
                <w:u w:val="none" w:color="auto"/>
                <w:lang w:val="en-US" w:eastAsia="zh-CN"/>
              </w:rPr>
            </w:pPr>
            <w:r>
              <w:rPr>
                <w:rFonts w:hint="default"/>
                <w:color w:val="auto"/>
                <w:u w:val="none" w:color="auto"/>
                <w:lang w:val="en-US" w:eastAsia="zh-CN"/>
              </w:rPr>
              <w:t>动植物油</w:t>
            </w:r>
          </w:p>
        </w:tc>
        <w:tc>
          <w:tcPr>
            <w:tcW w:w="1175" w:type="dxa"/>
            <w:gridSpan w:val="2"/>
            <w:vMerge w:val="continue"/>
            <w:noWrap w:val="0"/>
            <w:vAlign w:val="center"/>
          </w:tcPr>
          <w:p w14:paraId="574AFA33">
            <w:pPr>
              <w:pStyle w:val="24"/>
              <w:bidi w:val="0"/>
              <w:rPr>
                <w:rFonts w:hint="default"/>
                <w:color w:val="auto"/>
                <w:u w:val="none" w:color="auto"/>
                <w:lang w:val="en-US" w:eastAsia="zh-CN"/>
              </w:rPr>
            </w:pPr>
          </w:p>
        </w:tc>
        <w:tc>
          <w:tcPr>
            <w:tcW w:w="1350" w:type="dxa"/>
            <w:gridSpan w:val="2"/>
            <w:noWrap w:val="0"/>
            <w:vAlign w:val="center"/>
          </w:tcPr>
          <w:p w14:paraId="0A1F022B">
            <w:pPr>
              <w:pStyle w:val="24"/>
              <w:bidi w:val="0"/>
              <w:rPr>
                <w:rFonts w:hint="default"/>
                <w:color w:val="auto"/>
                <w:u w:val="none" w:color="auto"/>
                <w:lang w:val="en-US" w:eastAsia="zh-CN"/>
              </w:rPr>
            </w:pPr>
            <w:r>
              <w:rPr>
                <w:rFonts w:hint="default"/>
                <w:color w:val="auto"/>
                <w:u w:val="none" w:color="auto"/>
                <w:lang w:val="en-US" w:eastAsia="zh-CN"/>
              </w:rPr>
              <w:t>100</w:t>
            </w:r>
          </w:p>
        </w:tc>
        <w:tc>
          <w:tcPr>
            <w:tcW w:w="1480" w:type="dxa"/>
            <w:gridSpan w:val="2"/>
            <w:noWrap w:val="0"/>
            <w:vAlign w:val="center"/>
          </w:tcPr>
          <w:p w14:paraId="2379E72C">
            <w:pPr>
              <w:pStyle w:val="24"/>
              <w:bidi w:val="0"/>
              <w:rPr>
                <w:rFonts w:hint="default"/>
                <w:color w:val="auto"/>
                <w:u w:val="none" w:color="auto"/>
                <w:lang w:val="en-US" w:eastAsia="zh-CN"/>
              </w:rPr>
            </w:pPr>
            <w:r>
              <w:rPr>
                <w:rFonts w:hint="eastAsia"/>
                <w:color w:val="auto"/>
                <w:u w:val="none" w:color="auto"/>
                <w:lang w:val="en-US" w:eastAsia="zh-CN"/>
              </w:rPr>
              <w:t>0.209</w:t>
            </w:r>
          </w:p>
        </w:tc>
        <w:tc>
          <w:tcPr>
            <w:tcW w:w="2490" w:type="dxa"/>
            <w:gridSpan w:val="3"/>
            <w:vMerge w:val="continue"/>
            <w:noWrap w:val="0"/>
            <w:vAlign w:val="center"/>
          </w:tcPr>
          <w:p w14:paraId="128228B5">
            <w:pPr>
              <w:pStyle w:val="24"/>
              <w:bidi w:val="0"/>
              <w:rPr>
                <w:rFonts w:hint="default"/>
                <w:color w:val="auto"/>
                <w:u w:val="none" w:color="auto"/>
                <w:lang w:val="en-US" w:eastAsia="zh-CN"/>
              </w:rPr>
            </w:pPr>
          </w:p>
        </w:tc>
        <w:tc>
          <w:tcPr>
            <w:tcW w:w="1400" w:type="dxa"/>
            <w:gridSpan w:val="2"/>
            <w:vMerge w:val="continue"/>
            <w:noWrap w:val="0"/>
            <w:vAlign w:val="center"/>
          </w:tcPr>
          <w:p w14:paraId="692CAAA6">
            <w:pPr>
              <w:pStyle w:val="24"/>
              <w:bidi w:val="0"/>
              <w:rPr>
                <w:rFonts w:hint="default"/>
                <w:color w:val="auto"/>
                <w:u w:val="none" w:color="auto"/>
                <w:lang w:val="en-US" w:eastAsia="zh-CN"/>
              </w:rPr>
            </w:pPr>
          </w:p>
        </w:tc>
        <w:tc>
          <w:tcPr>
            <w:tcW w:w="1251" w:type="dxa"/>
            <w:gridSpan w:val="2"/>
            <w:noWrap w:val="0"/>
            <w:vAlign w:val="center"/>
          </w:tcPr>
          <w:p w14:paraId="1CD0634D">
            <w:pPr>
              <w:pStyle w:val="24"/>
              <w:bidi w:val="0"/>
              <w:rPr>
                <w:rFonts w:hint="default"/>
                <w:color w:val="auto"/>
                <w:u w:val="none" w:color="auto"/>
                <w:lang w:val="en-US" w:eastAsia="zh-CN"/>
              </w:rPr>
            </w:pPr>
            <w:r>
              <w:rPr>
                <w:rFonts w:hint="default"/>
                <w:color w:val="auto"/>
                <w:u w:val="none" w:color="auto"/>
                <w:lang w:val="en-US" w:eastAsia="zh-CN"/>
              </w:rPr>
              <w:t>1</w:t>
            </w:r>
          </w:p>
        </w:tc>
        <w:tc>
          <w:tcPr>
            <w:tcW w:w="1324" w:type="dxa"/>
            <w:gridSpan w:val="2"/>
            <w:noWrap w:val="0"/>
            <w:vAlign w:val="center"/>
          </w:tcPr>
          <w:p w14:paraId="356E4689">
            <w:pPr>
              <w:pStyle w:val="24"/>
              <w:bidi w:val="0"/>
              <w:rPr>
                <w:rFonts w:hint="default"/>
                <w:color w:val="auto"/>
                <w:u w:val="none" w:color="auto"/>
                <w:lang w:val="en-US" w:eastAsia="zh-CN"/>
              </w:rPr>
            </w:pPr>
            <w:r>
              <w:rPr>
                <w:rFonts w:hint="eastAsia"/>
                <w:color w:val="auto"/>
                <w:u w:val="none" w:color="auto"/>
                <w:lang w:val="en-US" w:eastAsia="zh-CN"/>
              </w:rPr>
              <w:t>0.00209</w:t>
            </w:r>
          </w:p>
        </w:tc>
        <w:tc>
          <w:tcPr>
            <w:tcW w:w="716" w:type="dxa"/>
            <w:vMerge w:val="continue"/>
            <w:noWrap w:val="0"/>
            <w:vAlign w:val="center"/>
          </w:tcPr>
          <w:p w14:paraId="22F71C39">
            <w:pPr>
              <w:pStyle w:val="24"/>
              <w:bidi w:val="0"/>
              <w:rPr>
                <w:rFonts w:hint="default"/>
                <w:color w:val="auto"/>
                <w:u w:val="none" w:color="auto"/>
                <w:lang w:val="en-US" w:eastAsia="zh-CN"/>
              </w:rPr>
            </w:pPr>
          </w:p>
        </w:tc>
      </w:tr>
      <w:tr w14:paraId="3BC902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restart"/>
            <w:noWrap w:val="0"/>
            <w:vAlign w:val="center"/>
          </w:tcPr>
          <w:p w14:paraId="2A9140F5">
            <w:pPr>
              <w:pStyle w:val="24"/>
              <w:bidi w:val="0"/>
              <w:rPr>
                <w:rFonts w:hint="default"/>
                <w:color w:val="auto"/>
                <w:u w:val="none" w:color="auto"/>
              </w:rPr>
            </w:pPr>
            <w:r>
              <w:rPr>
                <w:rFonts w:hint="default"/>
                <w:color w:val="auto"/>
                <w:u w:val="none" w:color="auto"/>
              </w:rPr>
              <w:t>固废</w:t>
            </w:r>
          </w:p>
        </w:tc>
        <w:tc>
          <w:tcPr>
            <w:tcW w:w="1770" w:type="dxa"/>
            <w:gridSpan w:val="2"/>
            <w:noWrap w:val="0"/>
            <w:vAlign w:val="center"/>
          </w:tcPr>
          <w:p w14:paraId="4AFB77F7">
            <w:pPr>
              <w:pStyle w:val="24"/>
              <w:bidi w:val="0"/>
              <w:rPr>
                <w:rFonts w:hint="default"/>
                <w:b/>
                <w:bCs/>
                <w:color w:val="auto"/>
                <w:u w:val="none" w:color="auto"/>
              </w:rPr>
            </w:pPr>
            <w:r>
              <w:rPr>
                <w:rFonts w:hint="default"/>
                <w:b/>
                <w:bCs/>
                <w:color w:val="auto"/>
                <w:u w:val="none" w:color="auto"/>
              </w:rPr>
              <w:t>固废种类</w:t>
            </w:r>
          </w:p>
        </w:tc>
        <w:tc>
          <w:tcPr>
            <w:tcW w:w="3105" w:type="dxa"/>
            <w:gridSpan w:val="5"/>
            <w:noWrap w:val="0"/>
            <w:vAlign w:val="center"/>
          </w:tcPr>
          <w:p w14:paraId="4D4C7485">
            <w:pPr>
              <w:pStyle w:val="24"/>
              <w:bidi w:val="0"/>
              <w:rPr>
                <w:rFonts w:hint="default"/>
                <w:b/>
                <w:bCs/>
                <w:color w:val="auto"/>
                <w:u w:val="none" w:color="auto"/>
              </w:rPr>
            </w:pPr>
            <w:r>
              <w:rPr>
                <w:rFonts w:hint="default"/>
                <w:b/>
                <w:bCs/>
                <w:color w:val="auto"/>
                <w:u w:val="none" w:color="auto"/>
              </w:rPr>
              <w:t>固废名称</w:t>
            </w:r>
          </w:p>
        </w:tc>
        <w:tc>
          <w:tcPr>
            <w:tcW w:w="1897" w:type="dxa"/>
            <w:gridSpan w:val="2"/>
            <w:noWrap w:val="0"/>
            <w:vAlign w:val="center"/>
          </w:tcPr>
          <w:p w14:paraId="4F44B662">
            <w:pPr>
              <w:pStyle w:val="24"/>
              <w:bidi w:val="0"/>
              <w:rPr>
                <w:rFonts w:hint="default"/>
                <w:b/>
                <w:bCs/>
                <w:color w:val="auto"/>
                <w:u w:val="none" w:color="auto"/>
              </w:rPr>
            </w:pPr>
            <w:r>
              <w:rPr>
                <w:rFonts w:hint="default"/>
                <w:b/>
                <w:bCs/>
                <w:color w:val="auto"/>
                <w:u w:val="none" w:color="auto"/>
              </w:rPr>
              <w:t>产生量（t/a）</w:t>
            </w:r>
          </w:p>
        </w:tc>
        <w:tc>
          <w:tcPr>
            <w:tcW w:w="2893" w:type="dxa"/>
            <w:gridSpan w:val="4"/>
            <w:noWrap w:val="0"/>
            <w:vAlign w:val="center"/>
          </w:tcPr>
          <w:p w14:paraId="3EEA1F32">
            <w:pPr>
              <w:pStyle w:val="24"/>
              <w:bidi w:val="0"/>
              <w:rPr>
                <w:rFonts w:hint="default"/>
                <w:b/>
                <w:bCs/>
                <w:color w:val="auto"/>
                <w:u w:val="none" w:color="auto"/>
              </w:rPr>
            </w:pPr>
            <w:r>
              <w:rPr>
                <w:rFonts w:hint="default"/>
                <w:b/>
                <w:bCs/>
                <w:color w:val="auto"/>
                <w:u w:val="none" w:color="auto"/>
              </w:rPr>
              <w:t>排放量（t/a）</w:t>
            </w:r>
          </w:p>
        </w:tc>
        <w:tc>
          <w:tcPr>
            <w:tcW w:w="3291" w:type="dxa"/>
            <w:gridSpan w:val="5"/>
            <w:noWrap w:val="0"/>
            <w:vAlign w:val="center"/>
          </w:tcPr>
          <w:p w14:paraId="733FD145">
            <w:pPr>
              <w:pStyle w:val="24"/>
              <w:bidi w:val="0"/>
              <w:rPr>
                <w:rFonts w:hint="default"/>
                <w:b/>
                <w:bCs/>
                <w:color w:val="auto"/>
                <w:u w:val="none" w:color="auto"/>
              </w:rPr>
            </w:pPr>
            <w:r>
              <w:rPr>
                <w:rFonts w:hint="default"/>
                <w:b/>
                <w:bCs/>
                <w:color w:val="auto"/>
                <w:u w:val="none" w:color="auto"/>
              </w:rPr>
              <w:t>处置措施</w:t>
            </w:r>
          </w:p>
        </w:tc>
      </w:tr>
      <w:tr w14:paraId="6DE58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23773711">
            <w:pPr>
              <w:pStyle w:val="24"/>
              <w:bidi w:val="0"/>
              <w:rPr>
                <w:rFonts w:hint="default"/>
                <w:color w:val="auto"/>
                <w:u w:val="none" w:color="auto"/>
              </w:rPr>
            </w:pPr>
          </w:p>
        </w:tc>
        <w:tc>
          <w:tcPr>
            <w:tcW w:w="1770" w:type="dxa"/>
            <w:gridSpan w:val="2"/>
            <w:noWrap w:val="0"/>
            <w:vAlign w:val="center"/>
          </w:tcPr>
          <w:p w14:paraId="4F8859E8">
            <w:pPr>
              <w:pStyle w:val="24"/>
              <w:bidi w:val="0"/>
              <w:rPr>
                <w:rFonts w:hint="default"/>
                <w:color w:val="auto"/>
                <w:u w:val="none" w:color="auto"/>
              </w:rPr>
            </w:pPr>
            <w:r>
              <w:rPr>
                <w:rFonts w:hint="default"/>
                <w:color w:val="auto"/>
                <w:u w:val="none" w:color="auto"/>
              </w:rPr>
              <w:t>员工生活</w:t>
            </w:r>
          </w:p>
        </w:tc>
        <w:tc>
          <w:tcPr>
            <w:tcW w:w="3105" w:type="dxa"/>
            <w:gridSpan w:val="5"/>
            <w:noWrap w:val="0"/>
            <w:vAlign w:val="center"/>
          </w:tcPr>
          <w:p w14:paraId="1986BBF0">
            <w:pPr>
              <w:pStyle w:val="24"/>
              <w:bidi w:val="0"/>
              <w:rPr>
                <w:rFonts w:hint="default"/>
                <w:color w:val="auto"/>
                <w:u w:val="none" w:color="auto"/>
                <w:lang w:val="en-US" w:eastAsia="zh-CN"/>
              </w:rPr>
            </w:pPr>
            <w:r>
              <w:rPr>
                <w:rFonts w:hint="default"/>
                <w:color w:val="auto"/>
                <w:u w:val="none" w:color="auto"/>
                <w:lang w:val="en-US" w:eastAsia="zh-CN"/>
              </w:rPr>
              <w:t>生活垃圾</w:t>
            </w:r>
          </w:p>
        </w:tc>
        <w:tc>
          <w:tcPr>
            <w:tcW w:w="1897" w:type="dxa"/>
            <w:gridSpan w:val="2"/>
            <w:noWrap w:val="0"/>
            <w:vAlign w:val="center"/>
          </w:tcPr>
          <w:p w14:paraId="144CC23A">
            <w:pPr>
              <w:pStyle w:val="24"/>
              <w:bidi w:val="0"/>
              <w:rPr>
                <w:rFonts w:hint="default"/>
                <w:color w:val="auto"/>
                <w:u w:val="none" w:color="auto"/>
                <w:lang w:val="en-US" w:eastAsia="zh-CN"/>
              </w:rPr>
            </w:pPr>
            <w:r>
              <w:rPr>
                <w:rFonts w:hint="eastAsia"/>
                <w:color w:val="auto"/>
                <w:u w:val="none" w:color="auto"/>
                <w:lang w:val="en-US" w:eastAsia="zh-CN"/>
              </w:rPr>
              <w:t>9</w:t>
            </w:r>
          </w:p>
        </w:tc>
        <w:tc>
          <w:tcPr>
            <w:tcW w:w="2893" w:type="dxa"/>
            <w:gridSpan w:val="4"/>
            <w:noWrap w:val="0"/>
            <w:vAlign w:val="center"/>
          </w:tcPr>
          <w:p w14:paraId="67F3440C">
            <w:pPr>
              <w:pStyle w:val="24"/>
              <w:bidi w:val="0"/>
              <w:rPr>
                <w:rFonts w:hint="default"/>
                <w:color w:val="auto"/>
                <w:u w:val="none" w:color="auto"/>
              </w:rPr>
            </w:pPr>
            <w:r>
              <w:rPr>
                <w:rFonts w:hint="default"/>
                <w:color w:val="auto"/>
                <w:u w:val="none" w:color="auto"/>
              </w:rPr>
              <w:t>0</w:t>
            </w:r>
          </w:p>
        </w:tc>
        <w:tc>
          <w:tcPr>
            <w:tcW w:w="3291" w:type="dxa"/>
            <w:gridSpan w:val="5"/>
            <w:noWrap w:val="0"/>
            <w:vAlign w:val="center"/>
          </w:tcPr>
          <w:p w14:paraId="1A4084D1">
            <w:pPr>
              <w:pStyle w:val="24"/>
              <w:bidi w:val="0"/>
              <w:rPr>
                <w:rFonts w:hint="default"/>
                <w:color w:val="auto"/>
                <w:u w:val="none" w:color="auto"/>
              </w:rPr>
            </w:pPr>
            <w:r>
              <w:rPr>
                <w:rFonts w:hint="default"/>
                <w:color w:val="auto"/>
                <w:u w:val="none" w:color="auto"/>
                <w:lang w:val="en-US" w:eastAsia="zh-CN"/>
              </w:rPr>
              <w:t>收集</w:t>
            </w:r>
            <w:r>
              <w:rPr>
                <w:rFonts w:hint="eastAsia"/>
                <w:color w:val="auto"/>
                <w:u w:val="none" w:color="auto"/>
                <w:lang w:val="en-US" w:eastAsia="zh-CN"/>
              </w:rPr>
              <w:t>后交由</w:t>
            </w:r>
            <w:r>
              <w:rPr>
                <w:rFonts w:hint="default"/>
                <w:color w:val="auto"/>
                <w:u w:val="none" w:color="auto"/>
              </w:rPr>
              <w:t>环卫部门清运处置</w:t>
            </w:r>
          </w:p>
        </w:tc>
      </w:tr>
      <w:tr w14:paraId="67847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6EA037C6">
            <w:pPr>
              <w:pStyle w:val="24"/>
              <w:bidi w:val="0"/>
              <w:rPr>
                <w:rFonts w:hint="default"/>
                <w:color w:val="auto"/>
                <w:u w:val="none" w:color="auto"/>
              </w:rPr>
            </w:pPr>
          </w:p>
        </w:tc>
        <w:tc>
          <w:tcPr>
            <w:tcW w:w="1770" w:type="dxa"/>
            <w:gridSpan w:val="2"/>
            <w:vMerge w:val="restart"/>
            <w:noWrap w:val="0"/>
            <w:vAlign w:val="center"/>
          </w:tcPr>
          <w:p w14:paraId="42365EBE">
            <w:pPr>
              <w:pStyle w:val="24"/>
              <w:bidi w:val="0"/>
              <w:rPr>
                <w:rFonts w:hint="default"/>
                <w:color w:val="auto"/>
                <w:u w:val="none" w:color="auto"/>
              </w:rPr>
            </w:pPr>
            <w:r>
              <w:rPr>
                <w:rFonts w:hint="default"/>
                <w:color w:val="auto"/>
                <w:u w:val="none" w:color="auto"/>
              </w:rPr>
              <w:t>一般工业固废</w:t>
            </w:r>
          </w:p>
        </w:tc>
        <w:tc>
          <w:tcPr>
            <w:tcW w:w="3105" w:type="dxa"/>
            <w:gridSpan w:val="5"/>
            <w:noWrap w:val="0"/>
            <w:vAlign w:val="center"/>
          </w:tcPr>
          <w:p w14:paraId="494BCCF6">
            <w:pPr>
              <w:pStyle w:val="24"/>
              <w:bidi w:val="0"/>
              <w:rPr>
                <w:rFonts w:hint="default"/>
                <w:color w:val="auto"/>
                <w:u w:val="none" w:color="auto"/>
                <w:lang w:val="en-US" w:eastAsia="zh-CN"/>
              </w:rPr>
            </w:pPr>
            <w:r>
              <w:rPr>
                <w:rFonts w:hint="eastAsia"/>
                <w:color w:val="auto"/>
                <w:u w:val="none" w:color="auto"/>
                <w:lang w:val="en-US" w:eastAsia="zh-CN"/>
              </w:rPr>
              <w:t>循环沉淀池沉渣</w:t>
            </w:r>
          </w:p>
        </w:tc>
        <w:tc>
          <w:tcPr>
            <w:tcW w:w="1897" w:type="dxa"/>
            <w:gridSpan w:val="2"/>
            <w:noWrap w:val="0"/>
            <w:vAlign w:val="center"/>
          </w:tcPr>
          <w:p w14:paraId="12C5D197">
            <w:pPr>
              <w:pStyle w:val="24"/>
              <w:bidi w:val="0"/>
              <w:rPr>
                <w:rFonts w:hint="default"/>
                <w:color w:val="auto"/>
                <w:u w:val="none" w:color="auto"/>
                <w:lang w:val="en-US" w:eastAsia="zh-CN"/>
              </w:rPr>
            </w:pPr>
            <w:r>
              <w:rPr>
                <w:rFonts w:hint="eastAsia"/>
                <w:color w:val="auto"/>
                <w:u w:val="none" w:color="auto"/>
                <w:lang w:val="en-US" w:eastAsia="zh-CN"/>
              </w:rPr>
              <w:t>0.05</w:t>
            </w:r>
          </w:p>
        </w:tc>
        <w:tc>
          <w:tcPr>
            <w:tcW w:w="2893" w:type="dxa"/>
            <w:gridSpan w:val="4"/>
            <w:noWrap w:val="0"/>
            <w:vAlign w:val="center"/>
          </w:tcPr>
          <w:p w14:paraId="443DAF8B">
            <w:pPr>
              <w:pStyle w:val="24"/>
              <w:bidi w:val="0"/>
              <w:rPr>
                <w:rFonts w:hint="default"/>
                <w:color w:val="auto"/>
                <w:u w:val="none" w:color="auto"/>
                <w:lang w:val="en-US" w:eastAsia="zh-CN"/>
              </w:rPr>
            </w:pPr>
            <w:r>
              <w:rPr>
                <w:rFonts w:hint="default"/>
                <w:color w:val="auto"/>
                <w:u w:val="none" w:color="auto"/>
              </w:rPr>
              <w:t>0</w:t>
            </w:r>
          </w:p>
        </w:tc>
        <w:tc>
          <w:tcPr>
            <w:tcW w:w="3291" w:type="dxa"/>
            <w:gridSpan w:val="5"/>
            <w:noWrap w:val="0"/>
            <w:vAlign w:val="center"/>
          </w:tcPr>
          <w:p w14:paraId="75D9FB66">
            <w:pPr>
              <w:pStyle w:val="24"/>
              <w:bidi w:val="0"/>
              <w:rPr>
                <w:rFonts w:hint="default"/>
                <w:color w:val="auto"/>
                <w:u w:val="none" w:color="auto"/>
                <w:lang w:val="en-US" w:eastAsia="zh-CN"/>
              </w:rPr>
            </w:pPr>
            <w:r>
              <w:rPr>
                <w:rFonts w:hint="eastAsia"/>
                <w:color w:val="auto"/>
                <w:u w:val="none" w:color="auto"/>
                <w:lang w:val="en-US" w:eastAsia="zh-CN"/>
              </w:rPr>
              <w:t>外售综合利用</w:t>
            </w:r>
          </w:p>
        </w:tc>
      </w:tr>
      <w:tr w14:paraId="56D30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9245A34">
            <w:pPr>
              <w:pStyle w:val="24"/>
              <w:bidi w:val="0"/>
              <w:rPr>
                <w:rFonts w:hint="default"/>
                <w:color w:val="auto"/>
                <w:u w:val="none" w:color="auto"/>
              </w:rPr>
            </w:pPr>
          </w:p>
        </w:tc>
        <w:tc>
          <w:tcPr>
            <w:tcW w:w="1770" w:type="dxa"/>
            <w:gridSpan w:val="2"/>
            <w:vMerge w:val="continue"/>
            <w:noWrap w:val="0"/>
            <w:vAlign w:val="center"/>
          </w:tcPr>
          <w:p w14:paraId="65D9A694">
            <w:pPr>
              <w:pStyle w:val="24"/>
              <w:bidi w:val="0"/>
              <w:rPr>
                <w:rFonts w:hint="default"/>
                <w:color w:val="auto"/>
                <w:u w:val="none" w:color="auto"/>
              </w:rPr>
            </w:pPr>
          </w:p>
        </w:tc>
        <w:tc>
          <w:tcPr>
            <w:tcW w:w="3105" w:type="dxa"/>
            <w:gridSpan w:val="5"/>
            <w:noWrap w:val="0"/>
            <w:vAlign w:val="center"/>
          </w:tcPr>
          <w:p w14:paraId="451CDC0C">
            <w:pPr>
              <w:pStyle w:val="24"/>
              <w:bidi w:val="0"/>
              <w:rPr>
                <w:rFonts w:hint="default"/>
                <w:color w:val="auto"/>
                <w:u w:val="none" w:color="auto"/>
                <w:lang w:val="en-US" w:eastAsia="zh-CN"/>
              </w:rPr>
            </w:pPr>
            <w:r>
              <w:rPr>
                <w:rFonts w:hint="eastAsia"/>
                <w:color w:val="auto"/>
                <w:u w:val="none" w:color="auto"/>
                <w:lang w:val="en-US" w:eastAsia="zh-CN"/>
              </w:rPr>
              <w:t>不合格品及边角料</w:t>
            </w:r>
          </w:p>
        </w:tc>
        <w:tc>
          <w:tcPr>
            <w:tcW w:w="1897" w:type="dxa"/>
            <w:gridSpan w:val="2"/>
            <w:noWrap w:val="0"/>
            <w:vAlign w:val="center"/>
          </w:tcPr>
          <w:p w14:paraId="1F5725F7">
            <w:pPr>
              <w:pStyle w:val="24"/>
              <w:bidi w:val="0"/>
              <w:rPr>
                <w:rFonts w:hint="default"/>
                <w:color w:val="auto"/>
                <w:u w:val="none" w:color="auto"/>
                <w:lang w:val="en-US" w:eastAsia="zh-CN"/>
              </w:rPr>
            </w:pPr>
            <w:r>
              <w:rPr>
                <w:rFonts w:hint="eastAsia"/>
                <w:color w:val="auto"/>
                <w:u w:val="none" w:color="auto"/>
                <w:lang w:val="en-US" w:eastAsia="zh-CN"/>
              </w:rPr>
              <w:t>1550</w:t>
            </w:r>
          </w:p>
        </w:tc>
        <w:tc>
          <w:tcPr>
            <w:tcW w:w="2893" w:type="dxa"/>
            <w:gridSpan w:val="4"/>
            <w:noWrap w:val="0"/>
            <w:vAlign w:val="center"/>
          </w:tcPr>
          <w:p w14:paraId="59B48F61">
            <w:pPr>
              <w:pStyle w:val="24"/>
              <w:bidi w:val="0"/>
              <w:rPr>
                <w:rFonts w:hint="default"/>
                <w:color w:val="auto"/>
                <w:u w:val="none" w:color="auto"/>
                <w:lang w:val="en-US" w:eastAsia="zh-CN"/>
              </w:rPr>
            </w:pPr>
            <w:r>
              <w:rPr>
                <w:rFonts w:hint="default"/>
                <w:color w:val="auto"/>
                <w:u w:val="none" w:color="auto"/>
                <w:lang w:val="en-US" w:eastAsia="zh-CN"/>
              </w:rPr>
              <w:t>0</w:t>
            </w:r>
          </w:p>
        </w:tc>
        <w:tc>
          <w:tcPr>
            <w:tcW w:w="3291" w:type="dxa"/>
            <w:gridSpan w:val="5"/>
            <w:vMerge w:val="restart"/>
            <w:noWrap w:val="0"/>
            <w:vAlign w:val="center"/>
          </w:tcPr>
          <w:p w14:paraId="4F34AC01">
            <w:pPr>
              <w:pStyle w:val="24"/>
              <w:bidi w:val="0"/>
              <w:rPr>
                <w:rFonts w:hint="default"/>
                <w:color w:val="auto"/>
                <w:u w:val="none" w:color="auto"/>
                <w:lang w:val="en-US" w:eastAsia="zh-CN"/>
              </w:rPr>
            </w:pPr>
            <w:r>
              <w:rPr>
                <w:rFonts w:hint="eastAsia"/>
                <w:color w:val="auto"/>
                <w:u w:val="none" w:color="auto"/>
                <w:lang w:val="en-US" w:eastAsia="zh-CN"/>
              </w:rPr>
              <w:t>回用于生产</w:t>
            </w:r>
          </w:p>
        </w:tc>
      </w:tr>
      <w:tr w14:paraId="0B59ED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68D2FE80">
            <w:pPr>
              <w:pStyle w:val="24"/>
              <w:bidi w:val="0"/>
              <w:rPr>
                <w:rFonts w:hint="default"/>
                <w:color w:val="auto"/>
                <w:u w:val="none" w:color="auto"/>
              </w:rPr>
            </w:pPr>
          </w:p>
        </w:tc>
        <w:tc>
          <w:tcPr>
            <w:tcW w:w="1770" w:type="dxa"/>
            <w:gridSpan w:val="2"/>
            <w:vMerge w:val="continue"/>
            <w:noWrap w:val="0"/>
            <w:vAlign w:val="center"/>
          </w:tcPr>
          <w:p w14:paraId="33147B41">
            <w:pPr>
              <w:pStyle w:val="24"/>
              <w:bidi w:val="0"/>
              <w:rPr>
                <w:rFonts w:hint="default"/>
                <w:color w:val="auto"/>
                <w:u w:val="none" w:color="auto"/>
              </w:rPr>
            </w:pPr>
          </w:p>
        </w:tc>
        <w:tc>
          <w:tcPr>
            <w:tcW w:w="3105" w:type="dxa"/>
            <w:gridSpan w:val="5"/>
            <w:noWrap w:val="0"/>
            <w:vAlign w:val="center"/>
          </w:tcPr>
          <w:p w14:paraId="7D70546E">
            <w:pPr>
              <w:pStyle w:val="24"/>
              <w:bidi w:val="0"/>
              <w:rPr>
                <w:rFonts w:hint="default"/>
                <w:color w:val="auto"/>
                <w:u w:val="none" w:color="auto"/>
                <w:lang w:val="en-US" w:eastAsia="zh-CN"/>
              </w:rPr>
            </w:pPr>
            <w:r>
              <w:rPr>
                <w:rFonts w:hint="eastAsia"/>
                <w:color w:val="auto"/>
                <w:u w:val="none" w:color="auto"/>
                <w:lang w:val="en-US" w:eastAsia="zh-CN"/>
              </w:rPr>
              <w:t>废膜</w:t>
            </w:r>
          </w:p>
        </w:tc>
        <w:tc>
          <w:tcPr>
            <w:tcW w:w="1897" w:type="dxa"/>
            <w:gridSpan w:val="2"/>
            <w:noWrap w:val="0"/>
            <w:vAlign w:val="center"/>
          </w:tcPr>
          <w:p w14:paraId="7848B515">
            <w:pPr>
              <w:pStyle w:val="24"/>
              <w:bidi w:val="0"/>
              <w:rPr>
                <w:rFonts w:hint="default"/>
                <w:color w:val="auto"/>
                <w:u w:val="none" w:color="auto"/>
                <w:lang w:val="en-US" w:eastAsia="zh-CN"/>
              </w:rPr>
            </w:pPr>
            <w:r>
              <w:rPr>
                <w:rFonts w:hint="eastAsia"/>
                <w:color w:val="auto"/>
                <w:u w:val="none" w:color="auto"/>
                <w:lang w:val="en-US" w:eastAsia="zh-CN"/>
              </w:rPr>
              <w:t>11</w:t>
            </w:r>
          </w:p>
        </w:tc>
        <w:tc>
          <w:tcPr>
            <w:tcW w:w="2893" w:type="dxa"/>
            <w:gridSpan w:val="4"/>
            <w:noWrap w:val="0"/>
            <w:vAlign w:val="center"/>
          </w:tcPr>
          <w:p w14:paraId="7522CE52">
            <w:pPr>
              <w:pStyle w:val="24"/>
              <w:bidi w:val="0"/>
              <w:rPr>
                <w:rFonts w:hint="default"/>
                <w:color w:val="auto"/>
                <w:u w:val="none" w:color="auto"/>
                <w:lang w:val="en-US" w:eastAsia="zh-CN"/>
              </w:rPr>
            </w:pPr>
            <w:r>
              <w:rPr>
                <w:rFonts w:hint="default"/>
                <w:color w:val="auto"/>
                <w:u w:val="none" w:color="auto"/>
                <w:lang w:val="en-US" w:eastAsia="zh-CN"/>
              </w:rPr>
              <w:t>0</w:t>
            </w:r>
          </w:p>
        </w:tc>
        <w:tc>
          <w:tcPr>
            <w:tcW w:w="3291" w:type="dxa"/>
            <w:gridSpan w:val="5"/>
            <w:vMerge w:val="continue"/>
            <w:noWrap w:val="0"/>
            <w:vAlign w:val="center"/>
          </w:tcPr>
          <w:p w14:paraId="02FA29B6">
            <w:pPr>
              <w:pStyle w:val="24"/>
              <w:bidi w:val="0"/>
              <w:rPr>
                <w:rFonts w:hint="default"/>
                <w:color w:val="auto"/>
                <w:u w:val="none" w:color="auto"/>
                <w:lang w:val="en-US" w:eastAsia="zh-CN"/>
              </w:rPr>
            </w:pPr>
          </w:p>
        </w:tc>
      </w:tr>
      <w:tr w14:paraId="3DE2EF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4F49D92">
            <w:pPr>
              <w:pStyle w:val="24"/>
              <w:bidi w:val="0"/>
              <w:rPr>
                <w:rFonts w:hint="default"/>
                <w:color w:val="auto"/>
                <w:u w:val="none" w:color="auto"/>
              </w:rPr>
            </w:pPr>
          </w:p>
        </w:tc>
        <w:tc>
          <w:tcPr>
            <w:tcW w:w="1770" w:type="dxa"/>
            <w:gridSpan w:val="2"/>
            <w:vMerge w:val="continue"/>
            <w:noWrap w:val="0"/>
            <w:vAlign w:val="center"/>
          </w:tcPr>
          <w:p w14:paraId="48A2702E">
            <w:pPr>
              <w:pStyle w:val="24"/>
              <w:bidi w:val="0"/>
              <w:rPr>
                <w:rFonts w:hint="default"/>
                <w:color w:val="auto"/>
                <w:u w:val="none" w:color="auto"/>
              </w:rPr>
            </w:pPr>
          </w:p>
        </w:tc>
        <w:tc>
          <w:tcPr>
            <w:tcW w:w="3105" w:type="dxa"/>
            <w:gridSpan w:val="5"/>
            <w:noWrap w:val="0"/>
            <w:vAlign w:val="center"/>
          </w:tcPr>
          <w:p w14:paraId="3421DCFD">
            <w:pPr>
              <w:pStyle w:val="24"/>
              <w:bidi w:val="0"/>
              <w:rPr>
                <w:rFonts w:hint="default"/>
                <w:color w:val="auto"/>
                <w:u w:val="none" w:color="auto"/>
                <w:lang w:val="en-US" w:eastAsia="zh-CN"/>
              </w:rPr>
            </w:pPr>
            <w:r>
              <w:rPr>
                <w:rFonts w:hint="eastAsia"/>
                <w:color w:val="auto"/>
                <w:u w:val="none" w:color="auto"/>
                <w:lang w:val="en-US" w:eastAsia="zh-CN"/>
              </w:rPr>
              <w:t>除尘系统收集的粉尘</w:t>
            </w:r>
          </w:p>
        </w:tc>
        <w:tc>
          <w:tcPr>
            <w:tcW w:w="1897" w:type="dxa"/>
            <w:gridSpan w:val="2"/>
            <w:noWrap w:val="0"/>
            <w:vAlign w:val="center"/>
          </w:tcPr>
          <w:p w14:paraId="2E76CFBE">
            <w:pPr>
              <w:pStyle w:val="24"/>
              <w:bidi w:val="0"/>
              <w:rPr>
                <w:rFonts w:hint="default"/>
                <w:color w:val="auto"/>
                <w:u w:val="none" w:color="auto"/>
                <w:lang w:val="en-US" w:eastAsia="zh-CN"/>
              </w:rPr>
            </w:pPr>
            <w:r>
              <w:rPr>
                <w:rFonts w:hint="eastAsia"/>
                <w:color w:val="auto"/>
                <w:u w:val="none" w:color="auto"/>
                <w:lang w:val="en-US" w:eastAsia="zh-CN"/>
              </w:rPr>
              <w:t>9.248</w:t>
            </w:r>
          </w:p>
        </w:tc>
        <w:tc>
          <w:tcPr>
            <w:tcW w:w="2893" w:type="dxa"/>
            <w:gridSpan w:val="4"/>
            <w:noWrap w:val="0"/>
            <w:vAlign w:val="center"/>
          </w:tcPr>
          <w:p w14:paraId="04EC1A15">
            <w:pPr>
              <w:pStyle w:val="24"/>
              <w:bidi w:val="0"/>
              <w:rPr>
                <w:rFonts w:hint="default"/>
                <w:color w:val="auto"/>
                <w:u w:val="none" w:color="auto"/>
                <w:lang w:val="en-US" w:eastAsia="zh-CN"/>
              </w:rPr>
            </w:pPr>
            <w:r>
              <w:rPr>
                <w:rFonts w:hint="default"/>
                <w:color w:val="auto"/>
                <w:u w:val="none" w:color="auto"/>
                <w:lang w:val="en-US" w:eastAsia="zh-CN"/>
              </w:rPr>
              <w:t>0</w:t>
            </w:r>
          </w:p>
        </w:tc>
        <w:tc>
          <w:tcPr>
            <w:tcW w:w="3291" w:type="dxa"/>
            <w:gridSpan w:val="5"/>
            <w:vMerge w:val="continue"/>
            <w:noWrap w:val="0"/>
            <w:vAlign w:val="center"/>
          </w:tcPr>
          <w:p w14:paraId="35BD471B">
            <w:pPr>
              <w:pStyle w:val="24"/>
              <w:bidi w:val="0"/>
              <w:rPr>
                <w:rFonts w:hint="default"/>
                <w:color w:val="auto"/>
                <w:u w:val="none" w:color="auto"/>
                <w:lang w:val="en-US" w:eastAsia="zh-CN"/>
              </w:rPr>
            </w:pPr>
          </w:p>
        </w:tc>
      </w:tr>
      <w:tr w14:paraId="5DDBE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75E682E2">
            <w:pPr>
              <w:pStyle w:val="24"/>
              <w:bidi w:val="0"/>
              <w:rPr>
                <w:rFonts w:hint="default"/>
                <w:color w:val="auto"/>
                <w:u w:val="none" w:color="auto"/>
              </w:rPr>
            </w:pPr>
          </w:p>
        </w:tc>
        <w:tc>
          <w:tcPr>
            <w:tcW w:w="1770" w:type="dxa"/>
            <w:gridSpan w:val="2"/>
            <w:vMerge w:val="continue"/>
            <w:noWrap w:val="0"/>
            <w:vAlign w:val="center"/>
          </w:tcPr>
          <w:p w14:paraId="03EA38DA">
            <w:pPr>
              <w:pStyle w:val="24"/>
              <w:bidi w:val="0"/>
              <w:rPr>
                <w:rFonts w:hint="default"/>
                <w:color w:val="auto"/>
                <w:u w:val="none" w:color="auto"/>
              </w:rPr>
            </w:pPr>
          </w:p>
        </w:tc>
        <w:tc>
          <w:tcPr>
            <w:tcW w:w="3105" w:type="dxa"/>
            <w:gridSpan w:val="5"/>
            <w:noWrap w:val="0"/>
            <w:vAlign w:val="center"/>
          </w:tcPr>
          <w:p w14:paraId="7DB27FBB">
            <w:pPr>
              <w:pStyle w:val="24"/>
              <w:bidi w:val="0"/>
              <w:rPr>
                <w:rFonts w:hint="default"/>
                <w:color w:val="auto"/>
                <w:u w:val="none" w:color="auto"/>
                <w:lang w:val="en-US" w:eastAsia="zh-CN"/>
              </w:rPr>
            </w:pPr>
            <w:r>
              <w:rPr>
                <w:rFonts w:hint="eastAsia"/>
                <w:color w:val="auto"/>
                <w:u w:val="none" w:color="auto"/>
                <w:lang w:val="en-US" w:eastAsia="zh-CN"/>
              </w:rPr>
              <w:t>一般性废包装材料</w:t>
            </w:r>
          </w:p>
        </w:tc>
        <w:tc>
          <w:tcPr>
            <w:tcW w:w="1897" w:type="dxa"/>
            <w:gridSpan w:val="2"/>
            <w:noWrap w:val="0"/>
            <w:vAlign w:val="center"/>
          </w:tcPr>
          <w:p w14:paraId="02447F9F">
            <w:pPr>
              <w:pStyle w:val="24"/>
              <w:bidi w:val="0"/>
              <w:rPr>
                <w:rFonts w:hint="default"/>
                <w:color w:val="auto"/>
                <w:u w:val="none" w:color="auto"/>
                <w:lang w:val="en-US" w:eastAsia="zh-CN"/>
              </w:rPr>
            </w:pPr>
            <w:r>
              <w:rPr>
                <w:rFonts w:hint="eastAsia"/>
                <w:color w:val="auto"/>
                <w:u w:val="none" w:color="auto"/>
                <w:lang w:val="en-US" w:eastAsia="zh-CN"/>
              </w:rPr>
              <w:t>5</w:t>
            </w:r>
          </w:p>
        </w:tc>
        <w:tc>
          <w:tcPr>
            <w:tcW w:w="2893" w:type="dxa"/>
            <w:gridSpan w:val="4"/>
            <w:noWrap w:val="0"/>
            <w:vAlign w:val="center"/>
          </w:tcPr>
          <w:p w14:paraId="4E8B1247">
            <w:pPr>
              <w:pStyle w:val="24"/>
              <w:bidi w:val="0"/>
              <w:rPr>
                <w:rFonts w:hint="default"/>
                <w:color w:val="auto"/>
                <w:u w:val="none" w:color="auto"/>
                <w:lang w:val="en-US" w:eastAsia="zh-CN"/>
              </w:rPr>
            </w:pPr>
            <w:r>
              <w:rPr>
                <w:rFonts w:hint="eastAsia"/>
                <w:color w:val="auto"/>
                <w:u w:val="none" w:color="auto"/>
                <w:lang w:val="en-US" w:eastAsia="zh-CN"/>
              </w:rPr>
              <w:t>0</w:t>
            </w:r>
          </w:p>
        </w:tc>
        <w:tc>
          <w:tcPr>
            <w:tcW w:w="3291" w:type="dxa"/>
            <w:gridSpan w:val="5"/>
            <w:noWrap w:val="0"/>
            <w:vAlign w:val="center"/>
          </w:tcPr>
          <w:p w14:paraId="123E4138">
            <w:pPr>
              <w:pStyle w:val="24"/>
              <w:bidi w:val="0"/>
              <w:rPr>
                <w:rFonts w:hint="default"/>
                <w:color w:val="auto"/>
                <w:u w:val="none" w:color="auto"/>
                <w:lang w:val="en-US" w:eastAsia="zh-CN"/>
              </w:rPr>
            </w:pPr>
            <w:r>
              <w:rPr>
                <w:rFonts w:hint="default"/>
                <w:color w:val="auto"/>
                <w:u w:val="none" w:color="auto"/>
                <w:lang w:val="en-US" w:eastAsia="zh-CN"/>
              </w:rPr>
              <w:t>其他包装材料收集后外售综合利用、水性胶粘剂包装桶收集后由厂家回收利用</w:t>
            </w:r>
          </w:p>
        </w:tc>
      </w:tr>
      <w:tr w14:paraId="43DB7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0BB6BC82">
            <w:pPr>
              <w:pStyle w:val="24"/>
              <w:bidi w:val="0"/>
              <w:rPr>
                <w:rFonts w:hint="default"/>
                <w:color w:val="auto"/>
                <w:u w:val="none" w:color="auto"/>
              </w:rPr>
            </w:pPr>
          </w:p>
        </w:tc>
        <w:tc>
          <w:tcPr>
            <w:tcW w:w="1770" w:type="dxa"/>
            <w:gridSpan w:val="2"/>
            <w:vMerge w:val="restart"/>
            <w:noWrap w:val="0"/>
            <w:vAlign w:val="center"/>
          </w:tcPr>
          <w:p w14:paraId="7360124B">
            <w:pPr>
              <w:pStyle w:val="24"/>
              <w:bidi w:val="0"/>
              <w:rPr>
                <w:rFonts w:hint="default"/>
                <w:color w:val="auto"/>
                <w:u w:val="none" w:color="auto"/>
              </w:rPr>
            </w:pPr>
            <w:r>
              <w:rPr>
                <w:rFonts w:hint="default"/>
                <w:color w:val="auto"/>
                <w:u w:val="none" w:color="auto"/>
                <w:lang w:val="en-US" w:eastAsia="zh-CN"/>
              </w:rPr>
              <w:t>危险废物</w:t>
            </w:r>
          </w:p>
        </w:tc>
        <w:tc>
          <w:tcPr>
            <w:tcW w:w="3105" w:type="dxa"/>
            <w:gridSpan w:val="5"/>
            <w:noWrap w:val="0"/>
            <w:vAlign w:val="center"/>
          </w:tcPr>
          <w:p w14:paraId="00311A5B">
            <w:pPr>
              <w:pStyle w:val="24"/>
              <w:bidi w:val="0"/>
              <w:rPr>
                <w:rFonts w:hint="default"/>
                <w:color w:val="auto"/>
                <w:u w:val="none" w:color="auto"/>
                <w:lang w:val="en-US" w:eastAsia="zh-CN"/>
              </w:rPr>
            </w:pPr>
            <w:r>
              <w:rPr>
                <w:rFonts w:hint="eastAsia"/>
                <w:color w:val="auto"/>
                <w:u w:val="none" w:color="auto"/>
                <w:lang w:val="en-US" w:eastAsia="zh-CN"/>
              </w:rPr>
              <w:t>溶剂型胶粘剂包装桶</w:t>
            </w:r>
          </w:p>
        </w:tc>
        <w:tc>
          <w:tcPr>
            <w:tcW w:w="1897" w:type="dxa"/>
            <w:gridSpan w:val="2"/>
            <w:noWrap w:val="0"/>
            <w:vAlign w:val="center"/>
          </w:tcPr>
          <w:p w14:paraId="0C587F37">
            <w:pPr>
              <w:pStyle w:val="24"/>
              <w:bidi w:val="0"/>
              <w:rPr>
                <w:rFonts w:hint="default"/>
                <w:color w:val="auto"/>
                <w:u w:val="none" w:color="auto"/>
                <w:lang w:val="en-US" w:eastAsia="zh-CN"/>
              </w:rPr>
            </w:pPr>
            <w:r>
              <w:rPr>
                <w:rFonts w:hint="eastAsia"/>
                <w:color w:val="auto"/>
                <w:u w:val="none" w:color="auto"/>
                <w:lang w:val="en-US" w:eastAsia="zh-CN"/>
              </w:rPr>
              <w:t>0.152</w:t>
            </w:r>
          </w:p>
        </w:tc>
        <w:tc>
          <w:tcPr>
            <w:tcW w:w="2893" w:type="dxa"/>
            <w:gridSpan w:val="4"/>
            <w:noWrap w:val="0"/>
            <w:vAlign w:val="center"/>
          </w:tcPr>
          <w:p w14:paraId="14FEC0B4">
            <w:pPr>
              <w:pStyle w:val="24"/>
              <w:bidi w:val="0"/>
              <w:rPr>
                <w:rFonts w:hint="default"/>
                <w:color w:val="auto"/>
                <w:u w:val="none" w:color="auto"/>
                <w:lang w:val="en-US" w:eastAsia="zh-CN"/>
              </w:rPr>
            </w:pPr>
            <w:r>
              <w:rPr>
                <w:rFonts w:hint="default"/>
                <w:color w:val="auto"/>
                <w:u w:val="none" w:color="auto"/>
                <w:lang w:val="en-US" w:eastAsia="zh-CN"/>
              </w:rPr>
              <w:t>0</w:t>
            </w:r>
          </w:p>
        </w:tc>
        <w:tc>
          <w:tcPr>
            <w:tcW w:w="3291" w:type="dxa"/>
            <w:gridSpan w:val="5"/>
            <w:vMerge w:val="restart"/>
            <w:noWrap w:val="0"/>
            <w:vAlign w:val="center"/>
          </w:tcPr>
          <w:p w14:paraId="3B08F0EE">
            <w:pPr>
              <w:pStyle w:val="24"/>
              <w:bidi w:val="0"/>
              <w:rPr>
                <w:rFonts w:hint="default"/>
                <w:color w:val="auto"/>
                <w:u w:val="none" w:color="auto"/>
                <w:lang w:val="en-US" w:eastAsia="zh-CN"/>
              </w:rPr>
            </w:pPr>
            <w:r>
              <w:rPr>
                <w:rFonts w:hint="default"/>
                <w:color w:val="auto"/>
                <w:u w:val="none" w:color="auto"/>
                <w:lang w:val="en-US" w:eastAsia="zh-CN"/>
              </w:rPr>
              <w:t>收集后暂存于危废间，定期</w:t>
            </w:r>
            <w:r>
              <w:rPr>
                <w:rFonts w:hint="default"/>
                <w:color w:val="auto"/>
                <w:u w:val="none" w:color="auto"/>
              </w:rPr>
              <w:t>交由有危废处理资质单位统一处理</w:t>
            </w:r>
          </w:p>
        </w:tc>
      </w:tr>
      <w:tr w14:paraId="66317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44378DED">
            <w:pPr>
              <w:pStyle w:val="24"/>
              <w:bidi w:val="0"/>
              <w:rPr>
                <w:rFonts w:hint="default"/>
                <w:color w:val="auto"/>
                <w:u w:val="none" w:color="auto"/>
              </w:rPr>
            </w:pPr>
          </w:p>
        </w:tc>
        <w:tc>
          <w:tcPr>
            <w:tcW w:w="1770" w:type="dxa"/>
            <w:gridSpan w:val="2"/>
            <w:vMerge w:val="continue"/>
            <w:noWrap w:val="0"/>
            <w:vAlign w:val="center"/>
          </w:tcPr>
          <w:p w14:paraId="4B1FDC31">
            <w:pPr>
              <w:pStyle w:val="24"/>
              <w:bidi w:val="0"/>
              <w:rPr>
                <w:rFonts w:hint="default"/>
                <w:color w:val="auto"/>
                <w:u w:val="none" w:color="auto"/>
                <w:lang w:val="en-US" w:eastAsia="zh-CN"/>
              </w:rPr>
            </w:pPr>
          </w:p>
        </w:tc>
        <w:tc>
          <w:tcPr>
            <w:tcW w:w="3105" w:type="dxa"/>
            <w:gridSpan w:val="5"/>
            <w:noWrap w:val="0"/>
            <w:vAlign w:val="center"/>
          </w:tcPr>
          <w:p w14:paraId="1D0FF5EC">
            <w:pPr>
              <w:pStyle w:val="24"/>
              <w:bidi w:val="0"/>
              <w:rPr>
                <w:rFonts w:hint="default"/>
                <w:color w:val="auto"/>
                <w:u w:val="none" w:color="auto"/>
                <w:lang w:val="en-US" w:eastAsia="zh-CN"/>
              </w:rPr>
            </w:pPr>
            <w:r>
              <w:rPr>
                <w:rFonts w:hint="eastAsia"/>
                <w:color w:val="auto"/>
                <w:u w:val="none" w:color="auto"/>
                <w:lang w:val="en-US" w:eastAsia="zh-CN"/>
              </w:rPr>
              <w:t>废矿物油</w:t>
            </w:r>
          </w:p>
        </w:tc>
        <w:tc>
          <w:tcPr>
            <w:tcW w:w="1897" w:type="dxa"/>
            <w:gridSpan w:val="2"/>
            <w:noWrap w:val="0"/>
            <w:vAlign w:val="center"/>
          </w:tcPr>
          <w:p w14:paraId="37D6E9BB">
            <w:pPr>
              <w:pStyle w:val="24"/>
              <w:bidi w:val="0"/>
              <w:rPr>
                <w:rFonts w:hint="default"/>
                <w:color w:val="auto"/>
                <w:u w:val="none" w:color="auto"/>
                <w:lang w:val="en-US" w:eastAsia="zh-CN"/>
              </w:rPr>
            </w:pPr>
            <w:r>
              <w:rPr>
                <w:rFonts w:hint="eastAsia"/>
                <w:color w:val="auto"/>
                <w:u w:val="none" w:color="auto"/>
                <w:lang w:val="en-US" w:eastAsia="zh-CN"/>
              </w:rPr>
              <w:t>0.1</w:t>
            </w:r>
          </w:p>
        </w:tc>
        <w:tc>
          <w:tcPr>
            <w:tcW w:w="2893" w:type="dxa"/>
            <w:gridSpan w:val="4"/>
            <w:noWrap w:val="0"/>
            <w:vAlign w:val="center"/>
          </w:tcPr>
          <w:p w14:paraId="0A1B10CF">
            <w:pPr>
              <w:pStyle w:val="24"/>
              <w:bidi w:val="0"/>
              <w:rPr>
                <w:rFonts w:hint="default"/>
                <w:color w:val="auto"/>
                <w:u w:val="none" w:color="auto"/>
                <w:lang w:val="en-US" w:eastAsia="zh-CN"/>
              </w:rPr>
            </w:pPr>
            <w:r>
              <w:rPr>
                <w:rFonts w:hint="default"/>
                <w:color w:val="auto"/>
                <w:u w:val="none" w:color="auto"/>
                <w:lang w:val="en-US" w:eastAsia="zh-CN"/>
              </w:rPr>
              <w:t>0</w:t>
            </w:r>
          </w:p>
        </w:tc>
        <w:tc>
          <w:tcPr>
            <w:tcW w:w="3291" w:type="dxa"/>
            <w:gridSpan w:val="5"/>
            <w:vMerge w:val="continue"/>
            <w:noWrap w:val="0"/>
            <w:vAlign w:val="center"/>
          </w:tcPr>
          <w:p w14:paraId="0C4643E7">
            <w:pPr>
              <w:pStyle w:val="24"/>
              <w:bidi w:val="0"/>
              <w:rPr>
                <w:rFonts w:hint="default"/>
                <w:color w:val="auto"/>
                <w:u w:val="none" w:color="auto"/>
                <w:lang w:val="en-US" w:eastAsia="zh-CN"/>
              </w:rPr>
            </w:pPr>
          </w:p>
        </w:tc>
      </w:tr>
      <w:tr w14:paraId="0ED18D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vMerge w:val="continue"/>
            <w:noWrap w:val="0"/>
            <w:vAlign w:val="center"/>
          </w:tcPr>
          <w:p w14:paraId="2CF26075">
            <w:pPr>
              <w:pStyle w:val="24"/>
              <w:bidi w:val="0"/>
              <w:rPr>
                <w:rFonts w:hint="default"/>
                <w:color w:val="auto"/>
                <w:u w:val="none" w:color="auto"/>
              </w:rPr>
            </w:pPr>
          </w:p>
        </w:tc>
        <w:tc>
          <w:tcPr>
            <w:tcW w:w="1770" w:type="dxa"/>
            <w:gridSpan w:val="2"/>
            <w:vMerge w:val="continue"/>
            <w:noWrap w:val="0"/>
            <w:vAlign w:val="center"/>
          </w:tcPr>
          <w:p w14:paraId="088D4835">
            <w:pPr>
              <w:pStyle w:val="24"/>
              <w:bidi w:val="0"/>
              <w:rPr>
                <w:rFonts w:hint="default"/>
                <w:color w:val="auto"/>
                <w:u w:val="none" w:color="auto"/>
                <w:lang w:val="en-US" w:eastAsia="zh-CN"/>
              </w:rPr>
            </w:pPr>
          </w:p>
        </w:tc>
        <w:tc>
          <w:tcPr>
            <w:tcW w:w="3105" w:type="dxa"/>
            <w:gridSpan w:val="5"/>
            <w:noWrap w:val="0"/>
            <w:vAlign w:val="center"/>
          </w:tcPr>
          <w:p w14:paraId="2F131D0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废活性炭</w:t>
            </w:r>
          </w:p>
        </w:tc>
        <w:tc>
          <w:tcPr>
            <w:tcW w:w="1897" w:type="dxa"/>
            <w:gridSpan w:val="2"/>
            <w:noWrap w:val="0"/>
            <w:vAlign w:val="center"/>
          </w:tcPr>
          <w:p w14:paraId="32055566">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17.16</w:t>
            </w:r>
          </w:p>
        </w:tc>
        <w:tc>
          <w:tcPr>
            <w:tcW w:w="2893" w:type="dxa"/>
            <w:gridSpan w:val="4"/>
            <w:noWrap w:val="0"/>
            <w:vAlign w:val="center"/>
          </w:tcPr>
          <w:p w14:paraId="7282441A">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0</w:t>
            </w:r>
          </w:p>
        </w:tc>
        <w:tc>
          <w:tcPr>
            <w:tcW w:w="3291" w:type="dxa"/>
            <w:gridSpan w:val="5"/>
            <w:vMerge w:val="continue"/>
            <w:noWrap w:val="0"/>
            <w:vAlign w:val="center"/>
          </w:tcPr>
          <w:p w14:paraId="210A4CA0">
            <w:pPr>
              <w:pStyle w:val="24"/>
              <w:bidi w:val="0"/>
              <w:rPr>
                <w:rFonts w:hint="default"/>
                <w:color w:val="auto"/>
                <w:u w:val="none" w:color="auto"/>
                <w:lang w:val="en-US" w:eastAsia="zh-CN"/>
              </w:rPr>
            </w:pPr>
          </w:p>
        </w:tc>
      </w:tr>
      <w:tr w14:paraId="12EB20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17" w:type="dxa"/>
            <w:noWrap w:val="0"/>
            <w:vAlign w:val="center"/>
          </w:tcPr>
          <w:p w14:paraId="0F913ABD">
            <w:pPr>
              <w:pStyle w:val="24"/>
              <w:bidi w:val="0"/>
              <w:rPr>
                <w:rFonts w:hint="default"/>
                <w:color w:val="auto"/>
                <w:u w:val="none" w:color="auto"/>
              </w:rPr>
            </w:pPr>
            <w:r>
              <w:rPr>
                <w:rFonts w:hint="default"/>
                <w:color w:val="auto"/>
                <w:u w:val="none" w:color="auto"/>
              </w:rPr>
              <w:t>噪声</w:t>
            </w:r>
          </w:p>
        </w:tc>
        <w:tc>
          <w:tcPr>
            <w:tcW w:w="4875" w:type="dxa"/>
            <w:gridSpan w:val="7"/>
            <w:noWrap w:val="0"/>
            <w:vAlign w:val="center"/>
          </w:tcPr>
          <w:p w14:paraId="08850C99">
            <w:pPr>
              <w:pStyle w:val="24"/>
              <w:bidi w:val="0"/>
              <w:rPr>
                <w:rFonts w:hint="default"/>
                <w:color w:val="auto"/>
                <w:u w:val="none" w:color="auto"/>
              </w:rPr>
            </w:pPr>
            <w:r>
              <w:rPr>
                <w:rFonts w:hint="default"/>
                <w:color w:val="auto"/>
                <w:u w:val="none" w:color="auto"/>
              </w:rPr>
              <w:t>设备噪声</w:t>
            </w:r>
          </w:p>
        </w:tc>
        <w:tc>
          <w:tcPr>
            <w:tcW w:w="8081" w:type="dxa"/>
            <w:gridSpan w:val="11"/>
            <w:noWrap w:val="0"/>
            <w:vAlign w:val="center"/>
          </w:tcPr>
          <w:p w14:paraId="7C413D0A">
            <w:pPr>
              <w:pStyle w:val="24"/>
              <w:bidi w:val="0"/>
              <w:rPr>
                <w:rFonts w:hint="default"/>
                <w:color w:val="auto"/>
                <w:u w:val="none" w:color="auto"/>
              </w:rPr>
            </w:pPr>
            <w:r>
              <w:rPr>
                <w:rFonts w:hint="default"/>
                <w:color w:val="auto"/>
                <w:u w:val="none" w:color="auto"/>
              </w:rPr>
              <w:t>隔声、减振、消声</w:t>
            </w:r>
            <w:r>
              <w:rPr>
                <w:rFonts w:hint="default"/>
                <w:color w:val="auto"/>
                <w:u w:val="none" w:color="auto"/>
                <w:lang w:eastAsia="zh-CN"/>
              </w:rPr>
              <w:t>，</w:t>
            </w:r>
            <w:r>
              <w:rPr>
                <w:rFonts w:hint="default"/>
                <w:color w:val="auto"/>
                <w:u w:val="none" w:color="auto"/>
                <w:lang w:val="en-US" w:eastAsia="zh-CN"/>
              </w:rPr>
              <w:t>厂界</w:t>
            </w:r>
            <w:r>
              <w:rPr>
                <w:rFonts w:hint="default"/>
                <w:color w:val="auto"/>
                <w:u w:val="none" w:color="auto"/>
              </w:rPr>
              <w:t>达到</w:t>
            </w:r>
            <w:r>
              <w:rPr>
                <w:rFonts w:hint="default"/>
                <w:color w:val="auto"/>
                <w:u w:val="none" w:color="auto"/>
                <w:lang w:eastAsia="zh-CN"/>
              </w:rPr>
              <w:t>（</w:t>
            </w:r>
            <w:r>
              <w:rPr>
                <w:rFonts w:hint="default"/>
                <w:color w:val="auto"/>
                <w:u w:val="none" w:color="auto"/>
              </w:rPr>
              <w:t>GB12348-2008</w:t>
            </w:r>
            <w:r>
              <w:rPr>
                <w:rFonts w:hint="default"/>
                <w:color w:val="auto"/>
                <w:u w:val="none" w:color="auto"/>
                <w:lang w:eastAsia="zh-CN"/>
              </w:rPr>
              <w:t>）</w:t>
            </w:r>
            <w:r>
              <w:rPr>
                <w:rFonts w:hint="default"/>
                <w:color w:val="auto"/>
                <w:u w:val="none" w:color="auto"/>
                <w:lang w:val="en-US" w:eastAsia="zh-CN"/>
              </w:rPr>
              <w:t>3</w:t>
            </w:r>
            <w:r>
              <w:rPr>
                <w:rFonts w:hint="default"/>
                <w:color w:val="auto"/>
                <w:u w:val="none" w:color="auto"/>
              </w:rPr>
              <w:t>类标准</w:t>
            </w:r>
          </w:p>
        </w:tc>
      </w:tr>
      <w:bookmarkEnd w:id="656"/>
      <w:bookmarkEnd w:id="664"/>
      <w:bookmarkEnd w:id="665"/>
    </w:tbl>
    <w:p w14:paraId="4DE34D2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sz w:val="24"/>
          <w:szCs w:val="24"/>
        </w:rPr>
        <w:t>由工程分析可知，本项目污染物</w:t>
      </w:r>
      <w:r>
        <w:rPr>
          <w:rFonts w:hint="eastAsia" w:ascii="宋体" w:hAnsi="宋体" w:eastAsia="宋体" w:cs="宋体"/>
          <w:sz w:val="24"/>
          <w:szCs w:val="24"/>
        </w:rPr>
        <w:t>“三本帐”见</w:t>
      </w:r>
      <w:r>
        <w:rPr>
          <w:sz w:val="24"/>
          <w:szCs w:val="24"/>
        </w:rPr>
        <w:t>表4.</w:t>
      </w:r>
      <w:r>
        <w:rPr>
          <w:rFonts w:hint="eastAsia"/>
          <w:sz w:val="24"/>
          <w:szCs w:val="24"/>
          <w:lang w:val="en-US" w:eastAsia="zh-CN"/>
        </w:rPr>
        <w:t>5-2</w:t>
      </w:r>
      <w:r>
        <w:rPr>
          <w:sz w:val="24"/>
          <w:szCs w:val="24"/>
        </w:rPr>
        <w:t>。</w:t>
      </w:r>
    </w:p>
    <w:p w14:paraId="1C889E40">
      <w:pPr>
        <w:ind w:firstLine="482"/>
        <w:jc w:val="center"/>
        <w:rPr>
          <w:b/>
          <w:szCs w:val="24"/>
        </w:rPr>
      </w:pPr>
      <w:r>
        <w:rPr>
          <w:b/>
          <w:szCs w:val="24"/>
        </w:rPr>
        <w:t>表4.</w:t>
      </w:r>
      <w:r>
        <w:rPr>
          <w:rFonts w:hint="eastAsia"/>
          <w:b/>
          <w:szCs w:val="24"/>
          <w:lang w:val="en-US" w:eastAsia="zh-CN"/>
        </w:rPr>
        <w:t>5-2</w:t>
      </w:r>
      <w:r>
        <w:rPr>
          <w:b/>
          <w:szCs w:val="24"/>
        </w:rPr>
        <w:t xml:space="preserve"> 本项目污染物“三本帐”一览表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440"/>
        <w:gridCol w:w="2415"/>
        <w:gridCol w:w="2310"/>
        <w:gridCol w:w="2422"/>
        <w:gridCol w:w="2423"/>
        <w:gridCol w:w="1989"/>
      </w:tblGrid>
      <w:tr w14:paraId="2BC828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175" w:type="dxa"/>
            <w:tcBorders>
              <w:tl2br w:val="nil"/>
              <w:tr2bl w:val="nil"/>
            </w:tcBorders>
            <w:noWrap w:val="0"/>
            <w:vAlign w:val="center"/>
          </w:tcPr>
          <w:p w14:paraId="36DDBE1E">
            <w:pPr>
              <w:widowControl/>
              <w:adjustRightInd/>
              <w:spacing w:line="240" w:lineRule="auto"/>
              <w:ind w:firstLine="0" w:firstLineChars="0"/>
              <w:jc w:val="center"/>
              <w:textAlignment w:val="auto"/>
              <w:rPr>
                <w:color w:val="000000"/>
                <w:sz w:val="21"/>
                <w:szCs w:val="21"/>
              </w:rPr>
            </w:pPr>
            <w:r>
              <w:rPr>
                <w:color w:val="000000"/>
                <w:sz w:val="21"/>
                <w:szCs w:val="21"/>
              </w:rPr>
              <w:t>分类</w:t>
            </w:r>
          </w:p>
        </w:tc>
        <w:tc>
          <w:tcPr>
            <w:tcW w:w="1440" w:type="dxa"/>
            <w:tcBorders>
              <w:tl2br w:val="nil"/>
              <w:tr2bl w:val="nil"/>
            </w:tcBorders>
            <w:noWrap w:val="0"/>
            <w:vAlign w:val="center"/>
          </w:tcPr>
          <w:p w14:paraId="77D78407">
            <w:pPr>
              <w:widowControl/>
              <w:adjustRightInd/>
              <w:spacing w:line="240" w:lineRule="auto"/>
              <w:ind w:firstLine="0" w:firstLineChars="0"/>
              <w:jc w:val="center"/>
              <w:textAlignment w:val="auto"/>
              <w:rPr>
                <w:color w:val="000000"/>
                <w:sz w:val="21"/>
                <w:szCs w:val="21"/>
              </w:rPr>
            </w:pPr>
            <w:r>
              <w:rPr>
                <w:color w:val="000000"/>
                <w:sz w:val="21"/>
                <w:szCs w:val="21"/>
              </w:rPr>
              <w:t>污染源</w:t>
            </w:r>
          </w:p>
        </w:tc>
        <w:tc>
          <w:tcPr>
            <w:tcW w:w="2415" w:type="dxa"/>
            <w:tcBorders>
              <w:tl2br w:val="nil"/>
              <w:tr2bl w:val="nil"/>
            </w:tcBorders>
            <w:noWrap w:val="0"/>
            <w:vAlign w:val="center"/>
          </w:tcPr>
          <w:p w14:paraId="51C54C2C">
            <w:pPr>
              <w:widowControl/>
              <w:adjustRightInd/>
              <w:spacing w:line="240" w:lineRule="auto"/>
              <w:ind w:firstLine="0" w:firstLineChars="0"/>
              <w:jc w:val="center"/>
              <w:textAlignment w:val="auto"/>
              <w:rPr>
                <w:color w:val="000000"/>
                <w:sz w:val="21"/>
                <w:szCs w:val="21"/>
              </w:rPr>
            </w:pPr>
            <w:r>
              <w:rPr>
                <w:color w:val="000000"/>
                <w:sz w:val="21"/>
                <w:szCs w:val="21"/>
              </w:rPr>
              <w:t>污染物</w:t>
            </w:r>
          </w:p>
        </w:tc>
        <w:tc>
          <w:tcPr>
            <w:tcW w:w="2310" w:type="dxa"/>
            <w:tcBorders>
              <w:tl2br w:val="nil"/>
              <w:tr2bl w:val="nil"/>
            </w:tcBorders>
            <w:noWrap w:val="0"/>
            <w:vAlign w:val="center"/>
          </w:tcPr>
          <w:p w14:paraId="12A30C7E">
            <w:pPr>
              <w:widowControl/>
              <w:adjustRightInd/>
              <w:spacing w:line="240" w:lineRule="auto"/>
              <w:ind w:firstLine="0" w:firstLineChars="0"/>
              <w:jc w:val="center"/>
              <w:textAlignment w:val="auto"/>
              <w:rPr>
                <w:color w:val="000000"/>
                <w:sz w:val="21"/>
                <w:szCs w:val="21"/>
              </w:rPr>
            </w:pPr>
            <w:r>
              <w:rPr>
                <w:color w:val="000000"/>
                <w:sz w:val="21"/>
                <w:szCs w:val="21"/>
              </w:rPr>
              <w:t>现有工程排放量（t/a）</w:t>
            </w:r>
          </w:p>
        </w:tc>
        <w:tc>
          <w:tcPr>
            <w:tcW w:w="2422" w:type="dxa"/>
            <w:tcBorders>
              <w:tl2br w:val="nil"/>
              <w:tr2bl w:val="nil"/>
            </w:tcBorders>
            <w:noWrap w:val="0"/>
            <w:vAlign w:val="center"/>
          </w:tcPr>
          <w:p w14:paraId="205FDA72">
            <w:pPr>
              <w:widowControl/>
              <w:adjustRightInd/>
              <w:spacing w:line="240" w:lineRule="auto"/>
              <w:ind w:firstLine="0" w:firstLineChars="0"/>
              <w:jc w:val="center"/>
              <w:textAlignment w:val="auto"/>
              <w:rPr>
                <w:color w:val="000000"/>
                <w:sz w:val="21"/>
                <w:szCs w:val="21"/>
              </w:rPr>
            </w:pPr>
            <w:r>
              <w:rPr>
                <w:rFonts w:hint="eastAsia"/>
                <w:color w:val="000000"/>
                <w:sz w:val="21"/>
                <w:szCs w:val="21"/>
                <w:lang w:val="en-US" w:eastAsia="zh-CN"/>
              </w:rPr>
              <w:t>削减</w:t>
            </w:r>
            <w:r>
              <w:rPr>
                <w:color w:val="000000"/>
                <w:sz w:val="21"/>
                <w:szCs w:val="21"/>
              </w:rPr>
              <w:t>量（t/a）</w:t>
            </w:r>
          </w:p>
        </w:tc>
        <w:tc>
          <w:tcPr>
            <w:tcW w:w="2423" w:type="dxa"/>
            <w:tcBorders>
              <w:tl2br w:val="nil"/>
              <w:tr2bl w:val="nil"/>
            </w:tcBorders>
            <w:noWrap w:val="0"/>
            <w:vAlign w:val="center"/>
          </w:tcPr>
          <w:p w14:paraId="213ED8A9">
            <w:pPr>
              <w:widowControl/>
              <w:adjustRightInd/>
              <w:spacing w:line="240" w:lineRule="auto"/>
              <w:ind w:firstLine="0" w:firstLineChars="0"/>
              <w:jc w:val="center"/>
              <w:textAlignment w:val="auto"/>
              <w:rPr>
                <w:color w:val="000000"/>
                <w:sz w:val="21"/>
                <w:szCs w:val="21"/>
              </w:rPr>
            </w:pPr>
            <w:r>
              <w:rPr>
                <w:color w:val="000000"/>
                <w:sz w:val="21"/>
                <w:szCs w:val="21"/>
              </w:rPr>
              <w:t>迁建后排放量（t/a）</w:t>
            </w:r>
          </w:p>
        </w:tc>
        <w:tc>
          <w:tcPr>
            <w:tcW w:w="1989" w:type="dxa"/>
            <w:tcBorders>
              <w:tl2br w:val="nil"/>
              <w:tr2bl w:val="nil"/>
            </w:tcBorders>
            <w:noWrap w:val="0"/>
            <w:vAlign w:val="center"/>
          </w:tcPr>
          <w:p w14:paraId="4B2C478F">
            <w:pPr>
              <w:widowControl/>
              <w:adjustRightInd/>
              <w:spacing w:line="240" w:lineRule="auto"/>
              <w:ind w:firstLine="0" w:firstLineChars="0"/>
              <w:jc w:val="center"/>
              <w:textAlignment w:val="auto"/>
              <w:rPr>
                <w:color w:val="000000"/>
                <w:sz w:val="21"/>
                <w:szCs w:val="21"/>
              </w:rPr>
            </w:pPr>
            <w:r>
              <w:rPr>
                <w:color w:val="000000"/>
                <w:sz w:val="21"/>
                <w:szCs w:val="21"/>
              </w:rPr>
              <w:t>排放增减量（t/a）</w:t>
            </w:r>
          </w:p>
        </w:tc>
      </w:tr>
      <w:tr w14:paraId="7392FF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restart"/>
            <w:tcBorders>
              <w:tl2br w:val="nil"/>
              <w:tr2bl w:val="nil"/>
            </w:tcBorders>
            <w:noWrap w:val="0"/>
            <w:vAlign w:val="center"/>
          </w:tcPr>
          <w:p w14:paraId="1310F6E9">
            <w:pPr>
              <w:widowControl/>
              <w:adjustRightInd/>
              <w:spacing w:line="240" w:lineRule="auto"/>
              <w:ind w:firstLine="0" w:firstLineChars="0"/>
              <w:jc w:val="center"/>
              <w:textAlignment w:val="auto"/>
              <w:rPr>
                <w:rFonts w:hint="eastAsia" w:eastAsia="宋体"/>
                <w:color w:val="000000"/>
                <w:sz w:val="21"/>
                <w:szCs w:val="21"/>
                <w:lang w:val="en-US" w:eastAsia="zh-CN"/>
              </w:rPr>
            </w:pPr>
            <w:r>
              <w:rPr>
                <w:rFonts w:hint="eastAsia"/>
                <w:color w:val="000000"/>
                <w:sz w:val="21"/>
                <w:szCs w:val="21"/>
                <w:lang w:val="en-US" w:eastAsia="zh-CN"/>
              </w:rPr>
              <w:t>废气</w:t>
            </w:r>
          </w:p>
        </w:tc>
        <w:tc>
          <w:tcPr>
            <w:tcW w:w="1440" w:type="dxa"/>
            <w:vMerge w:val="restart"/>
            <w:tcBorders>
              <w:tl2br w:val="nil"/>
              <w:tr2bl w:val="nil"/>
            </w:tcBorders>
            <w:noWrap w:val="0"/>
            <w:vAlign w:val="center"/>
          </w:tcPr>
          <w:p w14:paraId="3BB44954">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生产废气</w:t>
            </w:r>
          </w:p>
        </w:tc>
        <w:tc>
          <w:tcPr>
            <w:tcW w:w="2415" w:type="dxa"/>
            <w:tcBorders>
              <w:tl2br w:val="nil"/>
              <w:tr2bl w:val="nil"/>
            </w:tcBorders>
            <w:noWrap w:val="0"/>
            <w:vAlign w:val="center"/>
          </w:tcPr>
          <w:p w14:paraId="09B0EB35">
            <w:pPr>
              <w:widowControl/>
              <w:adjustRightInd/>
              <w:spacing w:line="240" w:lineRule="auto"/>
              <w:ind w:firstLine="0" w:firstLineChars="0"/>
              <w:jc w:val="center"/>
              <w:textAlignment w:val="auto"/>
              <w:rPr>
                <w:rFonts w:hint="eastAsia" w:eastAsia="宋体"/>
                <w:color w:val="000000"/>
                <w:sz w:val="21"/>
                <w:szCs w:val="21"/>
                <w:lang w:val="en-US" w:eastAsia="zh-CN"/>
              </w:rPr>
            </w:pPr>
            <w:r>
              <w:rPr>
                <w:rFonts w:hint="eastAsia"/>
                <w:color w:val="000000"/>
                <w:sz w:val="21"/>
                <w:szCs w:val="21"/>
                <w:lang w:val="en-US" w:eastAsia="zh-CN"/>
              </w:rPr>
              <w:t>颗粒物</w:t>
            </w:r>
          </w:p>
        </w:tc>
        <w:tc>
          <w:tcPr>
            <w:tcW w:w="2310" w:type="dxa"/>
            <w:tcBorders>
              <w:tl2br w:val="nil"/>
              <w:tr2bl w:val="nil"/>
            </w:tcBorders>
            <w:noWrap w:val="0"/>
            <w:vAlign w:val="center"/>
          </w:tcPr>
          <w:p w14:paraId="51F5017C">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1.64</w:t>
            </w:r>
          </w:p>
        </w:tc>
        <w:tc>
          <w:tcPr>
            <w:tcW w:w="2422" w:type="dxa"/>
            <w:tcBorders>
              <w:tl2br w:val="nil"/>
              <w:tr2bl w:val="nil"/>
            </w:tcBorders>
            <w:noWrap w:val="0"/>
            <w:vAlign w:val="center"/>
          </w:tcPr>
          <w:p w14:paraId="5F21F018">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-1.64</w:t>
            </w:r>
          </w:p>
        </w:tc>
        <w:tc>
          <w:tcPr>
            <w:tcW w:w="2423" w:type="dxa"/>
            <w:tcBorders>
              <w:tl2br w:val="nil"/>
              <w:tr2bl w:val="nil"/>
            </w:tcBorders>
            <w:noWrap w:val="0"/>
            <w:vAlign w:val="center"/>
          </w:tcPr>
          <w:p w14:paraId="73ED2223">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1.132</w:t>
            </w:r>
          </w:p>
        </w:tc>
        <w:tc>
          <w:tcPr>
            <w:tcW w:w="1989" w:type="dxa"/>
            <w:tcBorders>
              <w:tl2br w:val="nil"/>
              <w:tr2bl w:val="nil"/>
            </w:tcBorders>
            <w:noWrap w:val="0"/>
            <w:vAlign w:val="center"/>
          </w:tcPr>
          <w:p w14:paraId="29B6A012">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-0.508</w:t>
            </w:r>
          </w:p>
        </w:tc>
      </w:tr>
      <w:tr w14:paraId="58DD1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28B743EE">
            <w:pPr>
              <w:widowControl/>
              <w:adjustRightInd/>
              <w:spacing w:line="240" w:lineRule="auto"/>
              <w:ind w:firstLine="0" w:firstLineChars="0"/>
              <w:jc w:val="center"/>
              <w:textAlignment w:val="auto"/>
              <w:rPr>
                <w:color w:val="000000"/>
                <w:sz w:val="21"/>
                <w:szCs w:val="21"/>
              </w:rPr>
            </w:pPr>
          </w:p>
        </w:tc>
        <w:tc>
          <w:tcPr>
            <w:tcW w:w="1440" w:type="dxa"/>
            <w:vMerge w:val="continue"/>
            <w:tcBorders>
              <w:tl2br w:val="nil"/>
              <w:tr2bl w:val="nil"/>
            </w:tcBorders>
            <w:noWrap w:val="0"/>
            <w:vAlign w:val="center"/>
          </w:tcPr>
          <w:p w14:paraId="4F1FA86F">
            <w:pPr>
              <w:widowControl/>
              <w:adjustRightInd/>
              <w:spacing w:line="240" w:lineRule="auto"/>
              <w:ind w:firstLine="0" w:firstLineChars="0"/>
              <w:jc w:val="center"/>
              <w:textAlignment w:val="auto"/>
              <w:rPr>
                <w:color w:val="000000"/>
                <w:sz w:val="21"/>
                <w:szCs w:val="21"/>
              </w:rPr>
            </w:pPr>
          </w:p>
        </w:tc>
        <w:tc>
          <w:tcPr>
            <w:tcW w:w="2415" w:type="dxa"/>
            <w:tcBorders>
              <w:tl2br w:val="nil"/>
              <w:tr2bl w:val="nil"/>
            </w:tcBorders>
            <w:noWrap w:val="0"/>
            <w:vAlign w:val="center"/>
          </w:tcPr>
          <w:p w14:paraId="017BA20A">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非甲烷总烃</w:t>
            </w:r>
          </w:p>
        </w:tc>
        <w:tc>
          <w:tcPr>
            <w:tcW w:w="2310" w:type="dxa"/>
            <w:tcBorders>
              <w:tl2br w:val="nil"/>
              <w:tr2bl w:val="nil"/>
            </w:tcBorders>
            <w:noWrap w:val="0"/>
            <w:vAlign w:val="center"/>
          </w:tcPr>
          <w:p w14:paraId="02622829">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2.106</w:t>
            </w:r>
          </w:p>
        </w:tc>
        <w:tc>
          <w:tcPr>
            <w:tcW w:w="2422" w:type="dxa"/>
            <w:tcBorders>
              <w:tl2br w:val="nil"/>
              <w:tr2bl w:val="nil"/>
            </w:tcBorders>
            <w:noWrap w:val="0"/>
            <w:vAlign w:val="center"/>
          </w:tcPr>
          <w:p w14:paraId="2B523F3B">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-2.106</w:t>
            </w:r>
          </w:p>
        </w:tc>
        <w:tc>
          <w:tcPr>
            <w:tcW w:w="2423" w:type="dxa"/>
            <w:tcBorders>
              <w:tl2br w:val="nil"/>
              <w:tr2bl w:val="nil"/>
            </w:tcBorders>
            <w:noWrap w:val="0"/>
            <w:vAlign w:val="center"/>
          </w:tcPr>
          <w:p w14:paraId="4C7E93C2">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2.146</w:t>
            </w:r>
          </w:p>
        </w:tc>
        <w:tc>
          <w:tcPr>
            <w:tcW w:w="1989" w:type="dxa"/>
            <w:tcBorders>
              <w:tl2br w:val="nil"/>
              <w:tr2bl w:val="nil"/>
            </w:tcBorders>
            <w:noWrap w:val="0"/>
            <w:vAlign w:val="center"/>
          </w:tcPr>
          <w:p w14:paraId="45224DF3">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+0.04</w:t>
            </w:r>
          </w:p>
        </w:tc>
      </w:tr>
      <w:tr w14:paraId="5420B9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05324DA4">
            <w:pPr>
              <w:widowControl/>
              <w:adjustRightInd/>
              <w:spacing w:line="240" w:lineRule="auto"/>
              <w:ind w:firstLine="0" w:firstLineChars="0"/>
              <w:jc w:val="center"/>
              <w:textAlignment w:val="auto"/>
              <w:rPr>
                <w:color w:val="000000"/>
                <w:sz w:val="21"/>
                <w:szCs w:val="21"/>
              </w:rPr>
            </w:pPr>
          </w:p>
        </w:tc>
        <w:tc>
          <w:tcPr>
            <w:tcW w:w="1440" w:type="dxa"/>
            <w:vMerge w:val="continue"/>
            <w:tcBorders>
              <w:tl2br w:val="nil"/>
              <w:tr2bl w:val="nil"/>
            </w:tcBorders>
            <w:noWrap w:val="0"/>
            <w:vAlign w:val="center"/>
          </w:tcPr>
          <w:p w14:paraId="57CF9522">
            <w:pPr>
              <w:widowControl/>
              <w:adjustRightInd/>
              <w:spacing w:line="240" w:lineRule="auto"/>
              <w:ind w:firstLine="0" w:firstLineChars="0"/>
              <w:jc w:val="center"/>
              <w:textAlignment w:val="auto"/>
              <w:rPr>
                <w:color w:val="000000"/>
                <w:sz w:val="21"/>
                <w:szCs w:val="21"/>
              </w:rPr>
            </w:pPr>
          </w:p>
        </w:tc>
        <w:tc>
          <w:tcPr>
            <w:tcW w:w="2415" w:type="dxa"/>
            <w:tcBorders>
              <w:tl2br w:val="nil"/>
              <w:tr2bl w:val="nil"/>
            </w:tcBorders>
            <w:noWrap w:val="0"/>
            <w:vAlign w:val="center"/>
          </w:tcPr>
          <w:p w14:paraId="40253419">
            <w:pPr>
              <w:widowControl/>
              <w:adjustRightInd/>
              <w:spacing w:line="240" w:lineRule="auto"/>
              <w:ind w:firstLine="0" w:firstLineChars="0"/>
              <w:jc w:val="center"/>
              <w:textAlignment w:val="auto"/>
              <w:rPr>
                <w:rFonts w:hint="eastAsia"/>
                <w:color w:val="000000"/>
                <w:sz w:val="21"/>
                <w:szCs w:val="21"/>
                <w:lang w:val="en-US" w:eastAsia="zh-CN"/>
              </w:rPr>
            </w:pPr>
            <w:r>
              <w:rPr>
                <w:rFonts w:hint="eastAsia"/>
                <w:color w:val="000000"/>
                <w:sz w:val="21"/>
                <w:szCs w:val="21"/>
                <w:lang w:val="en-US" w:eastAsia="zh-CN"/>
              </w:rPr>
              <w:t>氯化氢</w:t>
            </w:r>
          </w:p>
        </w:tc>
        <w:tc>
          <w:tcPr>
            <w:tcW w:w="2310" w:type="dxa"/>
            <w:tcBorders>
              <w:tl2br w:val="nil"/>
              <w:tr2bl w:val="nil"/>
            </w:tcBorders>
            <w:noWrap w:val="0"/>
            <w:vAlign w:val="center"/>
          </w:tcPr>
          <w:p w14:paraId="0155DBB1">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0.513</w:t>
            </w:r>
          </w:p>
        </w:tc>
        <w:tc>
          <w:tcPr>
            <w:tcW w:w="2422" w:type="dxa"/>
            <w:tcBorders>
              <w:tl2br w:val="nil"/>
              <w:tr2bl w:val="nil"/>
            </w:tcBorders>
            <w:noWrap w:val="0"/>
            <w:vAlign w:val="center"/>
          </w:tcPr>
          <w:p w14:paraId="046137FF">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-0.513</w:t>
            </w:r>
          </w:p>
        </w:tc>
        <w:tc>
          <w:tcPr>
            <w:tcW w:w="2423" w:type="dxa"/>
            <w:tcBorders>
              <w:tl2br w:val="nil"/>
              <w:tr2bl w:val="nil"/>
            </w:tcBorders>
            <w:noWrap w:val="0"/>
            <w:vAlign w:val="center"/>
          </w:tcPr>
          <w:p w14:paraId="5C10C1F1">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0.57</w:t>
            </w:r>
          </w:p>
        </w:tc>
        <w:tc>
          <w:tcPr>
            <w:tcW w:w="1989" w:type="dxa"/>
            <w:tcBorders>
              <w:tl2br w:val="nil"/>
              <w:tr2bl w:val="nil"/>
            </w:tcBorders>
            <w:noWrap w:val="0"/>
            <w:vAlign w:val="center"/>
          </w:tcPr>
          <w:p w14:paraId="4E8199DE">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+0.057</w:t>
            </w:r>
          </w:p>
        </w:tc>
      </w:tr>
      <w:tr w14:paraId="647C5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60C3E497">
            <w:pPr>
              <w:widowControl/>
              <w:adjustRightInd/>
              <w:spacing w:line="240" w:lineRule="auto"/>
              <w:ind w:firstLine="0" w:firstLineChars="0"/>
              <w:jc w:val="center"/>
              <w:textAlignment w:val="auto"/>
              <w:rPr>
                <w:color w:val="000000"/>
                <w:sz w:val="21"/>
                <w:szCs w:val="21"/>
              </w:rPr>
            </w:pPr>
          </w:p>
        </w:tc>
        <w:tc>
          <w:tcPr>
            <w:tcW w:w="1440" w:type="dxa"/>
            <w:vMerge w:val="continue"/>
            <w:tcBorders>
              <w:tl2br w:val="nil"/>
              <w:tr2bl w:val="nil"/>
            </w:tcBorders>
            <w:noWrap w:val="0"/>
            <w:vAlign w:val="center"/>
          </w:tcPr>
          <w:p w14:paraId="4BF699AB">
            <w:pPr>
              <w:widowControl/>
              <w:adjustRightInd/>
              <w:spacing w:line="240" w:lineRule="auto"/>
              <w:ind w:firstLine="0" w:firstLineChars="0"/>
              <w:jc w:val="center"/>
              <w:textAlignment w:val="auto"/>
              <w:rPr>
                <w:color w:val="000000"/>
                <w:sz w:val="21"/>
                <w:szCs w:val="21"/>
              </w:rPr>
            </w:pPr>
          </w:p>
        </w:tc>
        <w:tc>
          <w:tcPr>
            <w:tcW w:w="2415" w:type="dxa"/>
            <w:tcBorders>
              <w:tl2br w:val="nil"/>
              <w:tr2bl w:val="nil"/>
            </w:tcBorders>
            <w:noWrap w:val="0"/>
            <w:vAlign w:val="center"/>
          </w:tcPr>
          <w:p w14:paraId="2F074840">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二甲苯</w:t>
            </w:r>
          </w:p>
        </w:tc>
        <w:tc>
          <w:tcPr>
            <w:tcW w:w="2310" w:type="dxa"/>
            <w:tcBorders>
              <w:tl2br w:val="nil"/>
              <w:tr2bl w:val="nil"/>
            </w:tcBorders>
            <w:noWrap w:val="0"/>
            <w:vAlign w:val="center"/>
          </w:tcPr>
          <w:p w14:paraId="5149EA24">
            <w:pPr>
              <w:widowControl/>
              <w:adjustRightInd/>
              <w:spacing w:line="240" w:lineRule="auto"/>
              <w:ind w:firstLine="0" w:firstLineChars="0"/>
              <w:jc w:val="center"/>
              <w:textAlignment w:val="auto"/>
              <w:rPr>
                <w:rFonts w:hint="eastAsia" w:eastAsia="宋体"/>
                <w:color w:val="000000"/>
                <w:sz w:val="21"/>
                <w:szCs w:val="21"/>
                <w:lang w:val="en-US" w:eastAsia="zh-CN"/>
              </w:rPr>
            </w:pPr>
            <w:r>
              <w:rPr>
                <w:rFonts w:hint="eastAsia"/>
                <w:color w:val="000000"/>
                <w:sz w:val="21"/>
                <w:szCs w:val="21"/>
                <w:lang w:val="en-US" w:eastAsia="zh-CN"/>
              </w:rPr>
              <w:t>0</w:t>
            </w:r>
          </w:p>
        </w:tc>
        <w:tc>
          <w:tcPr>
            <w:tcW w:w="2422" w:type="dxa"/>
            <w:tcBorders>
              <w:tl2br w:val="nil"/>
              <w:tr2bl w:val="nil"/>
            </w:tcBorders>
            <w:noWrap w:val="0"/>
            <w:vAlign w:val="center"/>
          </w:tcPr>
          <w:p w14:paraId="23619316">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w:t>
            </w:r>
          </w:p>
        </w:tc>
        <w:tc>
          <w:tcPr>
            <w:tcW w:w="2423" w:type="dxa"/>
            <w:tcBorders>
              <w:tl2br w:val="nil"/>
              <w:tr2bl w:val="nil"/>
            </w:tcBorders>
            <w:noWrap w:val="0"/>
            <w:vAlign w:val="center"/>
          </w:tcPr>
          <w:p w14:paraId="6FC311F6">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0.225</w:t>
            </w:r>
          </w:p>
        </w:tc>
        <w:tc>
          <w:tcPr>
            <w:tcW w:w="1989" w:type="dxa"/>
            <w:tcBorders>
              <w:tl2br w:val="nil"/>
              <w:tr2bl w:val="nil"/>
            </w:tcBorders>
            <w:noWrap w:val="0"/>
            <w:vAlign w:val="center"/>
          </w:tcPr>
          <w:p w14:paraId="49DF5524">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+0.225</w:t>
            </w:r>
          </w:p>
        </w:tc>
      </w:tr>
      <w:tr w14:paraId="55D56B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restart"/>
            <w:tcBorders>
              <w:tl2br w:val="nil"/>
              <w:tr2bl w:val="nil"/>
            </w:tcBorders>
            <w:noWrap w:val="0"/>
            <w:vAlign w:val="center"/>
          </w:tcPr>
          <w:p w14:paraId="735C014A">
            <w:pPr>
              <w:widowControl/>
              <w:adjustRightInd/>
              <w:spacing w:line="240" w:lineRule="auto"/>
              <w:ind w:firstLine="0" w:firstLineChars="0"/>
              <w:jc w:val="center"/>
              <w:textAlignment w:val="auto"/>
              <w:rPr>
                <w:color w:val="000000"/>
                <w:sz w:val="21"/>
                <w:szCs w:val="21"/>
              </w:rPr>
            </w:pPr>
            <w:r>
              <w:rPr>
                <w:color w:val="000000"/>
                <w:sz w:val="21"/>
                <w:szCs w:val="21"/>
              </w:rPr>
              <w:t>废水</w:t>
            </w:r>
          </w:p>
        </w:tc>
        <w:tc>
          <w:tcPr>
            <w:tcW w:w="1440" w:type="dxa"/>
            <w:vMerge w:val="restart"/>
            <w:tcBorders>
              <w:tl2br w:val="nil"/>
              <w:tr2bl w:val="nil"/>
            </w:tcBorders>
            <w:noWrap w:val="0"/>
            <w:vAlign w:val="center"/>
          </w:tcPr>
          <w:p w14:paraId="2B231407">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生活污水</w:t>
            </w:r>
          </w:p>
        </w:tc>
        <w:tc>
          <w:tcPr>
            <w:tcW w:w="2415" w:type="dxa"/>
            <w:tcBorders>
              <w:tl2br w:val="nil"/>
              <w:tr2bl w:val="nil"/>
            </w:tcBorders>
            <w:noWrap w:val="0"/>
            <w:vAlign w:val="center"/>
          </w:tcPr>
          <w:p w14:paraId="04DF3EA3">
            <w:pPr>
              <w:widowControl/>
              <w:adjustRightInd/>
              <w:spacing w:line="240" w:lineRule="auto"/>
              <w:ind w:firstLine="0" w:firstLineChars="0"/>
              <w:jc w:val="center"/>
              <w:textAlignment w:val="auto"/>
              <w:rPr>
                <w:color w:val="000000"/>
                <w:sz w:val="21"/>
                <w:szCs w:val="21"/>
              </w:rPr>
            </w:pPr>
            <w:r>
              <w:rPr>
                <w:color w:val="000000"/>
                <w:sz w:val="21"/>
                <w:szCs w:val="21"/>
              </w:rPr>
              <w:t>排放量</w:t>
            </w:r>
          </w:p>
        </w:tc>
        <w:tc>
          <w:tcPr>
            <w:tcW w:w="2310" w:type="dxa"/>
            <w:tcBorders>
              <w:tl2br w:val="nil"/>
              <w:tr2bl w:val="nil"/>
            </w:tcBorders>
            <w:noWrap w:val="0"/>
            <w:vAlign w:val="center"/>
          </w:tcPr>
          <w:p w14:paraId="08984913">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1740</w:t>
            </w:r>
          </w:p>
        </w:tc>
        <w:tc>
          <w:tcPr>
            <w:tcW w:w="2422" w:type="dxa"/>
            <w:tcBorders>
              <w:tl2br w:val="nil"/>
              <w:tr2bl w:val="nil"/>
            </w:tcBorders>
            <w:noWrap w:val="0"/>
            <w:vAlign w:val="center"/>
          </w:tcPr>
          <w:p w14:paraId="01847DE7">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-1740</w:t>
            </w:r>
          </w:p>
        </w:tc>
        <w:tc>
          <w:tcPr>
            <w:tcW w:w="2423" w:type="dxa"/>
            <w:tcBorders>
              <w:tl2br w:val="nil"/>
              <w:tr2bl w:val="nil"/>
            </w:tcBorders>
            <w:noWrap w:val="0"/>
            <w:vAlign w:val="center"/>
          </w:tcPr>
          <w:p w14:paraId="2B630EF9">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2088</w:t>
            </w:r>
          </w:p>
        </w:tc>
        <w:tc>
          <w:tcPr>
            <w:tcW w:w="1989" w:type="dxa"/>
            <w:tcBorders>
              <w:tl2br w:val="nil"/>
              <w:tr2bl w:val="nil"/>
            </w:tcBorders>
            <w:noWrap w:val="0"/>
            <w:vAlign w:val="center"/>
          </w:tcPr>
          <w:p w14:paraId="4C35680C">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+348</w:t>
            </w:r>
          </w:p>
        </w:tc>
      </w:tr>
      <w:tr w14:paraId="0D7A28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468FB3AF">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239E6E17">
            <w:pPr>
              <w:widowControl/>
              <w:adjustRightInd/>
              <w:spacing w:line="240" w:lineRule="auto"/>
              <w:ind w:firstLine="0" w:firstLineChars="0"/>
              <w:jc w:val="left"/>
              <w:textAlignment w:val="auto"/>
              <w:rPr>
                <w:color w:val="000000"/>
                <w:sz w:val="21"/>
                <w:szCs w:val="21"/>
              </w:rPr>
            </w:pPr>
          </w:p>
        </w:tc>
        <w:tc>
          <w:tcPr>
            <w:tcW w:w="2415" w:type="dxa"/>
            <w:tcBorders>
              <w:tl2br w:val="nil"/>
              <w:tr2bl w:val="nil"/>
            </w:tcBorders>
            <w:noWrap w:val="0"/>
            <w:vAlign w:val="center"/>
          </w:tcPr>
          <w:p w14:paraId="46CB106A">
            <w:pPr>
              <w:widowControl/>
              <w:adjustRightInd/>
              <w:spacing w:line="240" w:lineRule="auto"/>
              <w:ind w:firstLine="0" w:firstLineChars="0"/>
              <w:jc w:val="center"/>
              <w:textAlignment w:val="auto"/>
              <w:rPr>
                <w:color w:val="000000"/>
                <w:sz w:val="21"/>
                <w:szCs w:val="21"/>
              </w:rPr>
            </w:pPr>
            <w:r>
              <w:rPr>
                <w:color w:val="000000"/>
                <w:sz w:val="21"/>
                <w:szCs w:val="21"/>
              </w:rPr>
              <w:t>COD</w:t>
            </w:r>
          </w:p>
        </w:tc>
        <w:tc>
          <w:tcPr>
            <w:tcW w:w="2310" w:type="dxa"/>
            <w:tcBorders>
              <w:tl2br w:val="nil"/>
              <w:tr2bl w:val="nil"/>
            </w:tcBorders>
            <w:noWrap w:val="0"/>
            <w:vAlign w:val="center"/>
          </w:tcPr>
          <w:p w14:paraId="7138A224">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0.0522</w:t>
            </w:r>
          </w:p>
        </w:tc>
        <w:tc>
          <w:tcPr>
            <w:tcW w:w="2422" w:type="dxa"/>
            <w:tcBorders>
              <w:tl2br w:val="nil"/>
              <w:tr2bl w:val="nil"/>
            </w:tcBorders>
            <w:noWrap w:val="0"/>
            <w:vAlign w:val="center"/>
          </w:tcPr>
          <w:p w14:paraId="3D5665CD">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-0.0522</w:t>
            </w:r>
          </w:p>
        </w:tc>
        <w:tc>
          <w:tcPr>
            <w:tcW w:w="2423" w:type="dxa"/>
            <w:tcBorders>
              <w:tl2br w:val="nil"/>
              <w:tr2bl w:val="nil"/>
            </w:tcBorders>
            <w:noWrap w:val="0"/>
            <w:vAlign w:val="center"/>
          </w:tcPr>
          <w:p w14:paraId="050D0D97">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0.06264</w:t>
            </w:r>
          </w:p>
        </w:tc>
        <w:tc>
          <w:tcPr>
            <w:tcW w:w="1989" w:type="dxa"/>
            <w:tcBorders>
              <w:tl2br w:val="nil"/>
              <w:tr2bl w:val="nil"/>
            </w:tcBorders>
            <w:noWrap w:val="0"/>
            <w:vAlign w:val="center"/>
          </w:tcPr>
          <w:p w14:paraId="3E38AA96">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+0.01044</w:t>
            </w:r>
          </w:p>
        </w:tc>
      </w:tr>
      <w:tr w14:paraId="3FD9DC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5A4E83C5">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214835C2">
            <w:pPr>
              <w:widowControl/>
              <w:adjustRightInd/>
              <w:spacing w:line="240" w:lineRule="auto"/>
              <w:ind w:firstLine="0" w:firstLineChars="0"/>
              <w:jc w:val="left"/>
              <w:textAlignment w:val="auto"/>
              <w:rPr>
                <w:color w:val="000000"/>
                <w:sz w:val="21"/>
                <w:szCs w:val="21"/>
              </w:rPr>
            </w:pPr>
          </w:p>
        </w:tc>
        <w:tc>
          <w:tcPr>
            <w:tcW w:w="2415" w:type="dxa"/>
            <w:tcBorders>
              <w:tl2br w:val="nil"/>
              <w:tr2bl w:val="nil"/>
            </w:tcBorders>
            <w:noWrap w:val="0"/>
            <w:vAlign w:val="center"/>
          </w:tcPr>
          <w:p w14:paraId="043D0CBE">
            <w:pPr>
              <w:widowControl/>
              <w:adjustRightInd/>
              <w:spacing w:line="240" w:lineRule="auto"/>
              <w:ind w:firstLine="0" w:firstLineChars="0"/>
              <w:jc w:val="center"/>
              <w:textAlignment w:val="auto"/>
              <w:rPr>
                <w:color w:val="000000"/>
                <w:sz w:val="21"/>
                <w:szCs w:val="21"/>
              </w:rPr>
            </w:pPr>
            <w:r>
              <w:rPr>
                <w:color w:val="000000"/>
                <w:sz w:val="21"/>
                <w:szCs w:val="21"/>
              </w:rPr>
              <w:t>氨氮</w:t>
            </w:r>
          </w:p>
        </w:tc>
        <w:tc>
          <w:tcPr>
            <w:tcW w:w="2310" w:type="dxa"/>
            <w:tcBorders>
              <w:tl2br w:val="nil"/>
              <w:tr2bl w:val="nil"/>
            </w:tcBorders>
            <w:noWrap w:val="0"/>
            <w:vAlign w:val="center"/>
          </w:tcPr>
          <w:p w14:paraId="683E7697">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0.00522</w:t>
            </w:r>
          </w:p>
        </w:tc>
        <w:tc>
          <w:tcPr>
            <w:tcW w:w="2422" w:type="dxa"/>
            <w:tcBorders>
              <w:tl2br w:val="nil"/>
              <w:tr2bl w:val="nil"/>
            </w:tcBorders>
            <w:noWrap w:val="0"/>
            <w:vAlign w:val="center"/>
          </w:tcPr>
          <w:p w14:paraId="7F1041FF">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-0.00522</w:t>
            </w:r>
          </w:p>
        </w:tc>
        <w:tc>
          <w:tcPr>
            <w:tcW w:w="2423" w:type="dxa"/>
            <w:tcBorders>
              <w:tl2br w:val="nil"/>
              <w:tr2bl w:val="nil"/>
            </w:tcBorders>
            <w:noWrap w:val="0"/>
            <w:vAlign w:val="center"/>
          </w:tcPr>
          <w:p w14:paraId="74BD5465">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0.00626</w:t>
            </w:r>
          </w:p>
        </w:tc>
        <w:tc>
          <w:tcPr>
            <w:tcW w:w="1989" w:type="dxa"/>
            <w:tcBorders>
              <w:tl2br w:val="nil"/>
              <w:tr2bl w:val="nil"/>
            </w:tcBorders>
            <w:noWrap w:val="0"/>
            <w:vAlign w:val="center"/>
          </w:tcPr>
          <w:p w14:paraId="0D0E6622">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+0.00104</w:t>
            </w:r>
          </w:p>
        </w:tc>
      </w:tr>
      <w:tr w14:paraId="350C4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restart"/>
            <w:tcBorders>
              <w:tl2br w:val="nil"/>
              <w:tr2bl w:val="nil"/>
            </w:tcBorders>
            <w:noWrap w:val="0"/>
            <w:vAlign w:val="center"/>
          </w:tcPr>
          <w:p w14:paraId="7CC87F48">
            <w:pPr>
              <w:widowControl/>
              <w:adjustRightInd/>
              <w:spacing w:line="240" w:lineRule="auto"/>
              <w:ind w:firstLine="0" w:firstLineChars="0"/>
              <w:jc w:val="center"/>
              <w:textAlignment w:val="auto"/>
              <w:rPr>
                <w:color w:val="000000"/>
                <w:sz w:val="21"/>
                <w:szCs w:val="21"/>
              </w:rPr>
            </w:pPr>
            <w:r>
              <w:rPr>
                <w:color w:val="000000"/>
                <w:sz w:val="21"/>
                <w:szCs w:val="21"/>
              </w:rPr>
              <w:t>固体废物（处置量）</w:t>
            </w:r>
          </w:p>
        </w:tc>
        <w:tc>
          <w:tcPr>
            <w:tcW w:w="1440" w:type="dxa"/>
            <w:tcBorders>
              <w:tl2br w:val="nil"/>
              <w:tr2bl w:val="nil"/>
            </w:tcBorders>
            <w:noWrap w:val="0"/>
            <w:vAlign w:val="center"/>
          </w:tcPr>
          <w:p w14:paraId="5348F69D">
            <w:pPr>
              <w:widowControl/>
              <w:adjustRightInd/>
              <w:spacing w:line="240" w:lineRule="auto"/>
              <w:ind w:firstLine="0" w:firstLineChars="0"/>
              <w:jc w:val="center"/>
              <w:textAlignment w:val="auto"/>
              <w:rPr>
                <w:rFonts w:hint="eastAsia" w:eastAsia="宋体"/>
                <w:color w:val="000000"/>
                <w:sz w:val="21"/>
                <w:szCs w:val="21"/>
                <w:lang w:eastAsia="zh-CN"/>
              </w:rPr>
            </w:pPr>
            <w:r>
              <w:rPr>
                <w:rFonts w:hint="eastAsia"/>
                <w:color w:val="000000"/>
                <w:sz w:val="21"/>
                <w:szCs w:val="21"/>
                <w:lang w:val="en-US" w:eastAsia="zh-CN"/>
              </w:rPr>
              <w:t>生活垃圾</w:t>
            </w:r>
          </w:p>
        </w:tc>
        <w:tc>
          <w:tcPr>
            <w:tcW w:w="2415" w:type="dxa"/>
            <w:tcBorders>
              <w:tl2br w:val="nil"/>
              <w:tr2bl w:val="nil"/>
            </w:tcBorders>
            <w:noWrap w:val="0"/>
            <w:vAlign w:val="center"/>
          </w:tcPr>
          <w:p w14:paraId="423F088B">
            <w:pPr>
              <w:widowControl/>
              <w:adjustRightInd/>
              <w:spacing w:line="240" w:lineRule="auto"/>
              <w:ind w:firstLine="0" w:firstLineChars="0"/>
              <w:jc w:val="center"/>
              <w:textAlignment w:val="auto"/>
              <w:rPr>
                <w:rFonts w:hint="eastAsia" w:eastAsia="宋体"/>
                <w:color w:val="000000"/>
                <w:sz w:val="21"/>
                <w:szCs w:val="21"/>
                <w:lang w:eastAsia="zh-CN"/>
              </w:rPr>
            </w:pPr>
            <w:r>
              <w:rPr>
                <w:rFonts w:hint="eastAsia"/>
                <w:color w:val="000000"/>
                <w:sz w:val="21"/>
                <w:szCs w:val="21"/>
                <w:lang w:val="en-US" w:eastAsia="zh-CN"/>
              </w:rPr>
              <w:t>生活垃圾</w:t>
            </w:r>
          </w:p>
        </w:tc>
        <w:tc>
          <w:tcPr>
            <w:tcW w:w="2310" w:type="dxa"/>
            <w:tcBorders>
              <w:tl2br w:val="nil"/>
              <w:tr2bl w:val="nil"/>
            </w:tcBorders>
            <w:noWrap w:val="0"/>
            <w:vAlign w:val="center"/>
          </w:tcPr>
          <w:p w14:paraId="7B0909F6">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7.5</w:t>
            </w:r>
          </w:p>
        </w:tc>
        <w:tc>
          <w:tcPr>
            <w:tcW w:w="2422" w:type="dxa"/>
            <w:tcBorders>
              <w:tl2br w:val="nil"/>
              <w:tr2bl w:val="nil"/>
            </w:tcBorders>
            <w:noWrap w:val="0"/>
            <w:vAlign w:val="center"/>
          </w:tcPr>
          <w:p w14:paraId="2D757834">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-7.5</w:t>
            </w:r>
          </w:p>
        </w:tc>
        <w:tc>
          <w:tcPr>
            <w:tcW w:w="2423" w:type="dxa"/>
            <w:tcBorders>
              <w:tl2br w:val="nil"/>
              <w:tr2bl w:val="nil"/>
            </w:tcBorders>
            <w:noWrap w:val="0"/>
            <w:vAlign w:val="center"/>
          </w:tcPr>
          <w:p w14:paraId="5EA16938">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9</w:t>
            </w:r>
          </w:p>
        </w:tc>
        <w:tc>
          <w:tcPr>
            <w:tcW w:w="1989" w:type="dxa"/>
            <w:tcBorders>
              <w:tl2br w:val="nil"/>
              <w:tr2bl w:val="nil"/>
            </w:tcBorders>
            <w:noWrap w:val="0"/>
            <w:vAlign w:val="center"/>
          </w:tcPr>
          <w:p w14:paraId="2A906380">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+1.5</w:t>
            </w:r>
          </w:p>
        </w:tc>
      </w:tr>
      <w:tr w14:paraId="75CCF2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15048CAD">
            <w:pPr>
              <w:widowControl/>
              <w:adjustRightInd/>
              <w:spacing w:line="240" w:lineRule="auto"/>
              <w:ind w:firstLine="0" w:firstLineChars="0"/>
              <w:jc w:val="left"/>
              <w:textAlignment w:val="auto"/>
              <w:rPr>
                <w:color w:val="000000"/>
                <w:sz w:val="21"/>
                <w:szCs w:val="21"/>
              </w:rPr>
            </w:pPr>
          </w:p>
        </w:tc>
        <w:tc>
          <w:tcPr>
            <w:tcW w:w="1440" w:type="dxa"/>
            <w:vMerge w:val="restart"/>
            <w:tcBorders>
              <w:tl2br w:val="nil"/>
              <w:tr2bl w:val="nil"/>
            </w:tcBorders>
            <w:noWrap w:val="0"/>
            <w:vAlign w:val="center"/>
          </w:tcPr>
          <w:p w14:paraId="7FC3301D">
            <w:pPr>
              <w:widowControl/>
              <w:adjustRightInd/>
              <w:spacing w:line="240" w:lineRule="auto"/>
              <w:ind w:firstLine="0" w:firstLineChars="0"/>
              <w:jc w:val="center"/>
              <w:textAlignment w:val="auto"/>
              <w:rPr>
                <w:color w:val="000000"/>
                <w:sz w:val="21"/>
                <w:szCs w:val="21"/>
              </w:rPr>
            </w:pPr>
            <w:r>
              <w:rPr>
                <w:color w:val="000000"/>
                <w:sz w:val="21"/>
                <w:szCs w:val="21"/>
              </w:rPr>
              <w:t>危险废物</w:t>
            </w:r>
          </w:p>
        </w:tc>
        <w:tc>
          <w:tcPr>
            <w:tcW w:w="2415" w:type="dxa"/>
            <w:tcBorders>
              <w:tl2br w:val="nil"/>
              <w:tr2bl w:val="nil"/>
            </w:tcBorders>
            <w:noWrap w:val="0"/>
            <w:vAlign w:val="center"/>
          </w:tcPr>
          <w:p w14:paraId="0C6C898E">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胶粘剂包装桶</w:t>
            </w:r>
          </w:p>
        </w:tc>
        <w:tc>
          <w:tcPr>
            <w:tcW w:w="2310" w:type="dxa"/>
            <w:tcBorders>
              <w:tl2br w:val="nil"/>
              <w:tr2bl w:val="nil"/>
            </w:tcBorders>
            <w:noWrap w:val="0"/>
            <w:vAlign w:val="center"/>
          </w:tcPr>
          <w:p w14:paraId="5F5EE36F">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0.2（所有胶粘剂）</w:t>
            </w:r>
          </w:p>
        </w:tc>
        <w:tc>
          <w:tcPr>
            <w:tcW w:w="2422" w:type="dxa"/>
            <w:tcBorders>
              <w:tl2br w:val="nil"/>
              <w:tr2bl w:val="nil"/>
            </w:tcBorders>
            <w:noWrap w:val="0"/>
            <w:vAlign w:val="center"/>
          </w:tcPr>
          <w:p w14:paraId="33307DFF">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-0.2</w:t>
            </w:r>
          </w:p>
        </w:tc>
        <w:tc>
          <w:tcPr>
            <w:tcW w:w="2423" w:type="dxa"/>
            <w:tcBorders>
              <w:tl2br w:val="nil"/>
              <w:tr2bl w:val="nil"/>
            </w:tcBorders>
            <w:noWrap w:val="0"/>
            <w:vAlign w:val="center"/>
          </w:tcPr>
          <w:p w14:paraId="4E779FF1">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w:t>
            </w:r>
          </w:p>
        </w:tc>
        <w:tc>
          <w:tcPr>
            <w:tcW w:w="1989" w:type="dxa"/>
            <w:tcBorders>
              <w:tl2br w:val="nil"/>
              <w:tr2bl w:val="nil"/>
            </w:tcBorders>
            <w:noWrap w:val="0"/>
            <w:vAlign w:val="center"/>
          </w:tcPr>
          <w:p w14:paraId="3924F142">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-0.2</w:t>
            </w:r>
          </w:p>
        </w:tc>
      </w:tr>
      <w:tr w14:paraId="595B5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00A839F9">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2649E3B8">
            <w:pPr>
              <w:widowControl/>
              <w:adjustRightInd/>
              <w:spacing w:line="240" w:lineRule="auto"/>
              <w:ind w:firstLine="0" w:firstLineChars="0"/>
              <w:jc w:val="center"/>
              <w:textAlignment w:val="auto"/>
              <w:rPr>
                <w:color w:val="000000"/>
                <w:sz w:val="21"/>
                <w:szCs w:val="21"/>
              </w:rPr>
            </w:pPr>
          </w:p>
        </w:tc>
        <w:tc>
          <w:tcPr>
            <w:tcW w:w="2415" w:type="dxa"/>
            <w:tcBorders>
              <w:tl2br w:val="nil"/>
              <w:tr2bl w:val="nil"/>
            </w:tcBorders>
            <w:noWrap w:val="0"/>
            <w:vAlign w:val="center"/>
          </w:tcPr>
          <w:p w14:paraId="1C44E281">
            <w:pPr>
              <w:widowControl/>
              <w:adjustRightInd/>
              <w:spacing w:line="240" w:lineRule="auto"/>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溶剂型胶粘剂包装桶</w:t>
            </w:r>
          </w:p>
        </w:tc>
        <w:tc>
          <w:tcPr>
            <w:tcW w:w="2310" w:type="dxa"/>
            <w:tcBorders>
              <w:tl2br w:val="nil"/>
              <w:tr2bl w:val="nil"/>
            </w:tcBorders>
            <w:noWrap w:val="0"/>
            <w:vAlign w:val="center"/>
          </w:tcPr>
          <w:p w14:paraId="4BA57EC5">
            <w:pPr>
              <w:widowControl/>
              <w:adjustRightInd/>
              <w:spacing w:line="240" w:lineRule="auto"/>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0</w:t>
            </w:r>
          </w:p>
        </w:tc>
        <w:tc>
          <w:tcPr>
            <w:tcW w:w="2422" w:type="dxa"/>
            <w:tcBorders>
              <w:tl2br w:val="nil"/>
              <w:tr2bl w:val="nil"/>
            </w:tcBorders>
            <w:noWrap w:val="0"/>
            <w:vAlign w:val="center"/>
          </w:tcPr>
          <w:p w14:paraId="37CD3F64">
            <w:pPr>
              <w:widowControl/>
              <w:adjustRightInd/>
              <w:spacing w:line="240" w:lineRule="auto"/>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0</w:t>
            </w:r>
          </w:p>
        </w:tc>
        <w:tc>
          <w:tcPr>
            <w:tcW w:w="2423" w:type="dxa"/>
            <w:tcBorders>
              <w:tl2br w:val="nil"/>
              <w:tr2bl w:val="nil"/>
            </w:tcBorders>
            <w:noWrap w:val="0"/>
            <w:vAlign w:val="center"/>
          </w:tcPr>
          <w:p w14:paraId="504D972C">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0.152</w:t>
            </w:r>
          </w:p>
        </w:tc>
        <w:tc>
          <w:tcPr>
            <w:tcW w:w="1989" w:type="dxa"/>
            <w:tcBorders>
              <w:tl2br w:val="nil"/>
              <w:tr2bl w:val="nil"/>
            </w:tcBorders>
            <w:noWrap w:val="0"/>
            <w:vAlign w:val="center"/>
          </w:tcPr>
          <w:p w14:paraId="7197C5DD">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+0.152</w:t>
            </w:r>
          </w:p>
        </w:tc>
      </w:tr>
      <w:tr w14:paraId="7663A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78B493B4">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6C230FC4">
            <w:pPr>
              <w:widowControl/>
              <w:adjustRightInd/>
              <w:spacing w:line="240" w:lineRule="auto"/>
              <w:ind w:firstLine="0" w:firstLineChars="0"/>
              <w:jc w:val="left"/>
              <w:textAlignment w:val="auto"/>
              <w:rPr>
                <w:color w:val="000000"/>
                <w:sz w:val="21"/>
                <w:szCs w:val="21"/>
              </w:rPr>
            </w:pPr>
          </w:p>
        </w:tc>
        <w:tc>
          <w:tcPr>
            <w:tcW w:w="2415" w:type="dxa"/>
            <w:tcBorders>
              <w:tl2br w:val="nil"/>
              <w:tr2bl w:val="nil"/>
            </w:tcBorders>
            <w:noWrap w:val="0"/>
            <w:vAlign w:val="center"/>
          </w:tcPr>
          <w:p w14:paraId="351B69D7">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废活性炭</w:t>
            </w:r>
          </w:p>
        </w:tc>
        <w:tc>
          <w:tcPr>
            <w:tcW w:w="2310" w:type="dxa"/>
            <w:tcBorders>
              <w:tl2br w:val="nil"/>
              <w:tr2bl w:val="nil"/>
            </w:tcBorders>
            <w:noWrap w:val="0"/>
            <w:vAlign w:val="center"/>
          </w:tcPr>
          <w:p w14:paraId="69720232">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18.418</w:t>
            </w:r>
          </w:p>
        </w:tc>
        <w:tc>
          <w:tcPr>
            <w:tcW w:w="2422" w:type="dxa"/>
            <w:tcBorders>
              <w:tl2br w:val="nil"/>
              <w:tr2bl w:val="nil"/>
            </w:tcBorders>
            <w:noWrap w:val="0"/>
            <w:vAlign w:val="center"/>
          </w:tcPr>
          <w:p w14:paraId="2B7F831D">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-18.418</w:t>
            </w:r>
          </w:p>
        </w:tc>
        <w:tc>
          <w:tcPr>
            <w:tcW w:w="2423" w:type="dxa"/>
            <w:tcBorders>
              <w:tl2br w:val="nil"/>
              <w:tr2bl w:val="nil"/>
            </w:tcBorders>
            <w:noWrap w:val="0"/>
            <w:vAlign w:val="center"/>
          </w:tcPr>
          <w:p w14:paraId="60EADBB5">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17.16</w:t>
            </w:r>
          </w:p>
        </w:tc>
        <w:tc>
          <w:tcPr>
            <w:tcW w:w="1989" w:type="dxa"/>
            <w:tcBorders>
              <w:tl2br w:val="nil"/>
              <w:tr2bl w:val="nil"/>
            </w:tcBorders>
            <w:noWrap w:val="0"/>
            <w:vAlign w:val="center"/>
          </w:tcPr>
          <w:p w14:paraId="7E5C6A25">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-1.258</w:t>
            </w:r>
          </w:p>
        </w:tc>
      </w:tr>
      <w:tr w14:paraId="5DCC35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15EDD2CD">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0315A09B">
            <w:pPr>
              <w:widowControl/>
              <w:adjustRightInd/>
              <w:spacing w:line="240" w:lineRule="auto"/>
              <w:ind w:firstLine="0" w:firstLineChars="0"/>
              <w:jc w:val="left"/>
              <w:textAlignment w:val="auto"/>
              <w:rPr>
                <w:color w:val="000000"/>
                <w:sz w:val="21"/>
                <w:szCs w:val="21"/>
              </w:rPr>
            </w:pPr>
          </w:p>
        </w:tc>
        <w:tc>
          <w:tcPr>
            <w:tcW w:w="2415" w:type="dxa"/>
            <w:tcBorders>
              <w:tl2br w:val="nil"/>
              <w:tr2bl w:val="nil"/>
            </w:tcBorders>
            <w:noWrap w:val="0"/>
            <w:vAlign w:val="center"/>
          </w:tcPr>
          <w:p w14:paraId="3554D7D2">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废矿物油</w:t>
            </w:r>
          </w:p>
        </w:tc>
        <w:tc>
          <w:tcPr>
            <w:tcW w:w="2310" w:type="dxa"/>
            <w:tcBorders>
              <w:tl2br w:val="nil"/>
              <w:tr2bl w:val="nil"/>
            </w:tcBorders>
            <w:noWrap w:val="0"/>
            <w:vAlign w:val="center"/>
          </w:tcPr>
          <w:p w14:paraId="1285FCA7">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0.01</w:t>
            </w:r>
          </w:p>
        </w:tc>
        <w:tc>
          <w:tcPr>
            <w:tcW w:w="2422" w:type="dxa"/>
            <w:tcBorders>
              <w:tl2br w:val="nil"/>
              <w:tr2bl w:val="nil"/>
            </w:tcBorders>
            <w:noWrap w:val="0"/>
            <w:vAlign w:val="center"/>
          </w:tcPr>
          <w:p w14:paraId="5726490D">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-0.01</w:t>
            </w:r>
          </w:p>
        </w:tc>
        <w:tc>
          <w:tcPr>
            <w:tcW w:w="2423" w:type="dxa"/>
            <w:tcBorders>
              <w:tl2br w:val="nil"/>
              <w:tr2bl w:val="nil"/>
            </w:tcBorders>
            <w:noWrap w:val="0"/>
            <w:vAlign w:val="center"/>
          </w:tcPr>
          <w:p w14:paraId="4113B994">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0.1</w:t>
            </w:r>
          </w:p>
        </w:tc>
        <w:tc>
          <w:tcPr>
            <w:tcW w:w="1989" w:type="dxa"/>
            <w:tcBorders>
              <w:tl2br w:val="nil"/>
              <w:tr2bl w:val="nil"/>
            </w:tcBorders>
            <w:noWrap w:val="0"/>
            <w:vAlign w:val="center"/>
          </w:tcPr>
          <w:p w14:paraId="5C74F91E">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+0.09</w:t>
            </w:r>
          </w:p>
        </w:tc>
      </w:tr>
      <w:tr w14:paraId="691A38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2421B499">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296BF404">
            <w:pPr>
              <w:widowControl/>
              <w:adjustRightInd/>
              <w:spacing w:line="240" w:lineRule="auto"/>
              <w:ind w:firstLine="0" w:firstLineChars="0"/>
              <w:jc w:val="left"/>
              <w:textAlignment w:val="auto"/>
              <w:rPr>
                <w:color w:val="000000"/>
                <w:sz w:val="21"/>
                <w:szCs w:val="21"/>
              </w:rPr>
            </w:pPr>
          </w:p>
        </w:tc>
        <w:tc>
          <w:tcPr>
            <w:tcW w:w="2415" w:type="dxa"/>
            <w:tcBorders>
              <w:tl2br w:val="nil"/>
              <w:tr2bl w:val="nil"/>
            </w:tcBorders>
            <w:noWrap w:val="0"/>
            <w:vAlign w:val="center"/>
          </w:tcPr>
          <w:p w14:paraId="05F1B788">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UV灯管</w:t>
            </w:r>
          </w:p>
        </w:tc>
        <w:tc>
          <w:tcPr>
            <w:tcW w:w="2310" w:type="dxa"/>
            <w:tcBorders>
              <w:tl2br w:val="nil"/>
              <w:tr2bl w:val="nil"/>
            </w:tcBorders>
            <w:noWrap w:val="0"/>
            <w:vAlign w:val="center"/>
          </w:tcPr>
          <w:p w14:paraId="61321E32">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0.001</w:t>
            </w:r>
          </w:p>
        </w:tc>
        <w:tc>
          <w:tcPr>
            <w:tcW w:w="2422" w:type="dxa"/>
            <w:tcBorders>
              <w:tl2br w:val="nil"/>
              <w:tr2bl w:val="nil"/>
            </w:tcBorders>
            <w:noWrap w:val="0"/>
            <w:vAlign w:val="center"/>
          </w:tcPr>
          <w:p w14:paraId="511306B1">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-0.001</w:t>
            </w:r>
          </w:p>
        </w:tc>
        <w:tc>
          <w:tcPr>
            <w:tcW w:w="2423" w:type="dxa"/>
            <w:tcBorders>
              <w:tl2br w:val="nil"/>
              <w:tr2bl w:val="nil"/>
            </w:tcBorders>
            <w:noWrap w:val="0"/>
            <w:vAlign w:val="center"/>
          </w:tcPr>
          <w:p w14:paraId="1940BA4F">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w:t>
            </w:r>
          </w:p>
        </w:tc>
        <w:tc>
          <w:tcPr>
            <w:tcW w:w="1989" w:type="dxa"/>
            <w:tcBorders>
              <w:tl2br w:val="nil"/>
              <w:tr2bl w:val="nil"/>
            </w:tcBorders>
            <w:noWrap w:val="0"/>
            <w:vAlign w:val="center"/>
          </w:tcPr>
          <w:p w14:paraId="2B24CC61">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-0.001</w:t>
            </w:r>
          </w:p>
        </w:tc>
      </w:tr>
      <w:tr w14:paraId="5987A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0B23202C">
            <w:pPr>
              <w:widowControl/>
              <w:adjustRightInd/>
              <w:spacing w:line="240" w:lineRule="auto"/>
              <w:ind w:firstLine="0" w:firstLineChars="0"/>
              <w:jc w:val="left"/>
              <w:textAlignment w:val="auto"/>
              <w:rPr>
                <w:color w:val="000000"/>
                <w:sz w:val="21"/>
                <w:szCs w:val="21"/>
              </w:rPr>
            </w:pPr>
          </w:p>
        </w:tc>
        <w:tc>
          <w:tcPr>
            <w:tcW w:w="1440" w:type="dxa"/>
            <w:vMerge w:val="restart"/>
            <w:tcBorders>
              <w:tl2br w:val="nil"/>
              <w:tr2bl w:val="nil"/>
            </w:tcBorders>
            <w:noWrap w:val="0"/>
            <w:vAlign w:val="center"/>
          </w:tcPr>
          <w:p w14:paraId="4F5F6656">
            <w:pPr>
              <w:widowControl/>
              <w:adjustRightInd/>
              <w:spacing w:line="240" w:lineRule="auto"/>
              <w:ind w:firstLine="0" w:firstLineChars="0"/>
              <w:jc w:val="center"/>
              <w:textAlignment w:val="auto"/>
              <w:rPr>
                <w:color w:val="000000"/>
                <w:sz w:val="21"/>
                <w:szCs w:val="21"/>
              </w:rPr>
            </w:pPr>
            <w:r>
              <w:rPr>
                <w:color w:val="000000"/>
                <w:sz w:val="21"/>
                <w:szCs w:val="21"/>
              </w:rPr>
              <w:t>一般固废</w:t>
            </w:r>
          </w:p>
        </w:tc>
        <w:tc>
          <w:tcPr>
            <w:tcW w:w="2415" w:type="dxa"/>
            <w:tcBorders>
              <w:tl2br w:val="nil"/>
              <w:tr2bl w:val="nil"/>
            </w:tcBorders>
            <w:noWrap w:val="0"/>
            <w:vAlign w:val="center"/>
          </w:tcPr>
          <w:p w14:paraId="20378791">
            <w:pPr>
              <w:pStyle w:val="24"/>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cs="Times New Roman"/>
                <w:color w:val="auto"/>
                <w:u w:val="none"/>
                <w:lang w:val="en-US" w:eastAsia="zh-CN"/>
              </w:rPr>
              <w:t>循环沉淀池</w:t>
            </w:r>
            <w:r>
              <w:rPr>
                <w:rFonts w:hint="default" w:ascii="Times New Roman" w:hAnsi="Times New Roman" w:cs="Times New Roman"/>
                <w:color w:val="auto"/>
                <w:u w:val="none"/>
                <w:lang w:eastAsia="zh-CN"/>
              </w:rPr>
              <w:t>沉渣</w:t>
            </w:r>
          </w:p>
        </w:tc>
        <w:tc>
          <w:tcPr>
            <w:tcW w:w="2310" w:type="dxa"/>
            <w:tcBorders>
              <w:tl2br w:val="nil"/>
              <w:tr2bl w:val="nil"/>
            </w:tcBorders>
            <w:noWrap w:val="0"/>
            <w:vAlign w:val="center"/>
          </w:tcPr>
          <w:p w14:paraId="25FD6F03">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0.05</w:t>
            </w:r>
          </w:p>
        </w:tc>
        <w:tc>
          <w:tcPr>
            <w:tcW w:w="2422" w:type="dxa"/>
            <w:tcBorders>
              <w:tl2br w:val="nil"/>
              <w:tr2bl w:val="nil"/>
            </w:tcBorders>
            <w:noWrap w:val="0"/>
            <w:vAlign w:val="center"/>
          </w:tcPr>
          <w:p w14:paraId="353BF09C">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-0.05</w:t>
            </w:r>
          </w:p>
        </w:tc>
        <w:tc>
          <w:tcPr>
            <w:tcW w:w="2423" w:type="dxa"/>
            <w:tcBorders>
              <w:tl2br w:val="nil"/>
              <w:tr2bl w:val="nil"/>
            </w:tcBorders>
            <w:noWrap w:val="0"/>
            <w:vAlign w:val="center"/>
          </w:tcPr>
          <w:p w14:paraId="4DDC8567">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0.05</w:t>
            </w:r>
          </w:p>
        </w:tc>
        <w:tc>
          <w:tcPr>
            <w:tcW w:w="1989" w:type="dxa"/>
            <w:tcBorders>
              <w:tl2br w:val="nil"/>
              <w:tr2bl w:val="nil"/>
            </w:tcBorders>
            <w:noWrap w:val="0"/>
            <w:vAlign w:val="center"/>
          </w:tcPr>
          <w:p w14:paraId="117D34B2">
            <w:pPr>
              <w:widowControl/>
              <w:adjustRightInd/>
              <w:spacing w:line="240" w:lineRule="auto"/>
              <w:ind w:firstLine="0" w:firstLineChars="0"/>
              <w:jc w:val="center"/>
              <w:textAlignment w:val="auto"/>
              <w:rPr>
                <w:rFonts w:hint="eastAsia" w:eastAsia="宋体"/>
                <w:color w:val="000000"/>
                <w:sz w:val="21"/>
                <w:szCs w:val="21"/>
                <w:lang w:val="en-US" w:eastAsia="zh-CN"/>
              </w:rPr>
            </w:pPr>
            <w:r>
              <w:rPr>
                <w:rFonts w:hint="eastAsia"/>
                <w:color w:val="000000"/>
                <w:sz w:val="21"/>
                <w:szCs w:val="21"/>
                <w:lang w:val="en-US" w:eastAsia="zh-CN"/>
              </w:rPr>
              <w:t>0</w:t>
            </w:r>
          </w:p>
        </w:tc>
      </w:tr>
      <w:tr w14:paraId="576436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4A34F98B">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54DC9095">
            <w:pPr>
              <w:widowControl/>
              <w:adjustRightInd/>
              <w:spacing w:line="240" w:lineRule="auto"/>
              <w:ind w:firstLine="0" w:firstLineChars="0"/>
              <w:jc w:val="center"/>
              <w:textAlignment w:val="auto"/>
              <w:rPr>
                <w:color w:val="000000"/>
                <w:sz w:val="21"/>
                <w:szCs w:val="21"/>
              </w:rPr>
            </w:pPr>
          </w:p>
        </w:tc>
        <w:tc>
          <w:tcPr>
            <w:tcW w:w="2415" w:type="dxa"/>
            <w:tcBorders>
              <w:tl2br w:val="nil"/>
              <w:tr2bl w:val="nil"/>
            </w:tcBorders>
            <w:noWrap w:val="0"/>
            <w:vAlign w:val="center"/>
          </w:tcPr>
          <w:p w14:paraId="6028652B">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不合格产品、边角料</w:t>
            </w:r>
          </w:p>
        </w:tc>
        <w:tc>
          <w:tcPr>
            <w:tcW w:w="2310" w:type="dxa"/>
            <w:tcBorders>
              <w:tl2br w:val="nil"/>
              <w:tr2bl w:val="nil"/>
            </w:tcBorders>
            <w:noWrap w:val="0"/>
            <w:vAlign w:val="center"/>
          </w:tcPr>
          <w:p w14:paraId="33BA8490">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950</w:t>
            </w:r>
          </w:p>
        </w:tc>
        <w:tc>
          <w:tcPr>
            <w:tcW w:w="2422" w:type="dxa"/>
            <w:tcBorders>
              <w:tl2br w:val="nil"/>
              <w:tr2bl w:val="nil"/>
            </w:tcBorders>
            <w:noWrap w:val="0"/>
            <w:vAlign w:val="center"/>
          </w:tcPr>
          <w:p w14:paraId="78982528">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-950</w:t>
            </w:r>
          </w:p>
        </w:tc>
        <w:tc>
          <w:tcPr>
            <w:tcW w:w="2423" w:type="dxa"/>
            <w:tcBorders>
              <w:tl2br w:val="nil"/>
              <w:tr2bl w:val="nil"/>
            </w:tcBorders>
            <w:noWrap w:val="0"/>
            <w:vAlign w:val="center"/>
          </w:tcPr>
          <w:p w14:paraId="20CD7BA1">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1550</w:t>
            </w:r>
          </w:p>
        </w:tc>
        <w:tc>
          <w:tcPr>
            <w:tcW w:w="1989" w:type="dxa"/>
            <w:tcBorders>
              <w:tl2br w:val="nil"/>
              <w:tr2bl w:val="nil"/>
            </w:tcBorders>
            <w:noWrap w:val="0"/>
            <w:vAlign w:val="center"/>
          </w:tcPr>
          <w:p w14:paraId="0714C5D7">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+600</w:t>
            </w:r>
          </w:p>
        </w:tc>
      </w:tr>
      <w:tr w14:paraId="71D21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2699FD5E">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579F9508">
            <w:pPr>
              <w:widowControl/>
              <w:adjustRightInd/>
              <w:spacing w:line="240" w:lineRule="auto"/>
              <w:ind w:firstLine="0" w:firstLineChars="0"/>
              <w:jc w:val="center"/>
              <w:textAlignment w:val="auto"/>
              <w:rPr>
                <w:color w:val="000000"/>
                <w:sz w:val="21"/>
                <w:szCs w:val="21"/>
              </w:rPr>
            </w:pPr>
          </w:p>
        </w:tc>
        <w:tc>
          <w:tcPr>
            <w:tcW w:w="2415" w:type="dxa"/>
            <w:tcBorders>
              <w:tl2br w:val="nil"/>
              <w:tr2bl w:val="nil"/>
            </w:tcBorders>
            <w:noWrap w:val="0"/>
            <w:vAlign w:val="center"/>
          </w:tcPr>
          <w:p w14:paraId="6D5CCEAC">
            <w:pPr>
              <w:pStyle w:val="24"/>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cs="Times New Roman"/>
                <w:color w:val="auto"/>
                <w:u w:val="none"/>
                <w:lang w:val="en-US" w:eastAsia="zh-CN"/>
              </w:rPr>
              <w:t>收集到的粉尘</w:t>
            </w:r>
          </w:p>
        </w:tc>
        <w:tc>
          <w:tcPr>
            <w:tcW w:w="2310" w:type="dxa"/>
            <w:tcBorders>
              <w:tl2br w:val="nil"/>
              <w:tr2bl w:val="nil"/>
            </w:tcBorders>
            <w:noWrap w:val="0"/>
            <w:vAlign w:val="center"/>
          </w:tcPr>
          <w:p w14:paraId="4D87010F">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10.834</w:t>
            </w:r>
          </w:p>
        </w:tc>
        <w:tc>
          <w:tcPr>
            <w:tcW w:w="2422" w:type="dxa"/>
            <w:tcBorders>
              <w:tl2br w:val="nil"/>
              <w:tr2bl w:val="nil"/>
            </w:tcBorders>
            <w:noWrap w:val="0"/>
            <w:vAlign w:val="center"/>
          </w:tcPr>
          <w:p w14:paraId="7EB39869">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-10.834</w:t>
            </w:r>
          </w:p>
        </w:tc>
        <w:tc>
          <w:tcPr>
            <w:tcW w:w="2423" w:type="dxa"/>
            <w:tcBorders>
              <w:tl2br w:val="nil"/>
              <w:tr2bl w:val="nil"/>
            </w:tcBorders>
            <w:noWrap w:val="0"/>
            <w:vAlign w:val="center"/>
          </w:tcPr>
          <w:p w14:paraId="4C70759D">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8.716</w:t>
            </w:r>
          </w:p>
        </w:tc>
        <w:tc>
          <w:tcPr>
            <w:tcW w:w="1989" w:type="dxa"/>
            <w:tcBorders>
              <w:tl2br w:val="nil"/>
              <w:tr2bl w:val="nil"/>
            </w:tcBorders>
            <w:noWrap w:val="0"/>
            <w:vAlign w:val="center"/>
          </w:tcPr>
          <w:p w14:paraId="49F33419">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-2.118</w:t>
            </w:r>
          </w:p>
        </w:tc>
      </w:tr>
      <w:tr w14:paraId="292D1A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21DBF7EA">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16122C5A">
            <w:pPr>
              <w:widowControl/>
              <w:adjustRightInd/>
              <w:spacing w:line="240" w:lineRule="auto"/>
              <w:ind w:firstLine="0" w:firstLineChars="0"/>
              <w:jc w:val="center"/>
              <w:textAlignment w:val="auto"/>
              <w:rPr>
                <w:color w:val="000000"/>
                <w:sz w:val="21"/>
                <w:szCs w:val="21"/>
              </w:rPr>
            </w:pPr>
          </w:p>
        </w:tc>
        <w:tc>
          <w:tcPr>
            <w:tcW w:w="2415" w:type="dxa"/>
            <w:tcBorders>
              <w:tl2br w:val="nil"/>
              <w:tr2bl w:val="nil"/>
            </w:tcBorders>
            <w:noWrap w:val="0"/>
            <w:vAlign w:val="center"/>
          </w:tcPr>
          <w:p w14:paraId="11D9AA6F">
            <w:pPr>
              <w:pStyle w:val="24"/>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cs="Times New Roman"/>
                <w:color w:val="auto"/>
                <w:u w:val="none"/>
                <w:lang w:val="en-US" w:eastAsia="zh-CN"/>
              </w:rPr>
              <w:t>一般性废包装材料</w:t>
            </w:r>
          </w:p>
        </w:tc>
        <w:tc>
          <w:tcPr>
            <w:tcW w:w="2310" w:type="dxa"/>
            <w:tcBorders>
              <w:tl2br w:val="nil"/>
              <w:tr2bl w:val="nil"/>
            </w:tcBorders>
            <w:noWrap w:val="0"/>
            <w:vAlign w:val="center"/>
          </w:tcPr>
          <w:p w14:paraId="7A6BCDCE">
            <w:pPr>
              <w:widowControl/>
              <w:adjustRightInd/>
              <w:spacing w:line="240" w:lineRule="auto"/>
              <w:ind w:firstLine="0" w:firstLineChars="0"/>
              <w:jc w:val="center"/>
              <w:textAlignment w:val="auto"/>
              <w:rPr>
                <w:rFonts w:hint="eastAsia" w:eastAsia="宋体"/>
                <w:color w:val="000000"/>
                <w:sz w:val="21"/>
                <w:szCs w:val="21"/>
                <w:lang w:val="en-US" w:eastAsia="zh-CN"/>
              </w:rPr>
            </w:pPr>
            <w:r>
              <w:rPr>
                <w:rFonts w:hint="eastAsia"/>
                <w:color w:val="000000"/>
                <w:sz w:val="21"/>
                <w:szCs w:val="21"/>
                <w:lang w:val="en-US" w:eastAsia="zh-CN"/>
              </w:rPr>
              <w:t>2</w:t>
            </w:r>
          </w:p>
        </w:tc>
        <w:tc>
          <w:tcPr>
            <w:tcW w:w="2422" w:type="dxa"/>
            <w:tcBorders>
              <w:tl2br w:val="nil"/>
              <w:tr2bl w:val="nil"/>
            </w:tcBorders>
            <w:noWrap w:val="0"/>
            <w:vAlign w:val="center"/>
          </w:tcPr>
          <w:p w14:paraId="581AF07E">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-2</w:t>
            </w:r>
          </w:p>
        </w:tc>
        <w:tc>
          <w:tcPr>
            <w:tcW w:w="2423" w:type="dxa"/>
            <w:tcBorders>
              <w:tl2br w:val="nil"/>
              <w:tr2bl w:val="nil"/>
            </w:tcBorders>
            <w:noWrap w:val="0"/>
            <w:vAlign w:val="center"/>
          </w:tcPr>
          <w:p w14:paraId="107BAFD9">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5（含水性胶粘剂包装桶）</w:t>
            </w:r>
          </w:p>
        </w:tc>
        <w:tc>
          <w:tcPr>
            <w:tcW w:w="1989" w:type="dxa"/>
            <w:tcBorders>
              <w:tl2br w:val="nil"/>
              <w:tr2bl w:val="nil"/>
            </w:tcBorders>
            <w:noWrap w:val="0"/>
            <w:vAlign w:val="center"/>
          </w:tcPr>
          <w:p w14:paraId="699EFC02">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+3</w:t>
            </w:r>
          </w:p>
        </w:tc>
      </w:tr>
      <w:tr w14:paraId="3659EA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5" w:type="dxa"/>
            <w:vMerge w:val="continue"/>
            <w:tcBorders>
              <w:tl2br w:val="nil"/>
              <w:tr2bl w:val="nil"/>
            </w:tcBorders>
            <w:noWrap w:val="0"/>
            <w:vAlign w:val="center"/>
          </w:tcPr>
          <w:p w14:paraId="353F7A23">
            <w:pPr>
              <w:widowControl/>
              <w:adjustRightInd/>
              <w:spacing w:line="240" w:lineRule="auto"/>
              <w:ind w:firstLine="0" w:firstLineChars="0"/>
              <w:jc w:val="left"/>
              <w:textAlignment w:val="auto"/>
              <w:rPr>
                <w:color w:val="000000"/>
                <w:sz w:val="21"/>
                <w:szCs w:val="21"/>
              </w:rPr>
            </w:pPr>
          </w:p>
        </w:tc>
        <w:tc>
          <w:tcPr>
            <w:tcW w:w="1440" w:type="dxa"/>
            <w:vMerge w:val="continue"/>
            <w:tcBorders>
              <w:tl2br w:val="nil"/>
              <w:tr2bl w:val="nil"/>
            </w:tcBorders>
            <w:noWrap w:val="0"/>
            <w:vAlign w:val="center"/>
          </w:tcPr>
          <w:p w14:paraId="7150E4E3">
            <w:pPr>
              <w:widowControl/>
              <w:adjustRightInd/>
              <w:spacing w:line="240" w:lineRule="auto"/>
              <w:ind w:firstLine="0" w:firstLineChars="0"/>
              <w:jc w:val="center"/>
              <w:textAlignment w:val="auto"/>
              <w:rPr>
                <w:color w:val="000000"/>
                <w:sz w:val="21"/>
                <w:szCs w:val="21"/>
              </w:rPr>
            </w:pPr>
          </w:p>
        </w:tc>
        <w:tc>
          <w:tcPr>
            <w:tcW w:w="2415" w:type="dxa"/>
            <w:tcBorders>
              <w:tl2br w:val="nil"/>
              <w:tr2bl w:val="nil"/>
            </w:tcBorders>
            <w:noWrap w:val="0"/>
            <w:vAlign w:val="center"/>
          </w:tcPr>
          <w:p w14:paraId="546A0CC0">
            <w:pPr>
              <w:pStyle w:val="24"/>
              <w:rPr>
                <w:rFonts w:hint="default" w:ascii="Times New Roman" w:hAnsi="Times New Roman" w:cs="Times New Roman"/>
                <w:color w:val="auto"/>
                <w:u w:val="none"/>
                <w:lang w:val="en-US" w:eastAsia="zh-CN"/>
              </w:rPr>
            </w:pPr>
            <w:r>
              <w:rPr>
                <w:rFonts w:hint="eastAsia" w:ascii="Times New Roman" w:hAnsi="Times New Roman" w:cs="Times New Roman"/>
                <w:color w:val="auto"/>
                <w:u w:val="none"/>
                <w:lang w:val="en-US" w:eastAsia="zh-CN"/>
              </w:rPr>
              <w:t>废膜</w:t>
            </w:r>
          </w:p>
        </w:tc>
        <w:tc>
          <w:tcPr>
            <w:tcW w:w="2310" w:type="dxa"/>
            <w:tcBorders>
              <w:tl2br w:val="nil"/>
              <w:tr2bl w:val="nil"/>
            </w:tcBorders>
            <w:noWrap w:val="0"/>
            <w:vAlign w:val="center"/>
          </w:tcPr>
          <w:p w14:paraId="7233AC32">
            <w:pPr>
              <w:widowControl/>
              <w:adjustRightInd/>
              <w:spacing w:line="240" w:lineRule="auto"/>
              <w:ind w:firstLine="0" w:firstLineChars="0"/>
              <w:jc w:val="center"/>
              <w:textAlignment w:val="auto"/>
              <w:rPr>
                <w:rFonts w:hint="default"/>
                <w:color w:val="000000"/>
                <w:sz w:val="21"/>
                <w:szCs w:val="21"/>
                <w:lang w:val="en-US" w:eastAsia="zh-CN"/>
              </w:rPr>
            </w:pPr>
            <w:r>
              <w:rPr>
                <w:rFonts w:hint="eastAsia"/>
                <w:color w:val="000000"/>
                <w:sz w:val="21"/>
                <w:szCs w:val="21"/>
                <w:lang w:val="en-US" w:eastAsia="zh-CN"/>
              </w:rPr>
              <w:t>0</w:t>
            </w:r>
          </w:p>
        </w:tc>
        <w:tc>
          <w:tcPr>
            <w:tcW w:w="2422" w:type="dxa"/>
            <w:tcBorders>
              <w:tl2br w:val="nil"/>
              <w:tr2bl w:val="nil"/>
            </w:tcBorders>
            <w:noWrap w:val="0"/>
            <w:vAlign w:val="center"/>
          </w:tcPr>
          <w:p w14:paraId="2580DFDA">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0</w:t>
            </w:r>
          </w:p>
        </w:tc>
        <w:tc>
          <w:tcPr>
            <w:tcW w:w="2423" w:type="dxa"/>
            <w:tcBorders>
              <w:tl2br w:val="nil"/>
              <w:tr2bl w:val="nil"/>
            </w:tcBorders>
            <w:noWrap w:val="0"/>
            <w:vAlign w:val="center"/>
          </w:tcPr>
          <w:p w14:paraId="3AD16D4D">
            <w:pPr>
              <w:widowControl/>
              <w:adjustRightInd/>
              <w:spacing w:line="240" w:lineRule="auto"/>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olor w:val="000000"/>
                <w:sz w:val="21"/>
                <w:szCs w:val="21"/>
                <w:lang w:val="en-US" w:eastAsia="zh-CN"/>
              </w:rPr>
              <w:t>11</w:t>
            </w:r>
          </w:p>
        </w:tc>
        <w:tc>
          <w:tcPr>
            <w:tcW w:w="1989" w:type="dxa"/>
            <w:tcBorders>
              <w:tl2br w:val="nil"/>
              <w:tr2bl w:val="nil"/>
            </w:tcBorders>
            <w:noWrap w:val="0"/>
            <w:vAlign w:val="center"/>
          </w:tcPr>
          <w:p w14:paraId="176F0306">
            <w:pPr>
              <w:widowControl/>
              <w:adjustRightInd/>
              <w:spacing w:line="240" w:lineRule="auto"/>
              <w:ind w:firstLine="0" w:firstLineChars="0"/>
              <w:jc w:val="center"/>
              <w:textAlignment w:val="auto"/>
              <w:rPr>
                <w:rFonts w:hint="default" w:eastAsia="宋体"/>
                <w:color w:val="000000"/>
                <w:sz w:val="21"/>
                <w:szCs w:val="21"/>
                <w:lang w:val="en-US" w:eastAsia="zh-CN"/>
              </w:rPr>
            </w:pPr>
            <w:r>
              <w:rPr>
                <w:rFonts w:hint="eastAsia"/>
                <w:color w:val="000000"/>
                <w:sz w:val="21"/>
                <w:szCs w:val="21"/>
                <w:lang w:val="en-US" w:eastAsia="zh-CN"/>
              </w:rPr>
              <w:t>+11</w:t>
            </w:r>
          </w:p>
        </w:tc>
      </w:tr>
    </w:tbl>
    <w:p w14:paraId="224543DC">
      <w:pPr>
        <w:ind w:firstLine="480"/>
      </w:pPr>
    </w:p>
    <w:p w14:paraId="5FF65594">
      <w:pPr>
        <w:pStyle w:val="3"/>
        <w:bidi w:val="0"/>
        <w:rPr>
          <w:rFonts w:hint="eastAsia"/>
          <w:color w:val="auto"/>
          <w:u w:val="none" w:color="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592DE03">
      <w:pPr>
        <w:pStyle w:val="2"/>
        <w:bidi w:val="0"/>
        <w:rPr>
          <w:rFonts w:hint="default"/>
          <w:color w:val="auto"/>
          <w:u w:val="none" w:color="auto"/>
        </w:rPr>
      </w:pPr>
      <w:bookmarkStart w:id="666" w:name="_Toc26568"/>
      <w:bookmarkStart w:id="667" w:name="_Toc2194"/>
      <w:bookmarkStart w:id="668" w:name="_Toc14080"/>
      <w:r>
        <w:rPr>
          <w:rFonts w:hint="eastAsia"/>
          <w:color w:val="auto"/>
          <w:u w:val="none" w:color="auto"/>
          <w:lang w:val="en-US" w:eastAsia="zh-CN"/>
        </w:rPr>
        <w:t>5</w:t>
      </w:r>
      <w:r>
        <w:rPr>
          <w:rFonts w:hint="default"/>
          <w:color w:val="auto"/>
          <w:u w:val="none" w:color="auto"/>
        </w:rPr>
        <w:t>、建设项目区域环境概况</w:t>
      </w:r>
      <w:bookmarkEnd w:id="657"/>
      <w:bookmarkEnd w:id="658"/>
      <w:bookmarkEnd w:id="659"/>
      <w:bookmarkEnd w:id="660"/>
      <w:bookmarkEnd w:id="666"/>
      <w:bookmarkEnd w:id="667"/>
      <w:bookmarkEnd w:id="668"/>
    </w:p>
    <w:p w14:paraId="26227610">
      <w:pPr>
        <w:pStyle w:val="3"/>
        <w:bidi w:val="0"/>
        <w:rPr>
          <w:rFonts w:hint="default"/>
          <w:color w:val="auto"/>
          <w:u w:val="none" w:color="auto"/>
        </w:rPr>
      </w:pPr>
      <w:bookmarkStart w:id="669" w:name="_Toc30548"/>
      <w:bookmarkStart w:id="670" w:name="_Toc2909"/>
      <w:bookmarkStart w:id="671" w:name="_Toc11832"/>
      <w:bookmarkStart w:id="672" w:name="_Toc1351"/>
      <w:bookmarkStart w:id="673" w:name="_Toc32243"/>
      <w:bookmarkStart w:id="674" w:name="_Toc13848"/>
      <w:bookmarkStart w:id="675" w:name="_Toc372124950"/>
      <w:bookmarkStart w:id="676" w:name="_Toc11092"/>
      <w:bookmarkStart w:id="677" w:name="_Toc31651"/>
      <w:r>
        <w:rPr>
          <w:rFonts w:hint="eastAsia"/>
          <w:color w:val="auto"/>
          <w:u w:val="none" w:color="auto"/>
          <w:lang w:val="en-US" w:eastAsia="zh-CN"/>
        </w:rPr>
        <w:t>5</w:t>
      </w:r>
      <w:r>
        <w:rPr>
          <w:rFonts w:hint="default"/>
          <w:color w:val="auto"/>
          <w:u w:val="none" w:color="auto"/>
          <w:lang w:val="en-US" w:eastAsia="zh-CN"/>
        </w:rPr>
        <w:t>.1</w:t>
      </w:r>
      <w:r>
        <w:rPr>
          <w:rFonts w:hint="default"/>
          <w:color w:val="auto"/>
          <w:u w:val="none" w:color="auto"/>
        </w:rPr>
        <w:t>自然环境概况</w:t>
      </w:r>
      <w:bookmarkEnd w:id="669"/>
      <w:bookmarkEnd w:id="670"/>
      <w:bookmarkEnd w:id="671"/>
      <w:bookmarkEnd w:id="672"/>
      <w:bookmarkEnd w:id="673"/>
    </w:p>
    <w:p w14:paraId="3E244D63">
      <w:pPr>
        <w:pStyle w:val="4"/>
        <w:bidi w:val="0"/>
        <w:rPr>
          <w:rFonts w:hint="default"/>
          <w:color w:val="auto"/>
          <w:u w:val="none" w:color="auto"/>
        </w:rPr>
      </w:pPr>
      <w:bookmarkStart w:id="678" w:name="_Toc9273"/>
      <w:bookmarkStart w:id="679" w:name="_Toc4084"/>
      <w:bookmarkStart w:id="680" w:name="_Toc30649"/>
      <w:bookmarkStart w:id="681" w:name="_Toc28014"/>
      <w:bookmarkStart w:id="682" w:name="_Toc31946"/>
      <w:bookmarkStart w:id="683" w:name="_Toc2943"/>
      <w:bookmarkStart w:id="684" w:name="_Toc82"/>
      <w:bookmarkStart w:id="685" w:name="_Toc17355"/>
      <w:bookmarkStart w:id="686" w:name="_Toc5802"/>
      <w:bookmarkStart w:id="687" w:name="_Toc20361"/>
      <w:bookmarkStart w:id="688" w:name="_Toc24564"/>
      <w:bookmarkStart w:id="689" w:name="_Toc10427"/>
      <w:bookmarkStart w:id="690" w:name="_Toc311"/>
      <w:bookmarkStart w:id="691" w:name="_Toc10045"/>
      <w:bookmarkStart w:id="692" w:name="_Toc12385"/>
      <w:bookmarkStart w:id="693" w:name="_Toc6341"/>
      <w:bookmarkStart w:id="694" w:name="_Toc25750"/>
      <w:bookmarkStart w:id="695" w:name="_Toc26400"/>
      <w:bookmarkStart w:id="696" w:name="_Toc25734"/>
      <w:r>
        <w:rPr>
          <w:rFonts w:hint="eastAsia"/>
          <w:color w:val="auto"/>
          <w:u w:val="none" w:color="auto"/>
          <w:lang w:val="en-US" w:eastAsia="zh-CN"/>
        </w:rPr>
        <w:t>5</w:t>
      </w:r>
      <w:r>
        <w:rPr>
          <w:rFonts w:hint="default"/>
          <w:color w:val="auto"/>
          <w:u w:val="none" w:color="auto"/>
          <w:lang w:val="en-US" w:eastAsia="zh-CN"/>
        </w:rPr>
        <w:t>.1</w:t>
      </w:r>
      <w:r>
        <w:rPr>
          <w:rFonts w:hint="default"/>
          <w:color w:val="auto"/>
          <w:u w:val="none" w:color="auto"/>
        </w:rPr>
        <w:t>.1地理位置</w:t>
      </w:r>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4934CE71">
      <w:pPr>
        <w:pStyle w:val="20"/>
        <w:ind w:firstLine="480"/>
        <w:rPr>
          <w:rFonts w:hint="default" w:ascii="Times New Roman" w:hAnsi="Times New Roman" w:eastAsia="宋体" w:cs="Times New Roman"/>
          <w:color w:val="auto"/>
          <w:highlight w:val="none"/>
          <w:u w:val="none" w:color="auto"/>
        </w:rPr>
      </w:pPr>
      <w:bookmarkStart w:id="697" w:name="_Toc344150133"/>
      <w:bookmarkStart w:id="698" w:name="_Toc343197198"/>
      <w:bookmarkStart w:id="699" w:name="_Toc343093420"/>
      <w:bookmarkStart w:id="700" w:name="_Toc343088623"/>
      <w:r>
        <w:rPr>
          <w:rFonts w:hint="default" w:ascii="Times New Roman" w:hAnsi="Times New Roman" w:eastAsia="宋体" w:cs="Times New Roman"/>
          <w:color w:val="auto"/>
          <w:u w:val="none" w:color="auto"/>
        </w:rPr>
        <w:t>汨罗市处湖南省东北部，紧靠南洞庭湖东畔、汨罗江下游，位于东经 112°51′～113°27′，北纬 28°28′～29°27′。</w:t>
      </w:r>
      <w:r>
        <w:rPr>
          <w:rFonts w:hint="default" w:ascii="Times New Roman" w:hAnsi="Times New Roman" w:eastAsia="宋体" w:cs="Times New Roman"/>
          <w:color w:val="auto"/>
          <w:highlight w:val="none"/>
          <w:u w:val="none" w:color="auto"/>
        </w:rPr>
        <w:t>市境东部和东南部与长沙县毗连，南与望城县接壤，西邻湘阴县和沅江县，北接岳阳县，东北与平江县交界。市境南北相距66.75km，东西相距62.5km，全境周长301.84km，总面积1561.95km</w:t>
      </w:r>
      <w:r>
        <w:rPr>
          <w:rFonts w:hint="default" w:ascii="Times New Roman" w:hAnsi="Times New Roman" w:eastAsia="宋体" w:cs="Times New Roman"/>
          <w:color w:val="auto"/>
          <w:highlight w:val="none"/>
          <w:u w:val="none" w:color="auto"/>
          <w:vertAlign w:val="superscript"/>
        </w:rPr>
        <w:t>2</w:t>
      </w:r>
      <w:r>
        <w:rPr>
          <w:rFonts w:hint="default" w:ascii="Times New Roman" w:hAnsi="Times New Roman" w:eastAsia="宋体" w:cs="Times New Roman"/>
          <w:color w:val="auto"/>
          <w:highlight w:val="none"/>
          <w:u w:val="none" w:color="auto"/>
        </w:rPr>
        <w:t>，占全省总面积的0.75%，占岳阳市面积的10.4%，汨罗市城区面积12.37km</w:t>
      </w:r>
      <w:r>
        <w:rPr>
          <w:rFonts w:hint="default" w:ascii="Times New Roman" w:hAnsi="Times New Roman" w:eastAsia="宋体" w:cs="Times New Roman"/>
          <w:color w:val="auto"/>
          <w:highlight w:val="none"/>
          <w:u w:val="none" w:color="auto"/>
          <w:vertAlign w:val="superscript"/>
        </w:rPr>
        <w:t>2</w:t>
      </w:r>
      <w:r>
        <w:rPr>
          <w:rFonts w:hint="default" w:ascii="Times New Roman" w:hAnsi="Times New Roman" w:eastAsia="宋体" w:cs="Times New Roman"/>
          <w:color w:val="auto"/>
          <w:highlight w:val="none"/>
          <w:u w:val="none" w:color="auto"/>
        </w:rPr>
        <w:t>。因境内有汨水、罗水会合，其下游名汨罗江，因此而得市名。</w:t>
      </w:r>
    </w:p>
    <w:p w14:paraId="118084AE">
      <w:pPr>
        <w:pStyle w:val="20"/>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汨罗高新技术产业开发区位于汨罗市东部，新市镇团山村、新书村、合心村及城郊上马村为中心的区域内，东临平江县伍市镇，规划占地面积418.5hm</w:t>
      </w:r>
      <w:r>
        <w:rPr>
          <w:rFonts w:hint="default" w:ascii="Times New Roman" w:hAnsi="Times New Roman" w:eastAsia="宋体" w:cs="Times New Roman"/>
          <w:color w:val="auto"/>
          <w:highlight w:val="none"/>
          <w:u w:val="none" w:color="auto"/>
          <w:vertAlign w:val="superscript"/>
        </w:rPr>
        <w:t>2</w:t>
      </w:r>
      <w:r>
        <w:rPr>
          <w:rFonts w:hint="default" w:ascii="Times New Roman" w:hAnsi="Times New Roman" w:eastAsia="宋体" w:cs="Times New Roman"/>
          <w:color w:val="auto"/>
          <w:highlight w:val="none"/>
          <w:u w:val="none" w:color="auto"/>
        </w:rPr>
        <w:t>，距汨罗市中心约4km。</w:t>
      </w:r>
      <w:r>
        <w:rPr>
          <w:rFonts w:hint="default" w:ascii="Times New Roman" w:hAnsi="Times New Roman" w:eastAsia="宋体" w:cs="Times New Roman"/>
          <w:color w:val="auto"/>
          <w:u w:val="none" w:color="auto"/>
        </w:rPr>
        <w:t>园区内道路以交通性道路为主，综合性道路为辅，整体采取方格网形式布置，局部随地形自由环形布置，形成三横二纵的路网骨架，道路等级以主干路、次干路、支路三级划分。</w:t>
      </w:r>
    </w:p>
    <w:p w14:paraId="26E9CC7B">
      <w:pPr>
        <w:pStyle w:val="20"/>
        <w:bidi w:val="0"/>
        <w:rPr>
          <w:rFonts w:hint="default" w:ascii="Times New Roman" w:hAnsi="Times New Roman" w:cs="Times New Roman"/>
          <w:color w:val="auto"/>
          <w:u w:val="none" w:color="auto"/>
          <w:shd w:val="clear" w:color="auto" w:fill="auto"/>
        </w:rPr>
      </w:pPr>
      <w:r>
        <w:rPr>
          <w:rFonts w:hint="default"/>
          <w:color w:val="auto"/>
          <w:u w:val="none" w:color="auto"/>
        </w:rPr>
        <w:t>本项目拟定厂址位于</w:t>
      </w:r>
      <w:r>
        <w:rPr>
          <w:rFonts w:hint="eastAsia"/>
          <w:color w:val="auto"/>
          <w:u w:val="none" w:color="auto"/>
          <w:lang w:val="en-US" w:eastAsia="zh-CN"/>
        </w:rPr>
        <w:t>湖南省岳阳市汨罗市汨罗高新技术产业开发区新市片区西片区龙舟路东侧合心路北侧（</w:t>
      </w:r>
      <w:r>
        <w:rPr>
          <w:rFonts w:hAnsi="宋体"/>
          <w:color w:val="auto"/>
          <w:sz w:val="24"/>
          <w:u w:val="none" w:color="auto"/>
        </w:rPr>
        <w:t>东经</w:t>
      </w:r>
      <w:r>
        <w:rPr>
          <w:rFonts w:hint="eastAsia"/>
          <w:color w:val="auto"/>
          <w:sz w:val="24"/>
          <w:u w:val="none" w:color="auto"/>
        </w:rPr>
        <w:t>113.142796</w:t>
      </w:r>
      <w:r>
        <w:rPr>
          <w:rFonts w:hAnsi="宋体"/>
          <w:color w:val="auto"/>
          <w:sz w:val="24"/>
          <w:u w:val="none" w:color="auto"/>
        </w:rPr>
        <w:t>、北纬</w:t>
      </w:r>
      <w:r>
        <w:rPr>
          <w:rFonts w:hint="eastAsia"/>
          <w:color w:val="auto"/>
          <w:sz w:val="24"/>
          <w:u w:val="none" w:color="auto"/>
        </w:rPr>
        <w:t>28.766586</w:t>
      </w:r>
      <w:r>
        <w:rPr>
          <w:rFonts w:hint="eastAsia"/>
          <w:color w:val="auto"/>
          <w:u w:val="none" w:color="auto"/>
          <w:lang w:val="en-US" w:eastAsia="zh-CN"/>
        </w:rPr>
        <w:t>）。</w:t>
      </w:r>
      <w:r>
        <w:rPr>
          <w:rFonts w:hint="default"/>
          <w:color w:val="auto"/>
          <w:u w:val="none" w:color="auto"/>
        </w:rPr>
        <w:t>其地理位置详见附图1。</w:t>
      </w:r>
    </w:p>
    <w:bookmarkEnd w:id="697"/>
    <w:bookmarkEnd w:id="698"/>
    <w:bookmarkEnd w:id="699"/>
    <w:bookmarkEnd w:id="700"/>
    <w:p w14:paraId="31A60260">
      <w:pPr>
        <w:pStyle w:val="4"/>
        <w:bidi w:val="0"/>
        <w:rPr>
          <w:rFonts w:hint="default"/>
          <w:color w:val="auto"/>
          <w:u w:val="none" w:color="auto"/>
        </w:rPr>
      </w:pPr>
      <w:bookmarkStart w:id="701" w:name="_Toc18244"/>
      <w:bookmarkStart w:id="702" w:name="_Toc14683"/>
      <w:bookmarkStart w:id="703" w:name="_Toc11144"/>
      <w:bookmarkStart w:id="704" w:name="_Toc24654"/>
      <w:bookmarkStart w:id="705" w:name="_Toc228"/>
      <w:bookmarkStart w:id="706" w:name="_Toc13226"/>
      <w:bookmarkStart w:id="707" w:name="_Toc1382"/>
      <w:bookmarkStart w:id="708" w:name="_Toc1938"/>
      <w:bookmarkStart w:id="709" w:name="_Toc32611"/>
      <w:bookmarkStart w:id="710" w:name="_Toc10617"/>
      <w:bookmarkStart w:id="711" w:name="_Toc3336"/>
      <w:bookmarkStart w:id="712" w:name="_Toc9037"/>
      <w:bookmarkStart w:id="713" w:name="_Toc14506"/>
      <w:bookmarkStart w:id="714" w:name="_Toc29709"/>
      <w:bookmarkStart w:id="715" w:name="_Toc32343"/>
      <w:bookmarkStart w:id="716" w:name="_Toc1893"/>
      <w:bookmarkStart w:id="717" w:name="_Toc21151"/>
      <w:bookmarkStart w:id="718" w:name="_Toc24206"/>
      <w:bookmarkStart w:id="719" w:name="_Toc19713"/>
      <w:r>
        <w:rPr>
          <w:rFonts w:hint="eastAsia"/>
          <w:color w:val="auto"/>
          <w:u w:val="none" w:color="auto"/>
          <w:lang w:val="en-US" w:eastAsia="zh-CN"/>
        </w:rPr>
        <w:t>5</w:t>
      </w:r>
      <w:r>
        <w:rPr>
          <w:rFonts w:hint="default"/>
          <w:color w:val="auto"/>
          <w:u w:val="none" w:color="auto"/>
          <w:lang w:val="en-US" w:eastAsia="zh-CN"/>
        </w:rPr>
        <w:t>.1</w:t>
      </w:r>
      <w:r>
        <w:rPr>
          <w:rFonts w:hint="default"/>
          <w:color w:val="auto"/>
          <w:u w:val="none" w:color="auto"/>
        </w:rPr>
        <w:t>.2地形、地质地貌</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14:paraId="439DFD47">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属幕阜山脉与洞庭湖之间的过渡地带，西临南洞庭湖。地势由东南向西北倾斜。园区所在地地貌以丘岗平原为主，其中107国道沿线和沿江大道沿线为地形较平整的平原地带，其余部分分布大量小型丘陵。自然地形地势起伏不大，地坪坡度15%以下。</w:t>
      </w:r>
    </w:p>
    <w:p w14:paraId="2A358FF7">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位于杨子准地台雪峰地轴中段，东部为临湘穹的瓮江一幕阜山隆起，西部为洞庭下沉的过渡性地带。由于长期的雨水淋溶、侵蚀，地壳抬升与沉降作用的继续，使得山地切割加强，冲沟发育，水系密布，江湖沉积物深，在洞庭湖及汨罗江沿岸一带形成土质肥沃，土层深厚的河湖平原。</w:t>
      </w:r>
    </w:p>
    <w:p w14:paraId="2A0E9D9E">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境内地层简单，由老到新依次为元古界冷家溪、中生界白垩系和新生界下第三系中村组、第四系。第四系更新统白水江组分布于新市镇一带，厚度为6.9-10m，底部为黄褐色砾石层，中部为黄褐色砂砾层，上部为黄褐色含锰质结核砂质粘土。</w:t>
      </w:r>
    </w:p>
    <w:p w14:paraId="61541FFE">
      <w:pPr>
        <w:pStyle w:val="20"/>
        <w:ind w:firstLine="48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场区地基主要为人工填土、耕作土、江南红壤和冲击沉积物堆积层组成，地质物理力学性质较好，场地内无不良地质现象。</w:t>
      </w:r>
    </w:p>
    <w:p w14:paraId="6BC2ED3D">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eastAsia="宋体" w:cs="Times New Roman"/>
          <w:color w:val="auto"/>
          <w:u w:val="none" w:color="auto"/>
        </w:rPr>
        <w:t>根据《中国地震动参数区划图》（GB18306-2015），地震设防烈度为7 度。</w:t>
      </w:r>
    </w:p>
    <w:p w14:paraId="03E2CBAB">
      <w:pPr>
        <w:pStyle w:val="4"/>
        <w:rPr>
          <w:rFonts w:hint="default" w:ascii="Times New Roman" w:hAnsi="Times New Roman" w:cs="Times New Roman"/>
          <w:color w:val="auto"/>
          <w:u w:val="none" w:color="auto"/>
          <w:shd w:val="clear" w:color="auto" w:fill="auto"/>
        </w:rPr>
      </w:pPr>
      <w:bookmarkStart w:id="720" w:name="_Toc3651"/>
      <w:bookmarkStart w:id="721" w:name="_Toc24233"/>
      <w:bookmarkStart w:id="722" w:name="_Toc25693"/>
      <w:bookmarkStart w:id="723" w:name="_Toc6658"/>
      <w:bookmarkStart w:id="724" w:name="_Toc26305"/>
      <w:bookmarkStart w:id="725" w:name="_Toc133"/>
      <w:bookmarkStart w:id="726" w:name="_Toc31014"/>
      <w:bookmarkStart w:id="727" w:name="_Toc15653"/>
      <w:bookmarkStart w:id="728" w:name="_Toc21705"/>
      <w:bookmarkStart w:id="729" w:name="_Toc8061"/>
      <w:bookmarkStart w:id="730" w:name="_Toc14042"/>
      <w:bookmarkStart w:id="731" w:name="_Toc19396"/>
      <w:bookmarkStart w:id="732" w:name="_Toc15144"/>
      <w:bookmarkStart w:id="733" w:name="_Toc29915"/>
      <w:bookmarkStart w:id="734" w:name="_Toc6316"/>
      <w:bookmarkStart w:id="735" w:name="_Toc12761"/>
      <w:bookmarkStart w:id="736" w:name="_Toc18538"/>
      <w:bookmarkStart w:id="737" w:name="_Toc21869"/>
      <w:bookmarkStart w:id="738" w:name="_Toc3786"/>
      <w:r>
        <w:rPr>
          <w:rFonts w:hint="eastAsia" w:ascii="Times New Roman" w:hAnsi="Times New Roman" w:cs="Times New Roman"/>
          <w:color w:val="auto"/>
          <w:u w:val="none" w:color="auto"/>
          <w:shd w:val="clear" w:color="auto" w:fill="auto"/>
          <w:lang w:val="en-US" w:eastAsia="zh-CN"/>
        </w:rPr>
        <w:t>5</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.3气候、气象</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p>
    <w:p w14:paraId="1A0AFACD">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汨罗市处于中亚热带向北亚热带过渡地区，属大陆性湿润季风气候。气候温暖，四季分明，热量充足，雨量集中，春温多变，夏秋多旱、严寒期短，暑热期长。具体参数如下：</w:t>
      </w:r>
    </w:p>
    <w:p w14:paraId="5CFD1157">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年均气温16.9°C，极端最高气温39.7°C</w:t>
      </w:r>
      <w:r>
        <w:rPr>
          <w:rFonts w:hint="eastAsia" w:ascii="Times New Roman" w:hAnsi="Times New Roman" w:cs="Times New Roman"/>
          <w:color w:val="auto"/>
          <w:u w:val="none" w:color="auto"/>
          <w:shd w:val="clear" w:color="auto" w:fill="auto"/>
          <w:lang w:eastAsia="zh-CN"/>
        </w:rPr>
        <w:t>，</w:t>
      </w:r>
      <w:r>
        <w:rPr>
          <w:rFonts w:hint="default" w:ascii="Times New Roman" w:hAnsi="Times New Roman" w:cs="Times New Roman"/>
          <w:color w:val="auto"/>
          <w:u w:val="none" w:color="auto"/>
          <w:shd w:val="clear" w:color="auto" w:fill="auto"/>
        </w:rPr>
        <w:t>极端最低气温-1</w:t>
      </w:r>
      <w:r>
        <w:rPr>
          <w:rFonts w:hint="eastAsia" w:ascii="Times New Roman" w:hAnsi="Times New Roman" w:cs="Times New Roman"/>
          <w:color w:val="auto"/>
          <w:u w:val="none" w:color="auto"/>
          <w:shd w:val="clear" w:color="auto" w:fill="auto"/>
          <w:lang w:val="en-US" w:eastAsia="zh-CN"/>
        </w:rPr>
        <w:t>4.3</w:t>
      </w:r>
      <w:r>
        <w:rPr>
          <w:rFonts w:hint="default" w:ascii="Times New Roman" w:hAnsi="Times New Roman" w:cs="Times New Roman"/>
          <w:color w:val="auto"/>
          <w:u w:val="none" w:color="auto"/>
          <w:shd w:val="clear" w:color="auto" w:fill="auto"/>
        </w:rPr>
        <w:t>°C。</w:t>
      </w:r>
    </w:p>
    <w:p w14:paraId="4A1F5E2B">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年均降水量1345.4mm,相对集中在4-8月，占全年总降水量61.5%。日最多降雨量159.9mm，最长连续降雨日数为18天，连续10天降雨量最多为432.2mm。</w:t>
      </w:r>
    </w:p>
    <w:p w14:paraId="1356DBFD">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年均降雪日数为10.5天，积雪厚度最大为10cm。</w:t>
      </w:r>
    </w:p>
    <w:p w14:paraId="1688FFB4">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风向，全年盛行风向为北风，以北风和西北风为最多，各占累计年风向的12%。其次是偏南风（6.7月）。静风多出现在夜间，占累计年风向的15%。</w:t>
      </w:r>
    </w:p>
    <w:p w14:paraId="3C833B18">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风速，年均风速为2.2m/s，历年最大风速12m/s以上多出现在偏北风。平时风速白天大于夜间，特别是5-7月的偏南风，白天常有4-5级，夜间只有1级左右。</w:t>
      </w:r>
    </w:p>
    <w:p w14:paraId="77D4B4DA">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年平均地面温度19.3C</w:t>
      </w:r>
      <w:r>
        <w:rPr>
          <w:rFonts w:hint="eastAsia" w:ascii="Times New Roman" w:hAnsi="Times New Roman" w:cs="Times New Roman"/>
          <w:color w:val="auto"/>
          <w:u w:val="none" w:color="auto"/>
          <w:shd w:val="clear" w:color="auto" w:fill="auto"/>
          <w:lang w:eastAsia="zh-CN"/>
        </w:rPr>
        <w:t>，</w:t>
      </w:r>
      <w:r>
        <w:rPr>
          <w:rFonts w:hint="default" w:ascii="Times New Roman" w:hAnsi="Times New Roman" w:cs="Times New Roman"/>
          <w:color w:val="auto"/>
          <w:u w:val="none" w:color="auto"/>
          <w:shd w:val="clear" w:color="auto" w:fill="auto"/>
        </w:rPr>
        <w:t>年平均霜日数24.8天，年均湿度为81%，年均蒸发量为1345.4mm。</w:t>
      </w:r>
    </w:p>
    <w:p w14:paraId="4AFFED68">
      <w:pPr>
        <w:pStyle w:val="4"/>
        <w:bidi w:val="0"/>
        <w:rPr>
          <w:rFonts w:hint="default"/>
          <w:color w:val="auto"/>
          <w:u w:val="none" w:color="auto"/>
        </w:rPr>
      </w:pPr>
      <w:bookmarkStart w:id="739" w:name="_Toc56"/>
      <w:bookmarkStart w:id="740" w:name="_Toc28016"/>
      <w:bookmarkStart w:id="741" w:name="_Toc12572"/>
      <w:bookmarkStart w:id="742" w:name="_Toc13355"/>
      <w:bookmarkStart w:id="743" w:name="_Toc1032"/>
      <w:bookmarkStart w:id="744" w:name="_Toc10813"/>
      <w:bookmarkStart w:id="745" w:name="_Toc6068"/>
      <w:bookmarkStart w:id="746" w:name="_Toc24244"/>
      <w:bookmarkStart w:id="747" w:name="_Toc10934"/>
      <w:bookmarkStart w:id="748" w:name="_Toc5940"/>
      <w:bookmarkStart w:id="749" w:name="_Toc22302"/>
      <w:bookmarkStart w:id="750" w:name="_Toc10956"/>
      <w:bookmarkStart w:id="751" w:name="_Toc20887"/>
      <w:bookmarkStart w:id="752" w:name="_Toc25084"/>
      <w:bookmarkStart w:id="753" w:name="_Toc5554"/>
      <w:bookmarkStart w:id="754" w:name="_Toc26976"/>
      <w:bookmarkStart w:id="755" w:name="_Toc16172"/>
      <w:bookmarkStart w:id="756" w:name="_Toc14335"/>
      <w:bookmarkStart w:id="757" w:name="_Toc23446"/>
      <w:r>
        <w:rPr>
          <w:rFonts w:hint="eastAsia"/>
          <w:color w:val="auto"/>
          <w:u w:val="none" w:color="auto"/>
          <w:lang w:val="en-US" w:eastAsia="zh-CN"/>
        </w:rPr>
        <w:t>5</w:t>
      </w:r>
      <w:r>
        <w:rPr>
          <w:rFonts w:hint="default"/>
          <w:color w:val="auto"/>
          <w:u w:val="none" w:color="auto"/>
          <w:lang w:val="en-US" w:eastAsia="zh-CN"/>
        </w:rPr>
        <w:t>.1</w:t>
      </w:r>
      <w:r>
        <w:rPr>
          <w:rFonts w:hint="default"/>
          <w:color w:val="auto"/>
          <w:u w:val="none" w:color="auto"/>
        </w:rPr>
        <w:t>.4水文条件</w:t>
      </w:r>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54D3CC69">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本项目所涉及的河流主要为汨罗江。</w:t>
      </w:r>
    </w:p>
    <w:p w14:paraId="13227E98">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汨罗高新技术产业开发区北临汨罗江，汨罗江因主河道汨水与支流罗水相汇而得名。汨水源于江西省修水县黄龙山梨树埚，流经修水县、平江县、汨罗市，于汨罗市大洲湾与罗水汇合。</w:t>
      </w:r>
    </w:p>
    <w:p w14:paraId="611E6A5F">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江发源于江西省修水县的黄龙山脉，往西流经平江县、汨罗市于磊石山注入东洞庭湖。干流长度253.3公里，平均迫降0.46‰，流域面积达5543平方公里。青冲口以下（汨罗段）为洞庭湖冲击平原区，地形平坦开阔，地面高程在22.1m-32.1m，汨水入湖处磊石山基岩裸露，山顶高程88.5m。流域总的地势为东南高西北地。流域面积5543km</w:t>
      </w:r>
      <w:r>
        <w:rPr>
          <w:rFonts w:hint="default" w:ascii="Times New Roman" w:hAnsi="Times New Roman" w:cs="Times New Roman"/>
          <w:color w:val="auto"/>
          <w:u w:val="none" w:color="auto"/>
          <w:shd w:val="clear" w:color="auto" w:fill="auto"/>
          <w:vertAlign w:val="superscript"/>
        </w:rPr>
        <w:t>2</w:t>
      </w:r>
      <w:r>
        <w:rPr>
          <w:rFonts w:hint="default" w:ascii="Times New Roman" w:hAnsi="Times New Roman" w:cs="Times New Roman"/>
          <w:color w:val="auto"/>
          <w:u w:val="none" w:color="auto"/>
          <w:shd w:val="clear" w:color="auto" w:fill="auto"/>
        </w:rPr>
        <w:t>，河长253.2km，其中汨罗市境内长61.5km，流域面积965km</w:t>
      </w:r>
      <w:r>
        <w:rPr>
          <w:rFonts w:hint="default" w:ascii="Times New Roman" w:hAnsi="Times New Roman" w:cs="Times New Roman"/>
          <w:color w:val="auto"/>
          <w:u w:val="none" w:color="auto"/>
          <w:shd w:val="clear" w:color="auto" w:fill="auto"/>
          <w:vertAlign w:val="superscript"/>
        </w:rPr>
        <w:t>2</w:t>
      </w:r>
      <w:r>
        <w:rPr>
          <w:rFonts w:hint="default" w:ascii="Times New Roman" w:hAnsi="Times New Roman" w:cs="Times New Roman"/>
          <w:color w:val="auto"/>
          <w:u w:val="none" w:color="auto"/>
          <w:shd w:val="clear" w:color="auto" w:fill="auto"/>
        </w:rPr>
        <w:t>。干流多年平均径流量为43.04亿m</w:t>
      </w:r>
      <w:r>
        <w:rPr>
          <w:rFonts w:hint="default" w:ascii="Times New Roman" w:hAnsi="Times New Roman" w:cs="Times New Roman"/>
          <w:color w:val="auto"/>
          <w:u w:val="none" w:color="auto"/>
          <w:shd w:val="clear" w:color="auto" w:fill="auto"/>
          <w:vertAlign w:val="superscript"/>
        </w:rPr>
        <w:t>3</w:t>
      </w:r>
      <w:r>
        <w:rPr>
          <w:rFonts w:hint="default" w:ascii="Times New Roman" w:hAnsi="Times New Roman" w:cs="Times New Roman"/>
          <w:color w:val="auto"/>
          <w:u w:val="none" w:color="auto"/>
          <w:shd w:val="clear" w:color="auto" w:fill="auto"/>
        </w:rPr>
        <w:t>，汛期5~8月，径流量占全年总量46.2％，保证率95%的枯水年径流量为5.3</w:t>
      </w:r>
      <w:r>
        <w:rPr>
          <w:rFonts w:hint="eastAsia" w:ascii="Times New Roman" w:hAnsi="Times New Roman" w:cs="Times New Roman"/>
          <w:color w:val="auto"/>
          <w:u w:val="none" w:color="auto"/>
          <w:shd w:val="clear" w:color="auto" w:fill="auto"/>
          <w:lang w:val="en-US" w:eastAsia="zh-CN"/>
        </w:rPr>
        <w:t>3</w:t>
      </w:r>
      <w:r>
        <w:rPr>
          <w:rFonts w:hint="default" w:ascii="Times New Roman" w:hAnsi="Times New Roman" w:cs="Times New Roman"/>
          <w:color w:val="auto"/>
          <w:u w:val="none" w:color="auto"/>
          <w:shd w:val="clear" w:color="auto" w:fill="auto"/>
        </w:rPr>
        <w:t>亿m</w:t>
      </w:r>
      <w:r>
        <w:rPr>
          <w:rFonts w:hint="default" w:ascii="Times New Roman" w:hAnsi="Times New Roman" w:cs="Times New Roman"/>
          <w:color w:val="auto"/>
          <w:u w:val="none" w:color="auto"/>
          <w:shd w:val="clear" w:color="auto" w:fill="auto"/>
          <w:vertAlign w:val="superscript"/>
        </w:rPr>
        <w:t>3</w:t>
      </w:r>
      <w:r>
        <w:rPr>
          <w:rFonts w:hint="default" w:ascii="Times New Roman" w:hAnsi="Times New Roman" w:cs="Times New Roman"/>
          <w:color w:val="auto"/>
          <w:u w:val="none" w:color="auto"/>
          <w:shd w:val="clear" w:color="auto" w:fill="auto"/>
        </w:rPr>
        <w:t>，多年平均流量99.4m</w:t>
      </w:r>
      <w:r>
        <w:rPr>
          <w:rFonts w:hint="default" w:ascii="Times New Roman" w:hAnsi="Times New Roman" w:cs="Times New Roman"/>
          <w:color w:val="auto"/>
          <w:u w:val="none" w:color="auto"/>
          <w:shd w:val="clear" w:color="auto" w:fill="auto"/>
          <w:vertAlign w:val="superscript"/>
        </w:rPr>
        <w:t>3</w:t>
      </w:r>
      <w:r>
        <w:rPr>
          <w:rFonts w:hint="default" w:ascii="Times New Roman" w:hAnsi="Times New Roman" w:cs="Times New Roman"/>
          <w:color w:val="auto"/>
          <w:u w:val="none" w:color="auto"/>
          <w:shd w:val="clear" w:color="auto" w:fill="auto"/>
        </w:rPr>
        <w:t>/s，多年最大月平均流量231m</w:t>
      </w:r>
      <w:r>
        <w:rPr>
          <w:rFonts w:hint="default" w:ascii="Times New Roman" w:hAnsi="Times New Roman" w:cs="Times New Roman"/>
          <w:color w:val="auto"/>
          <w:u w:val="none" w:color="auto"/>
          <w:shd w:val="clear" w:color="auto" w:fill="auto"/>
          <w:vertAlign w:val="superscript"/>
        </w:rPr>
        <w:t>3</w:t>
      </w:r>
      <w:r>
        <w:rPr>
          <w:rFonts w:hint="default" w:ascii="Times New Roman" w:hAnsi="Times New Roman" w:cs="Times New Roman"/>
          <w:color w:val="auto"/>
          <w:u w:val="none" w:color="auto"/>
          <w:shd w:val="clear" w:color="auto" w:fill="auto"/>
        </w:rPr>
        <w:t>/s（5 月），最小月平均流量26.2m</w:t>
      </w:r>
      <w:r>
        <w:rPr>
          <w:rFonts w:hint="default" w:ascii="Times New Roman" w:hAnsi="Times New Roman" w:cs="Times New Roman"/>
          <w:color w:val="auto"/>
          <w:u w:val="none" w:color="auto"/>
          <w:shd w:val="clear" w:color="auto" w:fill="auto"/>
          <w:vertAlign w:val="superscript"/>
        </w:rPr>
        <w:t>3</w:t>
      </w:r>
      <w:r>
        <w:rPr>
          <w:rFonts w:hint="default" w:ascii="Times New Roman" w:hAnsi="Times New Roman" w:cs="Times New Roman"/>
          <w:color w:val="auto"/>
          <w:u w:val="none" w:color="auto"/>
          <w:shd w:val="clear" w:color="auto" w:fill="auto"/>
        </w:rPr>
        <w:t>/s（1月、12 月）。</w:t>
      </w:r>
    </w:p>
    <w:p w14:paraId="4BE02575">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湄江河为汨罗的第三大水系，全长41km，流域面积344km</w:t>
      </w:r>
      <w:r>
        <w:rPr>
          <w:rFonts w:hint="default" w:ascii="Times New Roman" w:hAnsi="Times New Roman" w:cs="Times New Roman"/>
          <w:color w:val="auto"/>
          <w:u w:val="none" w:color="auto"/>
          <w:shd w:val="clear" w:color="auto" w:fill="auto"/>
          <w:vertAlign w:val="superscript"/>
        </w:rPr>
        <w:t>2</w:t>
      </w:r>
      <w:r>
        <w:rPr>
          <w:rFonts w:hint="default" w:ascii="Times New Roman" w:hAnsi="Times New Roman" w:cs="Times New Roman"/>
          <w:color w:val="auto"/>
          <w:u w:val="none" w:color="auto"/>
          <w:shd w:val="clear" w:color="auto" w:fill="auto"/>
        </w:rPr>
        <w:t>，其中市内165km</w:t>
      </w:r>
      <w:r>
        <w:rPr>
          <w:rFonts w:hint="default" w:ascii="Times New Roman" w:hAnsi="Times New Roman" w:cs="Times New Roman"/>
          <w:color w:val="auto"/>
          <w:u w:val="none" w:color="auto"/>
          <w:shd w:val="clear" w:color="auto" w:fill="auto"/>
          <w:vertAlign w:val="superscript"/>
        </w:rPr>
        <w:t>2</w:t>
      </w:r>
      <w:r>
        <w:rPr>
          <w:rFonts w:hint="default" w:ascii="Times New Roman" w:hAnsi="Times New Roman" w:cs="Times New Roman"/>
          <w:color w:val="auto"/>
          <w:u w:val="none" w:color="auto"/>
          <w:shd w:val="clear" w:color="auto" w:fill="auto"/>
        </w:rPr>
        <w:t>，多年平均径流深600mm，多年平均径流量1.07亿m</w:t>
      </w:r>
      <w:r>
        <w:rPr>
          <w:rFonts w:hint="default" w:ascii="Times New Roman" w:hAnsi="Times New Roman" w:cs="Times New Roman"/>
          <w:color w:val="auto"/>
          <w:u w:val="none" w:color="auto"/>
          <w:shd w:val="clear" w:color="auto" w:fill="auto"/>
          <w:vertAlign w:val="superscript"/>
        </w:rPr>
        <w:t>3</w:t>
      </w:r>
      <w:r>
        <w:rPr>
          <w:rFonts w:hint="default" w:ascii="Times New Roman" w:hAnsi="Times New Roman" w:cs="Times New Roman"/>
          <w:color w:val="auto"/>
          <w:u w:val="none" w:color="auto"/>
          <w:shd w:val="clear" w:color="auto" w:fill="auto"/>
        </w:rPr>
        <w:t>，多年平均流量3.4m</w:t>
      </w:r>
      <w:r>
        <w:rPr>
          <w:rFonts w:hint="default" w:ascii="Times New Roman" w:hAnsi="Times New Roman" w:cs="Times New Roman"/>
          <w:color w:val="auto"/>
          <w:u w:val="none" w:color="auto"/>
          <w:shd w:val="clear" w:color="auto" w:fill="auto"/>
          <w:vertAlign w:val="superscript"/>
        </w:rPr>
        <w:t>3</w:t>
      </w:r>
      <w:r>
        <w:rPr>
          <w:rFonts w:hint="default" w:ascii="Times New Roman" w:hAnsi="Times New Roman" w:cs="Times New Roman"/>
          <w:color w:val="auto"/>
          <w:u w:val="none" w:color="auto"/>
          <w:shd w:val="clear" w:color="auto" w:fill="auto"/>
        </w:rPr>
        <w:t>/s。水能资源较丰富。</w:t>
      </w:r>
    </w:p>
    <w:p w14:paraId="5674553F">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本项目</w:t>
      </w:r>
      <w:r>
        <w:rPr>
          <w:rFonts w:hint="eastAsia" w:ascii="Times New Roman" w:hAnsi="Times New Roman" w:cs="Times New Roman"/>
          <w:color w:val="auto"/>
          <w:u w:val="none" w:color="auto"/>
          <w:shd w:val="clear" w:color="auto" w:fill="auto"/>
          <w:lang w:val="en-US" w:eastAsia="zh-CN"/>
        </w:rPr>
        <w:t>生活污水</w:t>
      </w:r>
      <w:r>
        <w:rPr>
          <w:rFonts w:hint="default" w:ascii="Times New Roman" w:hAnsi="Times New Roman" w:cs="Times New Roman"/>
          <w:color w:val="auto"/>
          <w:u w:val="none" w:color="auto"/>
          <w:shd w:val="clear" w:color="auto" w:fill="auto"/>
        </w:rPr>
        <w:t>经湖南汨罗高新技术产业开发区（循环园区）污水处理厂处理达标后的尾水经专管排入汨罗江，排放口至下游6km段属于湖南汨罗江国家湿地公园湿地生态恢复重建区，为渔业用水区。湖南汨罗高新技术产业开发区（循环园区）污水处理厂在汨罗江的排污口坐标 E113°7'8.028''， N28°47'51.825''。</w:t>
      </w:r>
    </w:p>
    <w:p w14:paraId="5249554A">
      <w:pPr>
        <w:pStyle w:val="4"/>
        <w:rPr>
          <w:rFonts w:hint="default" w:ascii="Times New Roman" w:hAnsi="Times New Roman" w:cs="Times New Roman"/>
          <w:color w:val="auto"/>
          <w:u w:val="none" w:color="auto"/>
          <w:shd w:val="clear" w:color="auto" w:fill="auto"/>
        </w:rPr>
      </w:pPr>
      <w:bookmarkStart w:id="758" w:name="_Toc24623"/>
      <w:bookmarkStart w:id="759" w:name="_Toc3882"/>
      <w:bookmarkStart w:id="760" w:name="_Toc4162"/>
      <w:bookmarkStart w:id="761" w:name="_Toc17775"/>
      <w:bookmarkStart w:id="762" w:name="_Toc30572"/>
      <w:bookmarkStart w:id="763" w:name="_Toc13547"/>
      <w:bookmarkStart w:id="764" w:name="_Toc13341"/>
      <w:bookmarkStart w:id="765" w:name="_Toc13895"/>
      <w:bookmarkStart w:id="766" w:name="_Toc14553"/>
      <w:bookmarkStart w:id="767" w:name="_Toc4797"/>
      <w:bookmarkStart w:id="768" w:name="_Toc1186"/>
      <w:bookmarkStart w:id="769" w:name="_Toc24876"/>
      <w:bookmarkStart w:id="770" w:name="_Toc24586"/>
      <w:bookmarkStart w:id="771" w:name="_Toc3214"/>
      <w:bookmarkStart w:id="772" w:name="_Toc32539"/>
      <w:bookmarkStart w:id="773" w:name="_Toc15688"/>
      <w:bookmarkStart w:id="774" w:name="_Toc25252"/>
      <w:bookmarkStart w:id="775" w:name="_Toc6771"/>
      <w:bookmarkStart w:id="776" w:name="_Toc16169"/>
      <w:r>
        <w:rPr>
          <w:rFonts w:hint="eastAsia" w:ascii="Times New Roman" w:hAnsi="Times New Roman" w:cs="Times New Roman"/>
          <w:color w:val="auto"/>
          <w:u w:val="none" w:color="auto"/>
          <w:shd w:val="clear" w:color="auto" w:fill="auto"/>
          <w:lang w:val="en-US" w:eastAsia="zh-CN"/>
        </w:rPr>
        <w:t>5</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.5生物资源</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30A85470">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属亚热带常绿阔叶林区，植物资源十分丰富。境内共有蕨类植物15科，25种；裸子植物7科，13种；被子植物94科，383种。其中有培植的48科，253种，有实用推广价值的达180余种。属国家保护的有水杉、银杏、杜仲等，主要用材树种有松、杉、樟、檫、楠竹等。</w:t>
      </w:r>
    </w:p>
    <w:p w14:paraId="02F6D1F0">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已查明的野生动物有昆虫65科，168种；鱼类20科，90种；鸟类28科，50种；哺乳类16科，29种。还有大量的两栖类、爬行类动物。属国家保护动物的有鲮鲤（穿山甲）、大鲵（娃娃鱼）、草（猴面鹰）、麂子、猪獾、上树狸、大灵猫等。主要经济鱼类有草、青、鲢、鳙、鲤等；主要爬行动物有鳖、乌龟、蟹等；主要家畜有牛、猪、羊等；主要家禽有鸡、鸭、鹅等。</w:t>
      </w:r>
    </w:p>
    <w:p w14:paraId="5DDCD36B">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根据现场调查走访，本项目规划区域内，植被以人工作物为主，主要草本植物以蔬菜水稻为主，主要树种有马尾松、杉木、湿地松、茶叶、油茶等，区内无天然林和原生自然植物群落，田间及田埂地带生长着与农业生态系统相互依托的少量次生自然物种，常见的有马齿苋、爬地草等。动物资源主要以人工养殖的家畜、家禽为主，主要家畜有牛、猪、羊、狗等，主要家禽有鸡、鸭、鹅等，主要经济鱼类有草、青、鲢、鲤等，由于该区属于城郊，人为活动频繁，开发活动较为强烈，野生动物尤其大型野生动物生存环境遭到破坏，因此野生动物的活动踪迹较少，主要野生动物都是一些常见的种类如：田鼠、竹鼠、蛇、蛙、黄鼠狼，以及一些鸟类有燕、喜鹊、八哥、画眉、布谷、猫头鹰等。</w:t>
      </w:r>
    </w:p>
    <w:p w14:paraId="4E443606">
      <w:pPr>
        <w:pStyle w:val="4"/>
        <w:rPr>
          <w:rFonts w:hint="default" w:ascii="Times New Roman" w:hAnsi="Times New Roman" w:cs="Times New Roman"/>
          <w:color w:val="auto"/>
          <w:u w:val="none" w:color="auto"/>
          <w:shd w:val="clear" w:color="auto" w:fill="auto"/>
        </w:rPr>
      </w:pPr>
      <w:bookmarkStart w:id="777" w:name="_Toc27817"/>
      <w:bookmarkStart w:id="778" w:name="_Toc22883"/>
      <w:bookmarkStart w:id="779" w:name="_Toc22367"/>
      <w:bookmarkStart w:id="780" w:name="_Toc20910"/>
      <w:bookmarkStart w:id="781" w:name="_Toc1249"/>
      <w:bookmarkStart w:id="782" w:name="_Toc293"/>
      <w:bookmarkStart w:id="783" w:name="_Toc8294"/>
      <w:bookmarkStart w:id="784" w:name="_Toc29707"/>
      <w:bookmarkStart w:id="785" w:name="_Toc12589"/>
      <w:bookmarkStart w:id="786" w:name="_Toc9209"/>
      <w:bookmarkStart w:id="787" w:name="_Toc1389"/>
      <w:bookmarkStart w:id="788" w:name="_Toc31288"/>
      <w:bookmarkStart w:id="789" w:name="_Toc1143"/>
      <w:bookmarkStart w:id="790" w:name="_Toc19793"/>
      <w:bookmarkStart w:id="791" w:name="_Toc9774"/>
      <w:bookmarkStart w:id="792" w:name="_Toc30634"/>
      <w:bookmarkStart w:id="793" w:name="_Toc3621"/>
      <w:bookmarkStart w:id="794" w:name="_Toc21107"/>
      <w:bookmarkStart w:id="795" w:name="_Toc12830"/>
      <w:r>
        <w:rPr>
          <w:rFonts w:hint="eastAsia" w:ascii="Times New Roman" w:hAnsi="Times New Roman" w:cs="Times New Roman"/>
          <w:color w:val="auto"/>
          <w:u w:val="none" w:color="auto"/>
          <w:shd w:val="clear" w:color="auto" w:fill="auto"/>
          <w:lang w:val="en-US" w:eastAsia="zh-CN"/>
        </w:rPr>
        <w:t>5</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.6土地资源</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p>
    <w:p w14:paraId="05DEA12E">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项目区的土壤以半页岩为主，占47.8%。主要为赤红壤、红壤、黄壤、第四纪松散堆积物以及红砂壤五个类型。</w:t>
      </w:r>
    </w:p>
    <w:p w14:paraId="219E3CF2">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发育于花岗岩母质上的赤红壤、黄壤、红壤，由于在高强多雨条件下，物理风化和化学风化都极其强烈，风化产物分解彻底，形成深厚的风化壳。土壤结构输送，植被破坏后，容易冲刷流失。</w:t>
      </w:r>
    </w:p>
    <w:p w14:paraId="47677AA6">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发育于红砂岩母质上的红砂壤，矿质养分有效性较高，砂性较重，土质疏松，土层薄，一般1~3m。</w:t>
      </w:r>
    </w:p>
    <w:p w14:paraId="36E403AA">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发育于砂岩母质上的红砂壤，抗风化剥蚀能力较弱，地表水不易渗透，易形成散流，在一定地形条件下，而发生泥石流。</w:t>
      </w:r>
    </w:p>
    <w:p w14:paraId="61D4A3D3">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发育于石灰页岩母质上的红壤，此种岩主要矿物为碳酸钙，由于淋溶和富集作用，风化物粘性重，透水性差，有机质含量较高，常表面冲刷产生面蚀。</w:t>
      </w:r>
    </w:p>
    <w:p w14:paraId="6D844E8F">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第四世纪松散堆积物上层深厚，质地粘重，透水性差，易发生轻度面蚀。</w:t>
      </w:r>
    </w:p>
    <w:p w14:paraId="6CA26758">
      <w:pPr>
        <w:pStyle w:val="4"/>
        <w:rPr>
          <w:rFonts w:hint="default" w:ascii="Times New Roman" w:hAnsi="Times New Roman" w:cs="Times New Roman"/>
          <w:color w:val="auto"/>
          <w:u w:val="none" w:color="auto"/>
          <w:shd w:val="clear" w:color="auto" w:fill="auto"/>
        </w:rPr>
      </w:pPr>
      <w:bookmarkStart w:id="796" w:name="_Toc17686"/>
      <w:bookmarkStart w:id="797" w:name="_Toc8591"/>
      <w:bookmarkStart w:id="798" w:name="_Toc29371"/>
      <w:bookmarkStart w:id="799" w:name="_Toc905"/>
      <w:bookmarkStart w:id="800" w:name="_Toc25112"/>
      <w:bookmarkStart w:id="801" w:name="_Toc23362"/>
      <w:bookmarkStart w:id="802" w:name="_Toc6465"/>
      <w:bookmarkStart w:id="803" w:name="_Toc3742"/>
      <w:bookmarkStart w:id="804" w:name="_Toc15502"/>
      <w:bookmarkStart w:id="805" w:name="_Toc26514"/>
      <w:bookmarkStart w:id="806" w:name="_Toc13180"/>
      <w:bookmarkStart w:id="807" w:name="_Toc10467"/>
      <w:bookmarkStart w:id="808" w:name="_Toc9083"/>
      <w:bookmarkStart w:id="809" w:name="_Toc18193"/>
      <w:bookmarkStart w:id="810" w:name="_Toc32553"/>
      <w:bookmarkStart w:id="811" w:name="_Toc8503"/>
      <w:bookmarkStart w:id="812" w:name="_Toc11110"/>
      <w:bookmarkStart w:id="813" w:name="_Toc16042"/>
      <w:bookmarkStart w:id="814" w:name="_Toc4829"/>
      <w:r>
        <w:rPr>
          <w:rFonts w:hint="eastAsia" w:ascii="Times New Roman" w:hAnsi="Times New Roman" w:cs="Times New Roman"/>
          <w:color w:val="auto"/>
          <w:u w:val="none" w:color="auto"/>
          <w:shd w:val="clear" w:color="auto" w:fill="auto"/>
          <w:lang w:val="en-US" w:eastAsia="zh-CN"/>
        </w:rPr>
        <w:t>5</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.7矿产资源</w:t>
      </w:r>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2927F68E">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境蕴藏砂金和非金属矿产资源比较丰富。已开发利用的有黄金、花岗石、砂砾石、钾长石、石英和粘土等，尚待开发的是高岭土。其中汨罗江砂金矿是已探明的长江以南最大的河流矿床，地质储量20吨左右；高岭土总储量5000万吨以上，可淘洗精泥1250万吨以上；花岗石总储量在5000亿m³以上，产品已销往日本及国内的20多个省、市、自治区。粘土总储量在10亿吨以上；石英总储量10万吨以上。在境内花岗岩体的晚期伟晶岩脉中，已探明有铍（绿桂石）、锂、铷、铯、铌、钽等稀有金属矿分布。石油、天然气具有一定的找矿前景，全市发现矿床、矿点、矿化点40多处。矿产资源潜在总经济价值300亿元以上。</w:t>
      </w:r>
    </w:p>
    <w:p w14:paraId="05F2A21B">
      <w:pPr>
        <w:pStyle w:val="4"/>
        <w:rPr>
          <w:rFonts w:hint="default" w:ascii="Times New Roman" w:hAnsi="Times New Roman" w:cs="Times New Roman"/>
          <w:color w:val="auto"/>
          <w:u w:val="none" w:color="auto"/>
          <w:shd w:val="clear" w:color="auto" w:fill="auto"/>
        </w:rPr>
      </w:pPr>
      <w:bookmarkStart w:id="815" w:name="_Toc27906"/>
      <w:bookmarkStart w:id="816" w:name="_Toc12241"/>
      <w:bookmarkStart w:id="817" w:name="_Toc32727"/>
      <w:bookmarkStart w:id="818" w:name="_Toc29986"/>
      <w:bookmarkStart w:id="819" w:name="_Toc13966"/>
      <w:bookmarkStart w:id="820" w:name="_Toc15079"/>
      <w:bookmarkStart w:id="821" w:name="_Toc11656"/>
      <w:bookmarkStart w:id="822" w:name="_Toc14640"/>
      <w:bookmarkStart w:id="823" w:name="_Toc8518"/>
      <w:bookmarkStart w:id="824" w:name="_Toc18614"/>
      <w:bookmarkStart w:id="825" w:name="_Toc25352"/>
      <w:bookmarkStart w:id="826" w:name="_Toc2872"/>
      <w:bookmarkStart w:id="827" w:name="_Toc15168"/>
      <w:bookmarkStart w:id="828" w:name="_Toc15979"/>
      <w:bookmarkStart w:id="829" w:name="_Toc16307"/>
      <w:bookmarkStart w:id="830" w:name="_Toc2798"/>
      <w:bookmarkStart w:id="831" w:name="_Toc1482"/>
      <w:bookmarkStart w:id="832" w:name="_Toc18604"/>
      <w:bookmarkStart w:id="833" w:name="_Toc8529"/>
      <w:r>
        <w:rPr>
          <w:rFonts w:hint="eastAsia" w:ascii="Times New Roman" w:hAnsi="Times New Roman" w:cs="Times New Roman"/>
          <w:color w:val="auto"/>
          <w:u w:val="none" w:color="auto"/>
          <w:shd w:val="clear" w:color="auto" w:fill="auto"/>
          <w:lang w:val="en-US" w:eastAsia="zh-CN"/>
        </w:rPr>
        <w:t>5</w:t>
      </w:r>
      <w:r>
        <w:rPr>
          <w:rFonts w:hint="default" w:ascii="Times New Roman" w:hAnsi="Times New Roman" w:cs="Times New Roman"/>
          <w:color w:val="auto"/>
          <w:u w:val="none" w:color="auto"/>
          <w:shd w:val="clear" w:color="auto" w:fill="auto"/>
          <w:lang w:val="en-US" w:eastAsia="zh-CN"/>
        </w:rPr>
        <w:t>.1</w:t>
      </w:r>
      <w:r>
        <w:rPr>
          <w:rFonts w:hint="default" w:ascii="Times New Roman" w:hAnsi="Times New Roman" w:cs="Times New Roman"/>
          <w:color w:val="auto"/>
          <w:u w:val="none" w:color="auto"/>
          <w:shd w:val="clear" w:color="auto" w:fill="auto"/>
        </w:rPr>
        <w:t>.8植被生态</w:t>
      </w:r>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14:paraId="62B89782">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（1）植物</w:t>
      </w:r>
    </w:p>
    <w:p w14:paraId="6B31CD11">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按《湖南地理志》植被划分方案，汨罗属中亚热带北部常绿阔叶林亚地带的湘东山地丘陵栎拷林、台湾松林、毛竹林植被区和湘北滨湘平源栎拷林、农田及防护林、堤垸沼泽湘泊植被区。</w:t>
      </w:r>
    </w:p>
    <w:p w14:paraId="7288BC6E">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汨罗市内野生植物种类繁多，蕨菜植物共15科25种，裸子植物共7科13种，被子植物有94科383种。</w:t>
      </w:r>
    </w:p>
    <w:p w14:paraId="2294238A">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工业园区内无天然林和原生自然植物群落，常见的野生草灌植物有：马齿苋、艾蒿、爬地草、节节草及少量灌木等。主要树种有马尾松、灌林及人工防护林欧美杨。园区内未发现珍稀需要保护的野生植物品种。</w:t>
      </w:r>
    </w:p>
    <w:p w14:paraId="22994DBE">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（2）动物</w:t>
      </w:r>
    </w:p>
    <w:p w14:paraId="57E022BE">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属中亚热带地区，野生动物多为亚热带林灌动物类群，全市已查明的野生动物有昆虫65科，168种；鸟类28科，50种；哺乳类16科，29种。主要有两栖类的蟾蜍，青蛙、泽蛙、虎斑蛙、泥蛙、古巴牛蛙等，爬行类主要有乌龟、鳖、壁虎、蜥蜴和各种蛇类，鸟类常见的有灰胸竹鸡、雉、雀鹰、白鹭、喜鹊、八哥、杜鹃、白头翁、斑鸠等，哺乳类有野兔、田鼠、蝙蝠等。区内现存的野生动物资源受人类活动的长期影响，已大为减少。</w:t>
      </w:r>
    </w:p>
    <w:p w14:paraId="5CC7A5B5">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据现场专访调查，项目区周围现存的动物主要是一些鸟类及其它小型动物如蛇、鼠、蛙等。未在项目区附近范围内发现珍稀保护动物及地方特有动物踪迹。</w:t>
      </w:r>
    </w:p>
    <w:p w14:paraId="3112F0B5">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（3）水生生物</w:t>
      </w:r>
    </w:p>
    <w:p w14:paraId="663A9669">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汨罗江汨罗段水域，由于水域狭窄、干枯时间过长，在平枯水期河道水深较浅，不适合水生生物的生长与繁衍，水域中饵料生物及鱼类资源的生物量及生物种类较少。</w:t>
      </w:r>
    </w:p>
    <w:p w14:paraId="74128354">
      <w:pPr>
        <w:pStyle w:val="20"/>
        <w:ind w:firstLine="480"/>
        <w:rPr>
          <w:rFonts w:hint="default" w:ascii="Times New Roman" w:hAnsi="Times New Roman" w:cs="Times New Roman"/>
          <w:color w:val="auto"/>
          <w:u w:val="none" w:color="auto"/>
          <w:shd w:val="clear" w:color="auto" w:fill="auto"/>
        </w:rPr>
      </w:pPr>
      <w:r>
        <w:rPr>
          <w:rFonts w:hint="default" w:ascii="Times New Roman" w:hAnsi="Times New Roman" w:cs="Times New Roman"/>
          <w:color w:val="auto"/>
          <w:u w:val="none" w:color="auto"/>
          <w:shd w:val="clear" w:color="auto" w:fill="auto"/>
        </w:rPr>
        <w:t>根据当地渔政部门介绍，汨罗市汨罗江河段渔业资源不太丰富，有鱼类20科，90种，水生生物物种比较单一；鱼类主要为四大家鱼，无鱼类的产卵场、索饵场、越冬场，近几年中没有发现过国家一、二级水生野生保护动物。区域无专业渔民，只有极少数副业渔民，年捕捞总量不超过2吨。</w:t>
      </w:r>
    </w:p>
    <w:p w14:paraId="6E5124C3">
      <w:pPr>
        <w:pStyle w:val="3"/>
        <w:bidi w:val="0"/>
        <w:rPr>
          <w:rFonts w:hint="eastAsia"/>
          <w:color w:val="auto"/>
          <w:u w:val="none" w:color="auto"/>
          <w:lang w:val="en-US" w:eastAsia="zh-CN"/>
        </w:rPr>
      </w:pPr>
      <w:bookmarkStart w:id="834" w:name="_Toc26517"/>
      <w:bookmarkStart w:id="835" w:name="_Toc15040"/>
      <w:bookmarkStart w:id="836" w:name="_Toc23316"/>
      <w:r>
        <w:rPr>
          <w:rFonts w:hint="eastAsia"/>
          <w:color w:val="auto"/>
          <w:u w:val="none" w:color="auto"/>
          <w:lang w:val="en-US" w:eastAsia="zh-CN"/>
        </w:rPr>
        <w:t>5.2汨罗高新技术产业开发区概况</w:t>
      </w:r>
      <w:bookmarkEnd w:id="834"/>
      <w:bookmarkEnd w:id="835"/>
      <w:bookmarkEnd w:id="836"/>
    </w:p>
    <w:p w14:paraId="351820B5">
      <w:pPr>
        <w:pStyle w:val="4"/>
        <w:bidi w:val="0"/>
        <w:rPr>
          <w:rFonts w:hint="eastAsia"/>
          <w:color w:val="auto"/>
          <w:u w:val="none" w:color="auto"/>
          <w:lang w:val="en-US" w:eastAsia="zh-CN"/>
        </w:rPr>
      </w:pPr>
      <w:bookmarkStart w:id="837" w:name="_Toc13878"/>
      <w:bookmarkStart w:id="838" w:name="_Toc31925"/>
      <w:bookmarkStart w:id="839" w:name="_Toc6914"/>
      <w:r>
        <w:rPr>
          <w:rFonts w:hint="eastAsia"/>
          <w:color w:val="auto"/>
          <w:u w:val="none" w:color="auto"/>
          <w:lang w:val="en-US" w:eastAsia="zh-CN"/>
        </w:rPr>
        <w:t>5.2.1园区发展背景</w:t>
      </w:r>
      <w:bookmarkEnd w:id="837"/>
      <w:bookmarkEnd w:id="838"/>
      <w:bookmarkEnd w:id="839"/>
    </w:p>
    <w:p w14:paraId="6564165A">
      <w:pPr>
        <w:pStyle w:val="8"/>
        <w:keepNext w:val="0"/>
        <w:keepLines w:val="0"/>
        <w:pageBreakBefore w:val="0"/>
        <w:widowControl w:val="0"/>
        <w:kinsoku/>
        <w:wordWrap/>
        <w:overflowPunct/>
        <w:topLinePunct w:val="0"/>
        <w:autoSpaceDE/>
        <w:autoSpaceDN/>
        <w:bidi w:val="0"/>
        <w:adjustRightInd/>
        <w:snapToGrid/>
        <w:spacing w:line="360" w:lineRule="auto"/>
        <w:ind w:left="0" w:firstLine="464" w:firstLineChars="200"/>
        <w:jc w:val="both"/>
        <w:textAlignment w:val="auto"/>
        <w:rPr>
          <w:rFonts w:hint="default" w:ascii="Times New Roman" w:hAnsi="Times New Roman" w:eastAsia="宋体" w:cs="Times New Roman"/>
          <w:color w:val="auto"/>
          <w:spacing w:val="-4"/>
          <w:sz w:val="24"/>
          <w:szCs w:val="24"/>
          <w:u w:val="none" w:color="auto"/>
        </w:rPr>
      </w:pPr>
      <w:r>
        <w:rPr>
          <w:rFonts w:hint="default" w:ascii="Times New Roman" w:hAnsi="Times New Roman" w:eastAsia="宋体" w:cs="Times New Roman"/>
          <w:color w:val="auto"/>
          <w:spacing w:val="-4"/>
          <w:sz w:val="24"/>
          <w:szCs w:val="24"/>
          <w:u w:val="none" w:color="auto"/>
        </w:rPr>
        <w:t>汨罗高新技术产业开发区前身为1992年湖南省发改委批准成立的改革开放经济试点小区，1994年湖南省人民政府以〔1994〕5号文件正式批准为省级经济开发区，是2006年国家发改委第8号公告通过审核的第十批省级开发区，2006年第19号公告明确了湖南汨罗工业园区由城西片区（1.5km</w:t>
      </w:r>
      <w:r>
        <w:rPr>
          <w:rFonts w:hint="default" w:ascii="Times New Roman" w:hAnsi="Times New Roman" w:eastAsia="宋体" w:cs="Times New Roman"/>
          <w:color w:val="auto"/>
          <w:spacing w:val="-4"/>
          <w:sz w:val="24"/>
          <w:szCs w:val="24"/>
          <w:u w:val="none" w:color="auto"/>
          <w:vertAlign w:val="superscript"/>
          <w:lang w:val="en-US" w:eastAsia="zh-CN"/>
        </w:rPr>
        <w:t>2</w:t>
      </w:r>
      <w:r>
        <w:rPr>
          <w:rFonts w:hint="default" w:ascii="Times New Roman" w:hAnsi="Times New Roman" w:eastAsia="宋体" w:cs="Times New Roman"/>
          <w:color w:val="auto"/>
          <w:spacing w:val="-4"/>
          <w:sz w:val="24"/>
          <w:szCs w:val="24"/>
          <w:u w:val="none" w:color="auto"/>
        </w:rPr>
        <w:t>）和新市片区（4.185km</w:t>
      </w:r>
      <w:r>
        <w:rPr>
          <w:rFonts w:hint="default" w:ascii="Times New Roman" w:hAnsi="Times New Roman" w:eastAsia="宋体" w:cs="Times New Roman"/>
          <w:color w:val="auto"/>
          <w:spacing w:val="-4"/>
          <w:sz w:val="24"/>
          <w:szCs w:val="24"/>
          <w:u w:val="none" w:color="auto"/>
          <w:vertAlign w:val="superscript"/>
          <w:lang w:val="en-US" w:eastAsia="zh-CN"/>
        </w:rPr>
        <w:t>2</w:t>
      </w:r>
      <w:r>
        <w:rPr>
          <w:rFonts w:hint="default" w:ascii="Times New Roman" w:hAnsi="Times New Roman" w:eastAsia="宋体" w:cs="Times New Roman"/>
          <w:color w:val="auto"/>
          <w:spacing w:val="-4"/>
          <w:sz w:val="24"/>
          <w:szCs w:val="24"/>
          <w:u w:val="none" w:color="auto"/>
        </w:rPr>
        <w:t>）两部分组成，总面积为5.685km</w:t>
      </w:r>
      <w:r>
        <w:rPr>
          <w:rFonts w:hint="default" w:ascii="Times New Roman" w:hAnsi="Times New Roman" w:eastAsia="宋体" w:cs="Times New Roman"/>
          <w:color w:val="auto"/>
          <w:spacing w:val="-4"/>
          <w:sz w:val="24"/>
          <w:szCs w:val="24"/>
          <w:u w:val="none" w:color="auto"/>
          <w:vertAlign w:val="superscript"/>
          <w:lang w:val="en-US" w:eastAsia="zh-CN"/>
        </w:rPr>
        <w:t>2</w:t>
      </w:r>
      <w:r>
        <w:rPr>
          <w:rFonts w:hint="default" w:ascii="Times New Roman" w:hAnsi="Times New Roman" w:eastAsia="宋体" w:cs="Times New Roman"/>
          <w:color w:val="auto"/>
          <w:spacing w:val="-4"/>
          <w:sz w:val="24"/>
          <w:szCs w:val="24"/>
          <w:u w:val="none" w:color="auto"/>
        </w:rPr>
        <w:t>；2007 年，湖南汨罗工业园被确定为国家首批城市矿产示范基地；2011年3月湖南汨罗循环经济产业园确定为国家循环经济标准化试点单位；2012年经湖南省人民政府批准更名为湖南汨罗循环经济产业园区。</w:t>
      </w:r>
    </w:p>
    <w:p w14:paraId="234EE14C">
      <w:pPr>
        <w:pStyle w:val="8"/>
        <w:keepNext w:val="0"/>
        <w:keepLines w:val="0"/>
        <w:pageBreakBefore w:val="0"/>
        <w:widowControl w:val="0"/>
        <w:kinsoku/>
        <w:wordWrap/>
        <w:overflowPunct/>
        <w:topLinePunct w:val="0"/>
        <w:autoSpaceDE/>
        <w:autoSpaceDN/>
        <w:bidi w:val="0"/>
        <w:adjustRightInd/>
        <w:snapToGrid/>
        <w:spacing w:line="360" w:lineRule="auto"/>
        <w:ind w:left="0" w:firstLine="464"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4"/>
          <w:sz w:val="24"/>
          <w:szCs w:val="24"/>
          <w:u w:val="none" w:color="auto"/>
        </w:rPr>
        <w:t>汨罗市委市政府于</w:t>
      </w:r>
      <w:r>
        <w:rPr>
          <w:rFonts w:hint="default" w:ascii="Times New Roman" w:hAnsi="Times New Roman" w:eastAsia="宋体" w:cs="Times New Roman"/>
          <w:color w:val="auto"/>
          <w:sz w:val="24"/>
          <w:szCs w:val="24"/>
          <w:u w:val="none" w:color="auto"/>
        </w:rPr>
        <w:t>2014年对湖南汨罗循环经济产业园区进行调扩区，调扩区后园</w:t>
      </w:r>
      <w:r>
        <w:rPr>
          <w:rFonts w:hint="default" w:ascii="Times New Roman" w:hAnsi="Times New Roman" w:eastAsia="宋体" w:cs="Times New Roman"/>
          <w:color w:val="auto"/>
          <w:spacing w:val="-3"/>
          <w:sz w:val="24"/>
          <w:szCs w:val="24"/>
          <w:u w:val="none" w:color="auto"/>
        </w:rPr>
        <w:t>区由新市片区和弼时片区组成，并于</w:t>
      </w:r>
      <w:r>
        <w:rPr>
          <w:rFonts w:hint="default" w:ascii="Times New Roman" w:hAnsi="Times New Roman" w:eastAsia="宋体" w:cs="Times New Roman"/>
          <w:color w:val="auto"/>
          <w:sz w:val="24"/>
          <w:szCs w:val="24"/>
          <w:u w:val="none" w:color="auto"/>
        </w:rPr>
        <w:t>2015</w:t>
      </w:r>
      <w:r>
        <w:rPr>
          <w:rFonts w:hint="default" w:ascii="Times New Roman" w:hAnsi="Times New Roman" w:eastAsia="宋体" w:cs="Times New Roman"/>
          <w:color w:val="auto"/>
          <w:spacing w:val="-25"/>
          <w:sz w:val="24"/>
          <w:szCs w:val="24"/>
          <w:u w:val="none" w:color="auto"/>
        </w:rPr>
        <w:t>年</w:t>
      </w:r>
      <w:r>
        <w:rPr>
          <w:rFonts w:hint="default" w:ascii="Times New Roman" w:hAnsi="Times New Roman" w:eastAsia="宋体" w:cs="Times New Roman"/>
          <w:color w:val="auto"/>
          <w:sz w:val="24"/>
          <w:szCs w:val="24"/>
          <w:u w:val="none" w:color="auto"/>
        </w:rPr>
        <w:t>2</w:t>
      </w:r>
      <w:r>
        <w:rPr>
          <w:rFonts w:hint="default" w:ascii="Times New Roman" w:hAnsi="Times New Roman" w:eastAsia="宋体" w:cs="Times New Roman"/>
          <w:color w:val="auto"/>
          <w:spacing w:val="-27"/>
          <w:sz w:val="24"/>
          <w:szCs w:val="24"/>
          <w:u w:val="none" w:color="auto"/>
        </w:rPr>
        <w:t>月</w:t>
      </w:r>
      <w:r>
        <w:rPr>
          <w:rFonts w:hint="default" w:ascii="Times New Roman" w:hAnsi="Times New Roman" w:eastAsia="宋体" w:cs="Times New Roman"/>
          <w:color w:val="auto"/>
          <w:sz w:val="24"/>
          <w:szCs w:val="24"/>
          <w:u w:val="none" w:color="auto"/>
        </w:rPr>
        <w:t>4日取得了湖南省发展和改革委员会</w:t>
      </w:r>
      <w:r>
        <w:rPr>
          <w:rFonts w:hint="default" w:ascii="Times New Roman" w:hAnsi="Times New Roman" w:eastAsia="宋体" w:cs="Times New Roman"/>
          <w:color w:val="auto"/>
          <w:spacing w:val="-2"/>
          <w:sz w:val="24"/>
          <w:szCs w:val="24"/>
          <w:u w:val="none" w:color="auto"/>
        </w:rPr>
        <w:t>《关于湖南汨罗循环经济产业园调区扩区的函》</w:t>
      </w:r>
      <w:r>
        <w:rPr>
          <w:rFonts w:hint="default" w:ascii="Times New Roman" w:hAnsi="Times New Roman" w:eastAsia="宋体" w:cs="Times New Roman"/>
          <w:color w:val="auto"/>
          <w:spacing w:val="-3"/>
          <w:sz w:val="24"/>
          <w:szCs w:val="24"/>
          <w:u w:val="none" w:color="auto"/>
        </w:rPr>
        <w:t>（</w:t>
      </w:r>
      <w:r>
        <w:rPr>
          <w:rFonts w:hint="default" w:ascii="Times New Roman" w:hAnsi="Times New Roman" w:eastAsia="宋体" w:cs="Times New Roman"/>
          <w:color w:val="auto"/>
          <w:spacing w:val="-4"/>
          <w:sz w:val="24"/>
          <w:szCs w:val="24"/>
          <w:u w:val="none" w:color="auto"/>
        </w:rPr>
        <w:t>湘发改函〔</w:t>
      </w:r>
      <w:r>
        <w:rPr>
          <w:rFonts w:hint="default" w:ascii="Times New Roman" w:hAnsi="Times New Roman" w:eastAsia="宋体" w:cs="Times New Roman"/>
          <w:color w:val="auto"/>
          <w:sz w:val="24"/>
          <w:szCs w:val="24"/>
          <w:u w:val="none" w:color="auto"/>
        </w:rPr>
        <w:t>2015</w:t>
      </w:r>
      <w:r>
        <w:rPr>
          <w:rFonts w:hint="default" w:ascii="Times New Roman" w:hAnsi="Times New Roman" w:eastAsia="宋体" w:cs="Times New Roman"/>
          <w:color w:val="auto"/>
          <w:spacing w:val="-20"/>
          <w:sz w:val="24"/>
          <w:szCs w:val="24"/>
          <w:u w:val="none" w:color="auto"/>
        </w:rPr>
        <w:t>〕</w:t>
      </w:r>
      <w:r>
        <w:rPr>
          <w:rFonts w:hint="default" w:ascii="Times New Roman" w:hAnsi="Times New Roman" w:eastAsia="宋体" w:cs="Times New Roman"/>
          <w:color w:val="auto"/>
          <w:sz w:val="24"/>
          <w:szCs w:val="24"/>
          <w:u w:val="none" w:color="auto"/>
        </w:rPr>
        <w:t>45号</w:t>
      </w:r>
      <w:r>
        <w:rPr>
          <w:rFonts w:hint="default" w:ascii="Times New Roman" w:hAnsi="Times New Roman" w:eastAsia="宋体" w:cs="Times New Roman"/>
          <w:color w:val="auto"/>
          <w:spacing w:val="-20"/>
          <w:sz w:val="24"/>
          <w:szCs w:val="24"/>
          <w:u w:val="none" w:color="auto"/>
        </w:rPr>
        <w:t>）</w:t>
      </w:r>
      <w:r>
        <w:rPr>
          <w:rFonts w:hint="default" w:ascii="Times New Roman" w:hAnsi="Times New Roman" w:eastAsia="宋体" w:cs="Times New Roman"/>
          <w:color w:val="auto"/>
          <w:spacing w:val="-7"/>
          <w:sz w:val="24"/>
          <w:szCs w:val="24"/>
          <w:u w:val="none" w:color="auto"/>
        </w:rPr>
        <w:t>。根据湖南</w:t>
      </w:r>
      <w:r>
        <w:rPr>
          <w:rFonts w:hint="default" w:ascii="Times New Roman" w:hAnsi="Times New Roman" w:eastAsia="宋体" w:cs="Times New Roman"/>
          <w:color w:val="auto"/>
          <w:spacing w:val="-2"/>
          <w:sz w:val="24"/>
          <w:szCs w:val="24"/>
          <w:u w:val="none" w:color="auto"/>
        </w:rPr>
        <w:t>省发展和改革委员会关于湖南汨罗循环经济产业园调区扩区的函：到</w:t>
      </w:r>
      <w:r>
        <w:rPr>
          <w:rFonts w:hint="default" w:ascii="Times New Roman" w:hAnsi="Times New Roman" w:eastAsia="宋体" w:cs="Times New Roman"/>
          <w:color w:val="auto"/>
          <w:sz w:val="24"/>
          <w:szCs w:val="24"/>
          <w:u w:val="none" w:color="auto"/>
        </w:rPr>
        <w:t>2020年，园区规</w:t>
      </w:r>
      <w:r>
        <w:rPr>
          <w:rFonts w:hint="default" w:ascii="Times New Roman" w:hAnsi="Times New Roman" w:eastAsia="宋体" w:cs="Times New Roman"/>
          <w:color w:val="auto"/>
          <w:spacing w:val="-10"/>
          <w:sz w:val="24"/>
          <w:szCs w:val="24"/>
          <w:u w:val="none" w:color="auto"/>
        </w:rPr>
        <w:t>划面积由原</w:t>
      </w:r>
      <w:r>
        <w:rPr>
          <w:rFonts w:hint="default" w:ascii="Times New Roman" w:hAnsi="Times New Roman" w:eastAsia="宋体" w:cs="Times New Roman"/>
          <w:color w:val="auto"/>
          <w:sz w:val="24"/>
          <w:szCs w:val="24"/>
          <w:u w:val="none" w:color="auto"/>
        </w:rPr>
        <w:t>5.685km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pacing w:val="-15"/>
          <w:sz w:val="24"/>
          <w:szCs w:val="24"/>
          <w:u w:val="none" w:color="auto"/>
        </w:rPr>
        <w:t>调整至</w:t>
      </w:r>
      <w:r>
        <w:rPr>
          <w:rFonts w:hint="default" w:ascii="Times New Roman" w:hAnsi="Times New Roman" w:eastAsia="宋体" w:cs="Times New Roman"/>
          <w:color w:val="auto"/>
          <w:sz w:val="24"/>
          <w:szCs w:val="24"/>
          <w:u w:val="none" w:color="auto"/>
        </w:rPr>
        <w:t>9.6291km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pacing w:val="-8"/>
          <w:sz w:val="24"/>
          <w:szCs w:val="24"/>
          <w:u w:val="none" w:color="auto"/>
        </w:rPr>
        <w:t>。根据《中国开发区审核公告目录》</w:t>
      </w:r>
      <w:r>
        <w:rPr>
          <w:rFonts w:hint="default" w:ascii="Times New Roman" w:hAnsi="Times New Roman" w:eastAsia="宋体" w:cs="Times New Roman"/>
          <w:color w:val="auto"/>
          <w:sz w:val="24"/>
          <w:szCs w:val="24"/>
          <w:u w:val="none" w:color="auto"/>
        </w:rPr>
        <w:t>（2018</w:t>
      </w:r>
      <w:r>
        <w:rPr>
          <w:rFonts w:hint="default" w:ascii="Times New Roman" w:hAnsi="Times New Roman" w:eastAsia="宋体" w:cs="Times New Roman"/>
          <w:color w:val="auto"/>
          <w:spacing w:val="-7"/>
          <w:sz w:val="24"/>
          <w:szCs w:val="24"/>
          <w:u w:val="none" w:color="auto"/>
        </w:rPr>
        <w:t>年第</w:t>
      </w:r>
      <w:r>
        <w:rPr>
          <w:rFonts w:hint="default" w:ascii="Times New Roman" w:hAnsi="Times New Roman" w:eastAsia="宋体" w:cs="Times New Roman"/>
          <w:color w:val="auto"/>
          <w:sz w:val="24"/>
          <w:szCs w:val="24"/>
          <w:u w:val="none" w:color="auto"/>
        </w:rPr>
        <w:t>4</w:t>
      </w:r>
      <w:r>
        <w:rPr>
          <w:rFonts w:hint="default" w:ascii="Times New Roman" w:hAnsi="Times New Roman" w:eastAsia="宋体" w:cs="Times New Roman"/>
          <w:color w:val="auto"/>
          <w:spacing w:val="15"/>
          <w:sz w:val="24"/>
          <w:szCs w:val="24"/>
          <w:u w:val="none" w:color="auto"/>
        </w:rPr>
        <w:t>号公告）</w:t>
      </w:r>
      <w:r>
        <w:rPr>
          <w:rFonts w:hint="default" w:ascii="Times New Roman" w:hAnsi="Times New Roman" w:eastAsia="宋体" w:cs="Times New Roman"/>
          <w:color w:val="auto"/>
          <w:spacing w:val="5"/>
          <w:sz w:val="24"/>
          <w:szCs w:val="24"/>
          <w:u w:val="none" w:color="auto"/>
        </w:rPr>
        <w:t>，园区核准面积为</w:t>
      </w:r>
      <w:r>
        <w:rPr>
          <w:rFonts w:hint="default" w:ascii="Times New Roman" w:hAnsi="Times New Roman" w:eastAsia="宋体" w:cs="Times New Roman"/>
          <w:color w:val="auto"/>
          <w:sz w:val="24"/>
          <w:szCs w:val="24"/>
          <w:u w:val="none" w:color="auto"/>
        </w:rPr>
        <w:t>9.1913km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pacing w:val="16"/>
          <w:sz w:val="24"/>
          <w:szCs w:val="24"/>
          <w:u w:val="none" w:color="auto"/>
        </w:rPr>
        <w:t>（</w:t>
      </w:r>
      <w:r>
        <w:rPr>
          <w:rFonts w:hint="default" w:ascii="Times New Roman" w:hAnsi="Times New Roman" w:eastAsia="宋体" w:cs="Times New Roman"/>
          <w:color w:val="auto"/>
          <w:spacing w:val="5"/>
          <w:sz w:val="24"/>
          <w:szCs w:val="24"/>
          <w:u w:val="none" w:color="auto"/>
        </w:rPr>
        <w:t>其中新市片区为</w:t>
      </w:r>
      <w:r>
        <w:rPr>
          <w:rFonts w:hint="default" w:ascii="Times New Roman" w:hAnsi="Times New Roman" w:eastAsia="宋体" w:cs="Times New Roman"/>
          <w:color w:val="auto"/>
          <w:sz w:val="24"/>
          <w:szCs w:val="24"/>
          <w:u w:val="none" w:color="auto"/>
        </w:rPr>
        <w:t>6.3738km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pacing w:val="-21"/>
          <w:position w:val="8"/>
          <w:sz w:val="24"/>
          <w:szCs w:val="24"/>
          <w:u w:val="none" w:color="auto"/>
        </w:rPr>
        <w:t xml:space="preserve"> </w:t>
      </w:r>
      <w:r>
        <w:rPr>
          <w:rFonts w:hint="default" w:ascii="Times New Roman" w:hAnsi="Times New Roman" w:eastAsia="宋体" w:cs="Times New Roman"/>
          <w:color w:val="auto"/>
          <w:spacing w:val="11"/>
          <w:sz w:val="24"/>
          <w:szCs w:val="24"/>
          <w:u w:val="none" w:color="auto"/>
        </w:rPr>
        <w:t>，弼时片区为</w:t>
      </w:r>
      <w:r>
        <w:rPr>
          <w:rFonts w:hint="default" w:ascii="Times New Roman" w:hAnsi="Times New Roman" w:eastAsia="宋体" w:cs="Times New Roman"/>
          <w:color w:val="auto"/>
          <w:sz w:val="24"/>
          <w:szCs w:val="24"/>
          <w:u w:val="none" w:color="auto"/>
        </w:rPr>
        <w:t>2.8175km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rPr>
        <w:t>）</w:t>
      </w:r>
      <w:r>
        <w:rPr>
          <w:rFonts w:hint="default" w:ascii="Times New Roman" w:hAnsi="Times New Roman" w:eastAsia="宋体" w:cs="Times New Roman"/>
          <w:color w:val="auto"/>
          <w:spacing w:val="-5"/>
          <w:sz w:val="24"/>
          <w:szCs w:val="24"/>
          <w:u w:val="none" w:color="auto"/>
        </w:rPr>
        <w:t>。根据湖南省人民政府于</w:t>
      </w:r>
      <w:r>
        <w:rPr>
          <w:rFonts w:hint="default" w:ascii="Times New Roman" w:hAnsi="Times New Roman" w:eastAsia="宋体" w:cs="Times New Roman"/>
          <w:color w:val="auto"/>
          <w:sz w:val="24"/>
          <w:szCs w:val="24"/>
          <w:u w:val="none" w:color="auto"/>
        </w:rPr>
        <w:t>2018</w:t>
      </w:r>
      <w:r>
        <w:rPr>
          <w:rFonts w:hint="default" w:ascii="Times New Roman" w:hAnsi="Times New Roman" w:eastAsia="宋体" w:cs="Times New Roman"/>
          <w:color w:val="auto"/>
          <w:spacing w:val="-27"/>
          <w:sz w:val="24"/>
          <w:szCs w:val="24"/>
          <w:u w:val="none" w:color="auto"/>
        </w:rPr>
        <w:t>年</w:t>
      </w:r>
      <w:r>
        <w:rPr>
          <w:rFonts w:hint="default" w:ascii="Times New Roman" w:hAnsi="Times New Roman" w:eastAsia="宋体" w:cs="Times New Roman"/>
          <w:color w:val="auto"/>
          <w:sz w:val="24"/>
          <w:szCs w:val="24"/>
          <w:u w:val="none" w:color="auto"/>
        </w:rPr>
        <w:t>1</w:t>
      </w:r>
      <w:r>
        <w:rPr>
          <w:rFonts w:hint="default" w:ascii="Times New Roman" w:hAnsi="Times New Roman" w:eastAsia="宋体" w:cs="Times New Roman"/>
          <w:color w:val="auto"/>
          <w:spacing w:val="-28"/>
          <w:sz w:val="24"/>
          <w:szCs w:val="24"/>
          <w:u w:val="none" w:color="auto"/>
        </w:rPr>
        <w:t>月</w:t>
      </w:r>
      <w:r>
        <w:rPr>
          <w:rFonts w:hint="default" w:ascii="Times New Roman" w:hAnsi="Times New Roman" w:eastAsia="宋体" w:cs="Times New Roman"/>
          <w:color w:val="auto"/>
          <w:sz w:val="24"/>
          <w:szCs w:val="24"/>
          <w:u w:val="none" w:color="auto"/>
        </w:rPr>
        <w:t>23</w:t>
      </w:r>
      <w:r>
        <w:rPr>
          <w:rFonts w:hint="default" w:ascii="Times New Roman" w:hAnsi="Times New Roman" w:eastAsia="宋体" w:cs="Times New Roman"/>
          <w:color w:val="auto"/>
          <w:spacing w:val="-10"/>
          <w:sz w:val="24"/>
          <w:szCs w:val="24"/>
          <w:u w:val="none" w:color="auto"/>
        </w:rPr>
        <w:t>日关于设立</w:t>
      </w:r>
      <w:r>
        <w:rPr>
          <w:rFonts w:hint="default" w:ascii="Times New Roman" w:hAnsi="Times New Roman" w:eastAsia="宋体" w:cs="Times New Roman"/>
          <w:color w:val="auto"/>
          <w:sz w:val="24"/>
          <w:szCs w:val="24"/>
          <w:u w:val="none" w:color="auto"/>
        </w:rPr>
        <w:t>9个高新技术产业开</w:t>
      </w:r>
      <w:r>
        <w:rPr>
          <w:rFonts w:hint="default" w:ascii="Times New Roman" w:hAnsi="Times New Roman" w:eastAsia="宋体" w:cs="Times New Roman"/>
          <w:color w:val="auto"/>
          <w:spacing w:val="-7"/>
          <w:sz w:val="24"/>
          <w:szCs w:val="24"/>
          <w:u w:val="none" w:color="auto"/>
        </w:rPr>
        <w:t>发区的批复，湖南汨罗循环经济产业园区已更名为汨罗高新技术产业开发区，更名后园</w:t>
      </w:r>
      <w:r>
        <w:rPr>
          <w:rFonts w:hint="default" w:ascii="Times New Roman" w:hAnsi="Times New Roman" w:eastAsia="宋体" w:cs="Times New Roman"/>
          <w:color w:val="auto"/>
          <w:sz w:val="24"/>
          <w:szCs w:val="24"/>
          <w:u w:val="none" w:color="auto"/>
        </w:rPr>
        <w:t>区的核准面积不变。</w:t>
      </w:r>
    </w:p>
    <w:p w14:paraId="454B2FE6">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汨罗市委市政府于2019年对汨罗高新技术产业开发区进行调扩区，调扩区后园区总规划面积为9.3913km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rPr>
        <w:t>（新市片区西片区调出0.42km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position w:val="8"/>
          <w:sz w:val="24"/>
          <w:szCs w:val="24"/>
          <w:u w:val="none" w:color="auto"/>
        </w:rPr>
        <w:t xml:space="preserve"> </w:t>
      </w:r>
      <w:r>
        <w:rPr>
          <w:rFonts w:hint="default" w:ascii="Times New Roman" w:hAnsi="Times New Roman" w:eastAsia="宋体" w:cs="Times New Roman"/>
          <w:color w:val="auto"/>
          <w:sz w:val="24"/>
          <w:szCs w:val="24"/>
          <w:u w:val="none" w:color="auto"/>
        </w:rPr>
        <w:t>至新市片区东片区并新增0.2km</w:t>
      </w:r>
      <w:r>
        <w:rPr>
          <w:rFonts w:hint="default" w:ascii="Times New Roman" w:hAnsi="Times New Roman" w:eastAsia="宋体" w:cs="Times New Roman"/>
          <w:color w:val="auto"/>
          <w:sz w:val="24"/>
          <w:szCs w:val="24"/>
          <w:u w:val="none" w:color="auto"/>
          <w:vertAlign w:val="superscript"/>
          <w:lang w:val="en-US" w:eastAsia="zh-CN"/>
        </w:rPr>
        <w:t>2</w:t>
      </w:r>
      <w:r>
        <w:rPr>
          <w:rFonts w:hint="default" w:ascii="Times New Roman" w:hAnsi="Times New Roman" w:eastAsia="宋体" w:cs="Times New Roman"/>
          <w:color w:val="auto"/>
          <w:sz w:val="24"/>
          <w:szCs w:val="24"/>
          <w:u w:val="none" w:color="auto"/>
        </w:rPr>
        <w:t>，弼时片区与2018 年核准的范围保持一致）。</w:t>
      </w:r>
    </w:p>
    <w:p w14:paraId="69E741FB">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2022 年8月2日，《湖南省发展和改革委员会、湖南省自然资源厅关于发布湖南省省级及以上产业园区边界面积及四至范围目录的通知》（湘发改园区[2022]601号）核准了汨罗高新技术产业开发区边界面积及四至范围：总面积951.43公顷，由3个区块组成，区块一（新市片西片区）453.58公顷，四至范围为东至新市街，南至金塘路，西至武广东路，北至汩江大道；区块二（新市片东片区）216.09公顷，四至范围为东至湄江路，南至金塘路，西至G107国道，北至汩新大道；区块三（弼时片）281.76公顷，四至范围为东至富强路，南至坪上南路，西至坪上路，北至王家园路。</w:t>
      </w:r>
    </w:p>
    <w:p w14:paraId="6DB8FD50">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2023年10月19日，湖南省发展和改革委员会《关于同意汨罗高新技术产业开发区开展扩区前期工作的函》（湘发改函[2023]71号）。2023年11月21日湖南省自然资源厅《湖南省自然资源厅关于汨罗高新技术产业开发区扩区用地审核意见的函》，原则同意汨罗高新技术产业开发区在2022年经省人民政府同意核实其边界范围总面积951.43公顷的基础上，将592.24公顷依扩区程序调入四至边界范围。</w:t>
      </w:r>
    </w:p>
    <w:p w14:paraId="661798E2">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2024年5月14日，湖南省生态环境厅在长沙市主持召开了《汨罗高新技术产业开发区扩区规划环境影响报告书环境影响报告书》审查会，并顺利通过，目前已下达审查意见的函。根据《汨罗高新技术产业开发区扩区规划环境影响报告书》、《关于&lt;汨罗高新技术产业开发区扩区规划环境影响报告书&gt;审查意见的函》（湘环评函【2024】41号），扩区后，汨罗高新区规划总面积1543.67公顷，为一区两园，规划总范围包括：湖南汨罗循环经济产业园（新市片）西片区东至莲花路（规划路），南至车站大道（规划路），西至武广高铁，北至汨罗江大道路，规划面积为573.52公顷；湖南汨罗循环经济产业园（新市片）东片区东至湄江河，南至车站大道（规划路）以南600米，西至G107国道，北至汩新大道，规划面积为459.39公顷；湖南工程机械配套产业园（弼时片）东至原G107国道，南至三角塘路以南300米，西至万家丽北路（规划路），北至新G107路，规划面积为510.76公顷。</w:t>
      </w:r>
    </w:p>
    <w:p w14:paraId="451C4EFE">
      <w:pPr>
        <w:pStyle w:val="4"/>
        <w:bidi w:val="0"/>
        <w:rPr>
          <w:rFonts w:hint="default"/>
          <w:color w:val="auto"/>
          <w:u w:val="none" w:color="auto"/>
          <w:lang w:val="en-US" w:eastAsia="zh-CN"/>
        </w:rPr>
      </w:pPr>
      <w:bookmarkStart w:id="840" w:name="_Toc32145"/>
      <w:bookmarkStart w:id="841" w:name="_Toc30434"/>
      <w:bookmarkStart w:id="842" w:name="_Toc14634"/>
      <w:r>
        <w:rPr>
          <w:rFonts w:hint="eastAsia"/>
          <w:color w:val="auto"/>
          <w:u w:val="none" w:color="auto"/>
          <w:lang w:val="en-US" w:eastAsia="zh-CN"/>
        </w:rPr>
        <w:t>5.2.2园区规划概况</w:t>
      </w:r>
      <w:bookmarkEnd w:id="840"/>
      <w:bookmarkEnd w:id="841"/>
      <w:bookmarkEnd w:id="842"/>
    </w:p>
    <w:p w14:paraId="0A2A5AB1">
      <w:pPr>
        <w:pStyle w:val="8"/>
        <w:spacing w:line="360" w:lineRule="auto"/>
        <w:ind w:left="0" w:firstLine="482" w:firstLineChars="200"/>
        <w:rPr>
          <w:rFonts w:hint="default" w:ascii="Times New Roman" w:hAnsi="Times New Roman" w:eastAsia="宋体" w:cs="Times New Roman"/>
          <w:b/>
          <w:bCs/>
          <w:color w:val="auto"/>
          <w:sz w:val="24"/>
          <w:szCs w:val="24"/>
          <w:u w:val="none" w:color="auto"/>
        </w:rPr>
      </w:pPr>
      <w:r>
        <w:rPr>
          <w:rFonts w:hint="default" w:ascii="Times New Roman" w:hAnsi="Times New Roman" w:eastAsia="宋体" w:cs="Times New Roman"/>
          <w:b/>
          <w:bCs/>
          <w:color w:val="auto"/>
          <w:sz w:val="24"/>
          <w:szCs w:val="24"/>
          <w:u w:val="none" w:color="auto"/>
          <w:lang w:eastAsia="zh-CN"/>
        </w:rPr>
        <w:t>（</w:t>
      </w:r>
      <w:r>
        <w:rPr>
          <w:rFonts w:hint="default" w:ascii="Times New Roman" w:hAnsi="Times New Roman" w:eastAsia="宋体" w:cs="Times New Roman"/>
          <w:b/>
          <w:bCs/>
          <w:color w:val="auto"/>
          <w:sz w:val="24"/>
          <w:szCs w:val="24"/>
          <w:u w:val="none" w:color="auto"/>
          <w:lang w:val="en-US" w:eastAsia="zh-CN"/>
        </w:rPr>
        <w:t>1</w:t>
      </w:r>
      <w:r>
        <w:rPr>
          <w:rFonts w:hint="default" w:ascii="Times New Roman" w:hAnsi="Times New Roman" w:eastAsia="宋体" w:cs="Times New Roman"/>
          <w:b/>
          <w:bCs/>
          <w:color w:val="auto"/>
          <w:sz w:val="24"/>
          <w:szCs w:val="24"/>
          <w:u w:val="none" w:color="auto"/>
          <w:lang w:eastAsia="zh-CN"/>
        </w:rPr>
        <w:t>）</w:t>
      </w:r>
      <w:r>
        <w:rPr>
          <w:rFonts w:hint="default" w:ascii="Times New Roman" w:hAnsi="Times New Roman" w:eastAsia="宋体" w:cs="Times New Roman"/>
          <w:b/>
          <w:bCs/>
          <w:color w:val="auto"/>
          <w:sz w:val="24"/>
          <w:szCs w:val="24"/>
          <w:u w:val="none" w:color="auto"/>
        </w:rPr>
        <w:t xml:space="preserve"> 规划范围</w:t>
      </w:r>
    </w:p>
    <w:p w14:paraId="346C39CB">
      <w:pPr>
        <w:pStyle w:val="20"/>
        <w:bidi w:val="0"/>
        <w:rPr>
          <w:rFonts w:hint="default"/>
          <w:color w:val="auto"/>
          <w:u w:val="none" w:color="auto"/>
        </w:rPr>
      </w:pPr>
      <w:r>
        <w:rPr>
          <w:rFonts w:hint="default"/>
          <w:color w:val="auto"/>
          <w:u w:val="none" w:color="auto"/>
        </w:rPr>
        <w:t>最新规划年限为2022-2035年。汨罗高新技术产业开发区由新市片区和弼时片区组成，总规划总面积为1543.67公顷，其中新市片区规划总面积为1032.91公顷，弼时片区为510.76公顷，规划四至范围见表</w:t>
      </w:r>
      <w:r>
        <w:rPr>
          <w:rFonts w:hint="eastAsia"/>
          <w:color w:val="auto"/>
          <w:u w:val="none" w:color="auto"/>
          <w:lang w:val="en-US" w:eastAsia="zh-CN"/>
        </w:rPr>
        <w:t>5</w:t>
      </w:r>
      <w:r>
        <w:rPr>
          <w:rFonts w:hint="default"/>
          <w:color w:val="auto"/>
          <w:u w:val="none" w:color="auto"/>
        </w:rPr>
        <w:t>.2-1。</w:t>
      </w:r>
    </w:p>
    <w:p w14:paraId="60343F38">
      <w:pPr>
        <w:pStyle w:val="22"/>
        <w:bidi w:val="0"/>
        <w:rPr>
          <w:rFonts w:hint="default"/>
          <w:color w:val="auto"/>
          <w:u w:val="none" w:color="auto"/>
        </w:rPr>
      </w:pPr>
      <w:r>
        <w:rPr>
          <w:rFonts w:hint="default"/>
          <w:color w:val="auto"/>
          <w:u w:val="none" w:color="auto"/>
        </w:rPr>
        <w:t xml:space="preserve">表 </w:t>
      </w:r>
      <w:r>
        <w:rPr>
          <w:rFonts w:hint="eastAsia"/>
          <w:color w:val="auto"/>
          <w:u w:val="none" w:color="auto"/>
          <w:lang w:val="en-US" w:eastAsia="zh-CN"/>
        </w:rPr>
        <w:t>5</w:t>
      </w:r>
      <w:r>
        <w:rPr>
          <w:rFonts w:hint="default"/>
          <w:color w:val="auto"/>
          <w:u w:val="none" w:color="auto"/>
        </w:rPr>
        <w:t xml:space="preserve">.2-1  </w:t>
      </w:r>
      <w:r>
        <w:rPr>
          <w:rFonts w:hint="default"/>
          <w:color w:val="auto"/>
          <w:u w:val="none" w:color="auto"/>
          <w:lang w:eastAsia="zh-CN"/>
        </w:rPr>
        <w:t>园区</w:t>
      </w:r>
      <w:r>
        <w:rPr>
          <w:rFonts w:hint="default"/>
          <w:color w:val="auto"/>
          <w:u w:val="none" w:color="auto"/>
        </w:rPr>
        <w:t>规划四至范围一览表</w:t>
      </w:r>
    </w:p>
    <w:tbl>
      <w:tblPr>
        <w:tblStyle w:val="33"/>
        <w:tblW w:w="850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1397"/>
        <w:gridCol w:w="648"/>
        <w:gridCol w:w="4332"/>
        <w:gridCol w:w="2127"/>
      </w:tblGrid>
      <w:tr w14:paraId="79DCBC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821" w:type="pct"/>
            <w:tcBorders>
              <w:tl2br w:val="nil"/>
              <w:tr2bl w:val="nil"/>
            </w:tcBorders>
            <w:noWrap w:val="0"/>
            <w:vAlign w:val="center"/>
          </w:tcPr>
          <w:p w14:paraId="1971B616">
            <w:pPr>
              <w:pStyle w:val="36"/>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产业开发区</w:t>
            </w:r>
          </w:p>
        </w:tc>
        <w:tc>
          <w:tcPr>
            <w:tcW w:w="381" w:type="pct"/>
            <w:tcBorders>
              <w:tl2br w:val="nil"/>
              <w:tr2bl w:val="nil"/>
            </w:tcBorders>
            <w:noWrap w:val="0"/>
            <w:vAlign w:val="center"/>
          </w:tcPr>
          <w:p w14:paraId="5A72400C">
            <w:pPr>
              <w:pStyle w:val="36"/>
              <w:rPr>
                <w:rFonts w:hint="default" w:ascii="Times New Roman" w:hAnsi="Times New Roman" w:eastAsia="宋体" w:cs="Times New Roman"/>
                <w:b/>
                <w:bCs/>
                <w:color w:val="auto"/>
                <w:spacing w:val="-7"/>
                <w:szCs w:val="21"/>
                <w:u w:val="none" w:color="auto"/>
              </w:rPr>
            </w:pPr>
            <w:r>
              <w:rPr>
                <w:rFonts w:hint="default" w:ascii="Times New Roman" w:hAnsi="Times New Roman" w:eastAsia="宋体" w:cs="Times New Roman"/>
                <w:b/>
                <w:bCs/>
                <w:color w:val="auto"/>
                <w:spacing w:val="-7"/>
                <w:szCs w:val="21"/>
                <w:u w:val="none" w:color="auto"/>
              </w:rPr>
              <w:t>片区</w:t>
            </w:r>
          </w:p>
        </w:tc>
        <w:tc>
          <w:tcPr>
            <w:tcW w:w="2546" w:type="pct"/>
            <w:tcBorders>
              <w:tl2br w:val="nil"/>
              <w:tr2bl w:val="nil"/>
            </w:tcBorders>
            <w:noWrap w:val="0"/>
            <w:vAlign w:val="center"/>
          </w:tcPr>
          <w:p w14:paraId="3BEF38AD">
            <w:pPr>
              <w:pStyle w:val="36"/>
              <w:rPr>
                <w:rFonts w:hint="default" w:ascii="Times New Roman" w:hAnsi="Times New Roman" w:eastAsia="宋体" w:cs="Times New Roman"/>
                <w:b/>
                <w:bCs/>
                <w:color w:val="auto"/>
                <w:spacing w:val="-7"/>
                <w:szCs w:val="21"/>
                <w:u w:val="none" w:color="auto"/>
              </w:rPr>
            </w:pPr>
            <w:r>
              <w:rPr>
                <w:rFonts w:hint="default" w:ascii="Times New Roman" w:hAnsi="Times New Roman" w:eastAsia="宋体" w:cs="Times New Roman"/>
                <w:b/>
                <w:bCs/>
                <w:color w:val="auto"/>
                <w:spacing w:val="-7"/>
                <w:szCs w:val="21"/>
                <w:u w:val="none" w:color="auto"/>
              </w:rPr>
              <w:t>四至范围</w:t>
            </w:r>
          </w:p>
        </w:tc>
        <w:tc>
          <w:tcPr>
            <w:tcW w:w="1250" w:type="pct"/>
            <w:tcBorders>
              <w:tl2br w:val="nil"/>
              <w:tr2bl w:val="nil"/>
            </w:tcBorders>
            <w:noWrap w:val="0"/>
            <w:vAlign w:val="center"/>
          </w:tcPr>
          <w:p w14:paraId="06C8A069">
            <w:pPr>
              <w:pStyle w:val="36"/>
              <w:rPr>
                <w:rFonts w:hint="default" w:ascii="Times New Roman" w:hAnsi="Times New Roman" w:eastAsia="宋体" w:cs="Times New Roman"/>
                <w:b/>
                <w:bCs/>
                <w:color w:val="auto"/>
                <w:szCs w:val="21"/>
                <w:u w:val="none" w:color="auto"/>
              </w:rPr>
            </w:pPr>
            <w:r>
              <w:rPr>
                <w:rFonts w:hint="default" w:ascii="Times New Roman" w:hAnsi="Times New Roman" w:eastAsia="宋体" w:cs="Times New Roman"/>
                <w:b/>
                <w:bCs/>
                <w:color w:val="auto"/>
                <w:szCs w:val="21"/>
                <w:u w:val="none" w:color="auto"/>
              </w:rPr>
              <w:t>规划范围</w:t>
            </w:r>
          </w:p>
        </w:tc>
      </w:tr>
      <w:tr w14:paraId="48A8B0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217" w:hRule="atLeast"/>
        </w:trPr>
        <w:tc>
          <w:tcPr>
            <w:tcW w:w="821" w:type="pct"/>
            <w:vMerge w:val="restart"/>
            <w:tcBorders>
              <w:tl2br w:val="nil"/>
              <w:tr2bl w:val="nil"/>
            </w:tcBorders>
            <w:noWrap w:val="0"/>
            <w:vAlign w:val="center"/>
          </w:tcPr>
          <w:p w14:paraId="512FD0B3">
            <w:pPr>
              <w:pStyle w:val="24"/>
              <w:bidi w:val="0"/>
              <w:rPr>
                <w:rFonts w:hint="default"/>
                <w:color w:val="auto"/>
                <w:u w:val="none" w:color="auto"/>
              </w:rPr>
            </w:pPr>
            <w:r>
              <w:rPr>
                <w:rFonts w:hint="default"/>
                <w:color w:val="auto"/>
                <w:u w:val="none" w:color="auto"/>
              </w:rPr>
              <w:t>汨罗高新技术产业开发区</w:t>
            </w:r>
          </w:p>
        </w:tc>
        <w:tc>
          <w:tcPr>
            <w:tcW w:w="381" w:type="pct"/>
            <w:tcBorders>
              <w:tl2br w:val="nil"/>
              <w:tr2bl w:val="nil"/>
            </w:tcBorders>
            <w:noWrap w:val="0"/>
            <w:vAlign w:val="center"/>
          </w:tcPr>
          <w:p w14:paraId="12C81510">
            <w:pPr>
              <w:pStyle w:val="24"/>
              <w:bidi w:val="0"/>
              <w:rPr>
                <w:rFonts w:hint="default"/>
                <w:color w:val="auto"/>
                <w:u w:val="none" w:color="auto"/>
              </w:rPr>
            </w:pPr>
            <w:r>
              <w:rPr>
                <w:rFonts w:hint="default"/>
                <w:color w:val="auto"/>
                <w:u w:val="none" w:color="auto"/>
              </w:rPr>
              <w:t>新市片区</w:t>
            </w:r>
          </w:p>
        </w:tc>
        <w:tc>
          <w:tcPr>
            <w:tcW w:w="2546" w:type="pct"/>
            <w:tcBorders>
              <w:tl2br w:val="nil"/>
              <w:tr2bl w:val="nil"/>
            </w:tcBorders>
            <w:noWrap w:val="0"/>
            <w:vAlign w:val="center"/>
          </w:tcPr>
          <w:p w14:paraId="1B48F1A1">
            <w:pPr>
              <w:pStyle w:val="24"/>
              <w:bidi w:val="0"/>
              <w:rPr>
                <w:rFonts w:hint="default"/>
                <w:color w:val="auto"/>
                <w:u w:val="none" w:color="auto"/>
              </w:rPr>
            </w:pPr>
            <w:r>
              <w:rPr>
                <w:rFonts w:hint="default"/>
                <w:color w:val="auto"/>
                <w:u w:val="none" w:color="auto"/>
              </w:rPr>
              <w:t>新市西片区：东至莲花路（规划路），南至车站大道（规划路），西至武广高铁，北至汨罗江大道路。</w:t>
            </w:r>
          </w:p>
          <w:p w14:paraId="6BAEC647">
            <w:pPr>
              <w:pStyle w:val="24"/>
              <w:bidi w:val="0"/>
              <w:rPr>
                <w:rFonts w:hint="default"/>
                <w:color w:val="auto"/>
                <w:u w:val="none" w:color="auto"/>
              </w:rPr>
            </w:pPr>
            <w:r>
              <w:rPr>
                <w:rFonts w:hint="default"/>
                <w:color w:val="auto"/>
                <w:u w:val="none" w:color="auto"/>
              </w:rPr>
              <w:t>新市东片区：东至湄江河，南至车站大道（规划路）以南600米，西至G107国道，北至汨新大道</w:t>
            </w:r>
          </w:p>
        </w:tc>
        <w:tc>
          <w:tcPr>
            <w:tcW w:w="1250" w:type="pct"/>
            <w:tcBorders>
              <w:tl2br w:val="nil"/>
              <w:tr2bl w:val="nil"/>
            </w:tcBorders>
            <w:noWrap w:val="0"/>
            <w:vAlign w:val="center"/>
          </w:tcPr>
          <w:p w14:paraId="05BC9130">
            <w:pPr>
              <w:pStyle w:val="24"/>
              <w:bidi w:val="0"/>
              <w:rPr>
                <w:rFonts w:hint="default"/>
                <w:color w:val="auto"/>
                <w:u w:val="none" w:color="auto"/>
              </w:rPr>
            </w:pPr>
            <w:r>
              <w:rPr>
                <w:rFonts w:hint="default"/>
                <w:color w:val="auto"/>
                <w:u w:val="none" w:color="auto"/>
              </w:rPr>
              <w:t>规划总用地面积1032.91公顷，其中新市西片区为573.52公顷，新市东片区为459.39公顷</w:t>
            </w:r>
          </w:p>
        </w:tc>
      </w:tr>
      <w:tr w14:paraId="38B752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625" w:hRule="atLeast"/>
        </w:trPr>
        <w:tc>
          <w:tcPr>
            <w:tcW w:w="821" w:type="pct"/>
            <w:vMerge w:val="continue"/>
            <w:tcBorders>
              <w:tl2br w:val="nil"/>
              <w:tr2bl w:val="nil"/>
            </w:tcBorders>
            <w:noWrap w:val="0"/>
            <w:vAlign w:val="center"/>
          </w:tcPr>
          <w:p w14:paraId="23FDCCB0">
            <w:pPr>
              <w:pStyle w:val="24"/>
              <w:bidi w:val="0"/>
              <w:rPr>
                <w:rFonts w:hint="default"/>
                <w:color w:val="auto"/>
                <w:u w:val="none" w:color="auto"/>
              </w:rPr>
            </w:pPr>
          </w:p>
        </w:tc>
        <w:tc>
          <w:tcPr>
            <w:tcW w:w="381" w:type="pct"/>
            <w:tcBorders>
              <w:tl2br w:val="nil"/>
              <w:tr2bl w:val="nil"/>
            </w:tcBorders>
            <w:noWrap w:val="0"/>
            <w:vAlign w:val="center"/>
          </w:tcPr>
          <w:p w14:paraId="0EA76F87">
            <w:pPr>
              <w:pStyle w:val="24"/>
              <w:bidi w:val="0"/>
              <w:rPr>
                <w:rFonts w:hint="default"/>
                <w:color w:val="auto"/>
                <w:u w:val="none" w:color="auto"/>
              </w:rPr>
            </w:pPr>
            <w:r>
              <w:rPr>
                <w:rFonts w:hint="default"/>
                <w:color w:val="auto"/>
                <w:u w:val="none" w:color="auto"/>
              </w:rPr>
              <w:t>弼时</w:t>
            </w:r>
          </w:p>
          <w:p w14:paraId="2E9CFF51">
            <w:pPr>
              <w:pStyle w:val="24"/>
              <w:bidi w:val="0"/>
              <w:rPr>
                <w:rFonts w:hint="default"/>
                <w:color w:val="auto"/>
                <w:u w:val="none" w:color="auto"/>
              </w:rPr>
            </w:pPr>
            <w:r>
              <w:rPr>
                <w:rFonts w:hint="default"/>
                <w:color w:val="auto"/>
                <w:u w:val="none" w:color="auto"/>
              </w:rPr>
              <w:t>片区</w:t>
            </w:r>
          </w:p>
        </w:tc>
        <w:tc>
          <w:tcPr>
            <w:tcW w:w="2546" w:type="pct"/>
            <w:tcBorders>
              <w:tl2br w:val="nil"/>
              <w:tr2bl w:val="nil"/>
            </w:tcBorders>
            <w:noWrap w:val="0"/>
            <w:vAlign w:val="center"/>
          </w:tcPr>
          <w:p w14:paraId="584E1CD3">
            <w:pPr>
              <w:pStyle w:val="24"/>
              <w:bidi w:val="0"/>
              <w:rPr>
                <w:rFonts w:hint="default"/>
                <w:color w:val="auto"/>
                <w:u w:val="none" w:color="auto"/>
              </w:rPr>
            </w:pPr>
            <w:r>
              <w:rPr>
                <w:rFonts w:hint="default"/>
                <w:color w:val="auto"/>
                <w:u w:val="none" w:color="auto"/>
              </w:rPr>
              <w:t>东至原G107国道，南至三角塘路以南300米，西至万家丽北路（规划路），北至新G107路</w:t>
            </w:r>
          </w:p>
        </w:tc>
        <w:tc>
          <w:tcPr>
            <w:tcW w:w="1250" w:type="pct"/>
            <w:tcBorders>
              <w:tl2br w:val="nil"/>
              <w:tr2bl w:val="nil"/>
            </w:tcBorders>
            <w:noWrap w:val="0"/>
            <w:vAlign w:val="center"/>
          </w:tcPr>
          <w:p w14:paraId="107D4953">
            <w:pPr>
              <w:pStyle w:val="24"/>
              <w:bidi w:val="0"/>
              <w:rPr>
                <w:rFonts w:hint="default"/>
                <w:color w:val="auto"/>
                <w:u w:val="none" w:color="auto"/>
              </w:rPr>
            </w:pPr>
            <w:r>
              <w:rPr>
                <w:rFonts w:hint="default"/>
                <w:color w:val="auto"/>
                <w:u w:val="none" w:color="auto"/>
              </w:rPr>
              <w:t>规划总用地面积为</w:t>
            </w:r>
            <w:r>
              <w:rPr>
                <w:rFonts w:hint="eastAsia"/>
                <w:color w:val="auto"/>
                <w:u w:val="none" w:color="auto"/>
                <w:lang w:val="en-US" w:eastAsia="zh-CN"/>
              </w:rPr>
              <w:t>510.76</w:t>
            </w:r>
            <w:r>
              <w:rPr>
                <w:rFonts w:hint="default"/>
                <w:color w:val="auto"/>
                <w:u w:val="none" w:color="auto"/>
              </w:rPr>
              <w:t>公顷</w:t>
            </w:r>
          </w:p>
        </w:tc>
      </w:tr>
    </w:tbl>
    <w:p w14:paraId="038315CD">
      <w:pPr>
        <w:pStyle w:val="8"/>
        <w:spacing w:line="360" w:lineRule="auto"/>
        <w:ind w:left="0" w:firstLine="482" w:firstLineChars="200"/>
        <w:rPr>
          <w:rFonts w:hint="default" w:ascii="Times New Roman" w:hAnsi="Times New Roman" w:eastAsia="宋体" w:cs="Times New Roman"/>
          <w:b/>
          <w:bCs/>
          <w:color w:val="auto"/>
          <w:sz w:val="24"/>
          <w:szCs w:val="24"/>
          <w:u w:val="none" w:color="auto"/>
          <w:lang w:eastAsia="zh-CN"/>
        </w:rPr>
      </w:pPr>
      <w:bookmarkStart w:id="843" w:name="5.2.2.2产业定位"/>
      <w:bookmarkEnd w:id="843"/>
      <w:r>
        <w:rPr>
          <w:rFonts w:hint="default" w:ascii="Times New Roman" w:hAnsi="Times New Roman" w:eastAsia="宋体" w:cs="Times New Roman"/>
          <w:b/>
          <w:bCs/>
          <w:color w:val="auto"/>
          <w:sz w:val="24"/>
          <w:szCs w:val="24"/>
          <w:u w:val="none" w:color="auto"/>
          <w:lang w:eastAsia="zh-CN"/>
        </w:rPr>
        <w:t>（</w:t>
      </w:r>
      <w:r>
        <w:rPr>
          <w:rFonts w:hint="default" w:ascii="Times New Roman" w:hAnsi="Times New Roman" w:eastAsia="宋体" w:cs="Times New Roman"/>
          <w:b/>
          <w:bCs/>
          <w:color w:val="auto"/>
          <w:sz w:val="24"/>
          <w:szCs w:val="24"/>
          <w:u w:val="none" w:color="auto"/>
          <w:lang w:val="en-US" w:eastAsia="zh-CN"/>
        </w:rPr>
        <w:t>2</w:t>
      </w:r>
      <w:r>
        <w:rPr>
          <w:rFonts w:hint="default" w:ascii="Times New Roman" w:hAnsi="Times New Roman" w:eastAsia="宋体" w:cs="Times New Roman"/>
          <w:b/>
          <w:bCs/>
          <w:color w:val="auto"/>
          <w:sz w:val="24"/>
          <w:szCs w:val="24"/>
          <w:u w:val="none" w:color="auto"/>
          <w:lang w:eastAsia="zh-CN"/>
        </w:rPr>
        <w:t>）产业定位</w:t>
      </w:r>
    </w:p>
    <w:p w14:paraId="78D2D9B9">
      <w:pPr>
        <w:pStyle w:val="20"/>
        <w:bidi w:val="0"/>
        <w:rPr>
          <w:rFonts w:hint="default"/>
          <w:color w:val="auto"/>
          <w:u w:val="none" w:color="auto"/>
        </w:rPr>
      </w:pPr>
      <w:r>
        <w:rPr>
          <w:rFonts w:hint="default"/>
          <w:color w:val="auto"/>
          <w:u w:val="none" w:color="auto"/>
        </w:rPr>
        <w:t>《中国开发区审核公告目录（2018 年版）》核准汨罗高新技术产业开发区的主导产业为：再生资源、电子信息、机械。</w:t>
      </w:r>
    </w:p>
    <w:p w14:paraId="5D31E60F">
      <w:pPr>
        <w:pStyle w:val="20"/>
        <w:bidi w:val="0"/>
        <w:rPr>
          <w:rFonts w:hint="default"/>
          <w:color w:val="auto"/>
          <w:u w:val="none" w:color="auto"/>
        </w:rPr>
      </w:pPr>
      <w:r>
        <w:rPr>
          <w:rFonts w:hint="default"/>
          <w:color w:val="auto"/>
          <w:u w:val="none" w:color="auto"/>
        </w:rPr>
        <w:t>《湖南省生态环境厅关于&lt;汨罗高新技术产业开发区调区扩区总体规划环境影响报告书&gt;审查意见的函》（湘环评函[2019]8号）中汨罗高新技术产业开发区的主导产业：以再生资源加工回收利用、有色金属精深加工、先进制造产业为主导，辅以发展安防建材、新材料、电子信息三大特色产业。</w:t>
      </w:r>
    </w:p>
    <w:p w14:paraId="1111DCBF">
      <w:pPr>
        <w:pStyle w:val="20"/>
        <w:bidi w:val="0"/>
        <w:rPr>
          <w:rFonts w:hint="default"/>
          <w:color w:val="auto"/>
          <w:u w:val="none" w:color="auto"/>
        </w:rPr>
      </w:pPr>
      <w:r>
        <w:rPr>
          <w:rFonts w:hint="default"/>
          <w:color w:val="auto"/>
          <w:u w:val="none" w:color="auto"/>
        </w:rPr>
        <w:t>根据《湖南汨罗高新技术产业开发区产业发展规划（2022-2027）》及其批复（汨政函[2023]90号），汨罗高新技术产业开发区将通过打</w:t>
      </w:r>
      <w:r>
        <w:rPr>
          <w:rFonts w:hint="eastAsia" w:ascii="宋体" w:hAnsi="宋体" w:eastAsia="宋体" w:cs="宋体"/>
          <w:color w:val="auto"/>
          <w:u w:val="none" w:color="auto"/>
        </w:rPr>
        <w:t>造“一园一主一特” 和新兴产业，即新市片（湖南汨罗循环经济产业园）以“废弃资源综合利用产业” 为主导产业、“电子信息产业”为特色产业；弼时片（湖南工程机械配套产业园）以“先进装备制造产业”为主导产业、“汽车零部件及配件制造产业”为特色产业，培育“先进储能材料产业”一大新兴产业，积极发展现代服务业，形成“一园一主导一特色”、层次分明、科</w:t>
      </w:r>
      <w:r>
        <w:rPr>
          <w:rFonts w:hint="default"/>
          <w:color w:val="auto"/>
          <w:u w:val="none" w:color="auto"/>
        </w:rPr>
        <w:t>学合理的产业定位组合，以绿色循环经济推动该地区的可持续高质量增长。</w:t>
      </w:r>
    </w:p>
    <w:p w14:paraId="5FD11BF8">
      <w:pPr>
        <w:pStyle w:val="4"/>
        <w:bidi w:val="0"/>
        <w:rPr>
          <w:rFonts w:hint="eastAsia"/>
          <w:color w:val="auto"/>
          <w:u w:val="none" w:color="auto"/>
          <w:lang w:val="en-US" w:eastAsia="zh-CN"/>
        </w:rPr>
      </w:pPr>
      <w:bookmarkStart w:id="844" w:name="_Toc24021"/>
      <w:bookmarkStart w:id="845" w:name="_Toc20071"/>
      <w:bookmarkStart w:id="846" w:name="_Toc14835"/>
      <w:r>
        <w:rPr>
          <w:rFonts w:hint="eastAsia"/>
          <w:color w:val="auto"/>
          <w:u w:val="none" w:color="auto"/>
          <w:lang w:val="en-US" w:eastAsia="zh-CN"/>
        </w:rPr>
        <w:t>5.2.3园区总体规划</w:t>
      </w:r>
      <w:bookmarkEnd w:id="844"/>
      <w:bookmarkEnd w:id="845"/>
      <w:bookmarkEnd w:id="846"/>
    </w:p>
    <w:p w14:paraId="52E1DD04">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（1）新市片（湖南汨罗循环经济产业园）</w:t>
      </w:r>
    </w:p>
    <w:p w14:paraId="4C322AC4">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规划新市片区分为先进装备制造业区、电子信息产业区、废弃资源综合利用产业区、高铁新城产城融合发展区、先进储能材料产业区。</w:t>
      </w:r>
    </w:p>
    <w:p w14:paraId="11E44824">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先进装备制造业区：分布在新市片西片区北部，重点发展农业机械专用设备制造产业。</w:t>
      </w:r>
    </w:p>
    <w:p w14:paraId="420FE1C2">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电子信息产业区：分布在新市片西片区北部，汨新大道以北，重点发展手机配件、智能安防及电子电路基材PCB产业园、麻将机、智能安防领域。</w:t>
      </w:r>
    </w:p>
    <w:p w14:paraId="0D8680BE">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废弃资源综合利用产业区：分布在新市片西片区中部、东片区北部和中部，重点发展再生金属及稀贵金属冶炼和压延产业、再生塑料、碳基材料、先进储能材料回收及综合利用产业，包括位于东片区南部在建的中南表面处理中心等企业。鉴于新市片西片区位于新市镇区常年主导风向上风向且已建有多处居民区、安置区及医院学校等环境敏感目标，环评建议新市片西片区的废弃资源综合利用产业区调整为电子信息及相关产业区，可同步发展先进装备制造业，同时提出了该片区的行业准入清单。</w:t>
      </w:r>
    </w:p>
    <w:p w14:paraId="20B4FCFC">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高铁新城产城融合发展区：分布在新市片西片区南部，青春大道以南，重点发展电子信息、仓储物流、商贸居住、教育卫生、康养休闲等。汨罗高新区以发展工业为主，环评建议删除“居住、教育、康养休闲”等居民服务性产业。</w:t>
      </w:r>
    </w:p>
    <w:p w14:paraId="608AF7BF">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先进储能材料产业区：分布在新市片东片区南部，重点发展废旧电池等储能材料回收及综合利用产业，包括顺华锂业等企业。</w:t>
      </w:r>
    </w:p>
    <w:p w14:paraId="07C811C4">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（2）弼时片（湖南工程机械配套产业园）</w:t>
      </w:r>
    </w:p>
    <w:p w14:paraId="1C4D50B5">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规划弼时片区分为先进装备制造业区、汽车零部件及配件制造区。</w:t>
      </w:r>
    </w:p>
    <w:p w14:paraId="07FBDA79">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先进装备制造业区：分布在弼时片北部和中部。以发展专用车辆、道路机械、起重机械、管网装备、垃圾焚烧装备、隧道温喷台车、混凝土干粉砂浆设备、高空作业平台和塔机等工程机械配套产业为核心。</w:t>
      </w:r>
    </w:p>
    <w:p w14:paraId="0184EC3F">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汽车零部件及配件制造业区：分布在弼时片南部，重点发展汽车注塑、汽车铝合金配件、铜金配件、橡胶配件、配件表面处理等产品。</w:t>
      </w:r>
    </w:p>
    <w:p w14:paraId="3EF1C63B">
      <w:pPr>
        <w:pStyle w:val="4"/>
        <w:bidi w:val="0"/>
        <w:rPr>
          <w:rFonts w:hint="eastAsia"/>
          <w:color w:val="auto"/>
          <w:u w:val="none" w:color="auto"/>
          <w:lang w:val="en-US" w:eastAsia="zh-CN"/>
        </w:rPr>
      </w:pPr>
      <w:bookmarkStart w:id="847" w:name="_Toc9004"/>
      <w:bookmarkStart w:id="848" w:name="_Toc14622"/>
      <w:bookmarkStart w:id="849" w:name="_Toc14173"/>
      <w:r>
        <w:rPr>
          <w:rFonts w:hint="eastAsia"/>
          <w:color w:val="auto"/>
          <w:u w:val="none" w:color="auto"/>
          <w:lang w:val="en-US" w:eastAsia="zh-CN"/>
        </w:rPr>
        <w:t>5.2.4基础设施规划</w:t>
      </w:r>
      <w:bookmarkEnd w:id="847"/>
      <w:bookmarkEnd w:id="848"/>
      <w:bookmarkEnd w:id="849"/>
    </w:p>
    <w:p w14:paraId="75BB8FFD">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（1）给水</w:t>
      </w:r>
    </w:p>
    <w:p w14:paraId="7270425F">
      <w:pPr>
        <w:pStyle w:val="8"/>
        <w:keepNext w:val="0"/>
        <w:keepLines w:val="0"/>
        <w:pageBreakBefore w:val="0"/>
        <w:widowControl w:val="0"/>
        <w:kinsoku/>
        <w:wordWrap/>
        <w:overflowPunct/>
        <w:topLinePunct w:val="0"/>
        <w:autoSpaceDE/>
        <w:autoSpaceDN/>
        <w:bidi w:val="0"/>
        <w:adjustRightInd/>
        <w:snapToGrid/>
        <w:spacing w:line="360" w:lineRule="auto"/>
        <w:ind w:left="0" w:firstLine="464"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4"/>
          <w:sz w:val="24"/>
          <w:szCs w:val="24"/>
          <w:u w:val="none" w:color="auto"/>
        </w:rPr>
        <w:t>根据汨罗高新区详细控制性规划、专项给排水规划文本，采用建设用地指标法进行用水量预测，预测结果确定汨罗高新区总用水量为4.42万m</w:t>
      </w:r>
      <w:r>
        <w:rPr>
          <w:rFonts w:hint="default" w:ascii="Times New Roman" w:hAnsi="Times New Roman" w:eastAsia="宋体" w:cs="Times New Roman"/>
          <w:color w:val="auto"/>
          <w:spacing w:val="-4"/>
          <w:sz w:val="24"/>
          <w:szCs w:val="24"/>
          <w:u w:val="none" w:color="auto"/>
          <w:vertAlign w:val="superscript"/>
        </w:rPr>
        <w:t>3</w:t>
      </w:r>
      <w:r>
        <w:rPr>
          <w:rFonts w:hint="default" w:ascii="Times New Roman" w:hAnsi="Times New Roman" w:eastAsia="宋体" w:cs="Times New Roman"/>
          <w:color w:val="auto"/>
          <w:spacing w:val="-4"/>
          <w:sz w:val="24"/>
          <w:szCs w:val="24"/>
          <w:u w:val="none" w:color="auto"/>
        </w:rPr>
        <w:t>/d，其中新市片用水量2.59万m</w:t>
      </w:r>
      <w:r>
        <w:rPr>
          <w:rFonts w:hint="default" w:ascii="Times New Roman" w:hAnsi="Times New Roman" w:eastAsia="宋体" w:cs="Times New Roman"/>
          <w:color w:val="auto"/>
          <w:spacing w:val="-4"/>
          <w:sz w:val="24"/>
          <w:szCs w:val="24"/>
          <w:u w:val="none" w:color="auto"/>
          <w:vertAlign w:val="superscript"/>
        </w:rPr>
        <w:t>3</w:t>
      </w:r>
      <w:r>
        <w:rPr>
          <w:rFonts w:hint="default" w:ascii="Times New Roman" w:hAnsi="Times New Roman" w:eastAsia="宋体" w:cs="Times New Roman"/>
          <w:color w:val="auto"/>
          <w:spacing w:val="-4"/>
          <w:sz w:val="24"/>
          <w:szCs w:val="24"/>
          <w:u w:val="none" w:color="auto"/>
        </w:rPr>
        <w:t>/d，弼时片用水量1.83万m</w:t>
      </w:r>
      <w:r>
        <w:rPr>
          <w:rFonts w:hint="default" w:ascii="Times New Roman" w:hAnsi="Times New Roman" w:eastAsia="宋体" w:cs="Times New Roman"/>
          <w:color w:val="auto"/>
          <w:spacing w:val="-4"/>
          <w:sz w:val="24"/>
          <w:szCs w:val="24"/>
          <w:u w:val="none" w:color="auto"/>
          <w:vertAlign w:val="superscript"/>
        </w:rPr>
        <w:t>3</w:t>
      </w:r>
      <w:r>
        <w:rPr>
          <w:rFonts w:hint="default" w:ascii="Times New Roman" w:hAnsi="Times New Roman" w:eastAsia="宋体" w:cs="Times New Roman"/>
          <w:color w:val="auto"/>
          <w:spacing w:val="-4"/>
          <w:sz w:val="24"/>
          <w:szCs w:val="24"/>
          <w:u w:val="none" w:color="auto"/>
        </w:rPr>
        <w:t>/d。</w:t>
      </w:r>
    </w:p>
    <w:p w14:paraId="2E764591">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（2）排水</w:t>
      </w:r>
    </w:p>
    <w:p w14:paraId="7D173AD6">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园区排水严格采用雨污分流制，配套建设雨水管网、PCB产业园含重金属废水管网、中水收集及回用管网、工业污水管网和重金属废水管网。园区内企业废水分类、分质处理。排水系统统一规划、统筹安排、分期实施。</w:t>
      </w:r>
    </w:p>
    <w:p w14:paraId="590D3C1A">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新市片PCB产业园污水处理厂（位于新市片西片区北部）内线路板企业生产废水（不包括除含镍、含铜、含锡废水以外的其他重金属废水，生活污水）进入产业园内重金属废水管网接入PCB产业园污水处理厂处理达标后，汇入新市片园区工业污水管网进入湖南汨罗高新技术产业开发区（循环园区）污水处理厂（以下简</w:t>
      </w:r>
      <w:r>
        <w:rPr>
          <w:rFonts w:hint="eastAsia" w:ascii="宋体" w:hAnsi="宋体" w:eastAsia="宋体" w:cs="宋体"/>
          <w:color w:val="auto"/>
          <w:sz w:val="24"/>
          <w:szCs w:val="24"/>
          <w:u w:val="none" w:color="auto"/>
        </w:rPr>
        <w:t>称“循环园污水厂”</w:t>
      </w:r>
      <w:r>
        <w:rPr>
          <w:rFonts w:hint="default" w:ascii="Times New Roman" w:hAnsi="Times New Roman" w:eastAsia="宋体" w:cs="Times New Roman"/>
          <w:color w:val="auto"/>
          <w:sz w:val="24"/>
          <w:szCs w:val="24"/>
          <w:u w:val="none" w:color="auto"/>
        </w:rPr>
        <w:t>）处理。</w:t>
      </w:r>
    </w:p>
    <w:p w14:paraId="1910AF7B">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新市片区除PCB产业园污水处理厂接纳的含重金属废外的其它涉重生产污水、涉重企业初期雨水（经企业内部预处理后的）通过独立的重金属废水管网进入湖南汨罗工业园重金属污水处理厂（以下简称</w:t>
      </w:r>
      <w:r>
        <w:rPr>
          <w:rFonts w:hint="eastAsia" w:ascii="宋体" w:hAnsi="宋体" w:eastAsia="宋体" w:cs="宋体"/>
          <w:color w:val="auto"/>
          <w:sz w:val="24"/>
          <w:szCs w:val="24"/>
          <w:u w:val="none" w:color="auto"/>
        </w:rPr>
        <w:t>“重金属废水厂”</w:t>
      </w:r>
      <w:r>
        <w:rPr>
          <w:rFonts w:hint="default" w:ascii="Times New Roman" w:hAnsi="Times New Roman" w:eastAsia="宋体" w:cs="Times New Roman"/>
          <w:color w:val="auto"/>
          <w:sz w:val="24"/>
          <w:szCs w:val="24"/>
          <w:u w:val="none" w:color="auto"/>
        </w:rPr>
        <w:t>）处理后，汇入循环园污水厂处理达标后排入汨罗江。</w:t>
      </w:r>
    </w:p>
    <w:p w14:paraId="3C1D5405">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新市片再生塑料产业区企业产生的生产废水进入中水污水管网，汇入湖南汨罗循环经济产业园污水处理及中水回用厂（以下</w:t>
      </w:r>
      <w:r>
        <w:rPr>
          <w:rFonts w:hint="eastAsia" w:ascii="宋体" w:hAnsi="宋体" w:eastAsia="宋体" w:cs="宋体"/>
          <w:color w:val="auto"/>
          <w:sz w:val="24"/>
          <w:szCs w:val="24"/>
          <w:u w:val="none" w:color="auto"/>
        </w:rPr>
        <w:t>简称“中水回用厂”</w:t>
      </w:r>
      <w:r>
        <w:rPr>
          <w:rFonts w:hint="default" w:ascii="Times New Roman" w:hAnsi="Times New Roman" w:eastAsia="宋体" w:cs="Times New Roman"/>
          <w:color w:val="auto"/>
          <w:sz w:val="24"/>
          <w:szCs w:val="24"/>
          <w:u w:val="none" w:color="auto"/>
        </w:rPr>
        <w:t>）处理达标后，作为汨罗循环经济产业园（再生材料产业园）企业生产用水。</w:t>
      </w:r>
    </w:p>
    <w:p w14:paraId="4CDCB346">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新市片区其他生活污水、非涉重工业废水经工业污水管网进入循环园污水厂处理达标后外排至汨罗江。</w:t>
      </w:r>
    </w:p>
    <w:p w14:paraId="531FCF8C">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（3）供电</w:t>
      </w:r>
    </w:p>
    <w:p w14:paraId="4B211B2F">
      <w:pPr>
        <w:pStyle w:val="8"/>
        <w:keepNext w:val="0"/>
        <w:keepLines w:val="0"/>
        <w:pageBreakBefore w:val="0"/>
        <w:widowControl w:val="0"/>
        <w:kinsoku/>
        <w:wordWrap/>
        <w:overflowPunct/>
        <w:topLinePunct w:val="0"/>
        <w:autoSpaceDE/>
        <w:autoSpaceDN/>
        <w:bidi w:val="0"/>
        <w:adjustRightInd/>
        <w:snapToGrid/>
        <w:spacing w:line="360" w:lineRule="auto"/>
        <w:ind w:left="0" w:firstLine="456" w:firstLineChars="200"/>
        <w:jc w:val="both"/>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pacing w:val="-6"/>
          <w:sz w:val="24"/>
          <w:szCs w:val="24"/>
          <w:u w:val="none" w:color="auto"/>
        </w:rPr>
        <w:t>工业园西北角现有</w:t>
      </w:r>
      <w:r>
        <w:rPr>
          <w:rFonts w:hint="default" w:ascii="Times New Roman" w:hAnsi="Times New Roman" w:eastAsia="宋体" w:cs="Times New Roman"/>
          <w:color w:val="auto"/>
          <w:sz w:val="24"/>
          <w:szCs w:val="24"/>
          <w:u w:val="none" w:color="auto"/>
        </w:rPr>
        <w:t>110kV</w:t>
      </w:r>
      <w:r>
        <w:rPr>
          <w:rFonts w:hint="default" w:ascii="Times New Roman" w:hAnsi="Times New Roman" w:eastAsia="宋体" w:cs="Times New Roman"/>
          <w:color w:val="auto"/>
          <w:spacing w:val="-4"/>
          <w:sz w:val="24"/>
          <w:szCs w:val="24"/>
          <w:u w:val="none" w:color="auto"/>
        </w:rPr>
        <w:t>窑洲变电站一座，采用三回路</w:t>
      </w:r>
      <w:r>
        <w:rPr>
          <w:rFonts w:hint="default" w:ascii="Times New Roman" w:hAnsi="Times New Roman" w:eastAsia="宋体" w:cs="Times New Roman"/>
          <w:color w:val="auto"/>
          <w:sz w:val="24"/>
          <w:szCs w:val="24"/>
          <w:u w:val="none" w:color="auto"/>
        </w:rPr>
        <w:t>110kV电源供电，分别由</w:t>
      </w:r>
      <w:r>
        <w:rPr>
          <w:rFonts w:hint="default" w:ascii="Times New Roman" w:hAnsi="Times New Roman" w:eastAsia="宋体" w:cs="Times New Roman"/>
          <w:color w:val="auto"/>
          <w:spacing w:val="-16"/>
          <w:sz w:val="24"/>
          <w:szCs w:val="24"/>
          <w:u w:val="none" w:color="auto"/>
        </w:rPr>
        <w:t>岳阳</w:t>
      </w:r>
      <w:r>
        <w:rPr>
          <w:rFonts w:hint="default" w:ascii="Times New Roman" w:hAnsi="Times New Roman" w:eastAsia="宋体" w:cs="Times New Roman"/>
          <w:color w:val="auto"/>
          <w:sz w:val="24"/>
          <w:szCs w:val="24"/>
          <w:u w:val="none" w:color="auto"/>
        </w:rPr>
        <w:t>220kV</w:t>
      </w:r>
      <w:r>
        <w:rPr>
          <w:rFonts w:hint="default" w:ascii="Times New Roman" w:hAnsi="Times New Roman" w:eastAsia="宋体" w:cs="Times New Roman"/>
          <w:color w:val="auto"/>
          <w:spacing w:val="-4"/>
          <w:sz w:val="24"/>
          <w:szCs w:val="24"/>
          <w:u w:val="none" w:color="auto"/>
        </w:rPr>
        <w:t>双港变电站的双窑线和汨罗</w:t>
      </w:r>
      <w:r>
        <w:rPr>
          <w:rFonts w:hint="default" w:ascii="Times New Roman" w:hAnsi="Times New Roman" w:eastAsia="宋体" w:cs="Times New Roman"/>
          <w:color w:val="auto"/>
          <w:sz w:val="24"/>
          <w:szCs w:val="24"/>
          <w:u w:val="none" w:color="auto"/>
        </w:rPr>
        <w:t>220kV新市变电站的新窑线、新汨线提供，符</w:t>
      </w:r>
      <w:r>
        <w:rPr>
          <w:rFonts w:hint="default" w:ascii="Times New Roman" w:hAnsi="Times New Roman" w:eastAsia="宋体" w:cs="Times New Roman"/>
          <w:color w:val="auto"/>
          <w:spacing w:val="-31"/>
          <w:sz w:val="24"/>
          <w:szCs w:val="24"/>
          <w:u w:val="none" w:color="auto"/>
        </w:rPr>
        <w:t xml:space="preserve">合 </w:t>
      </w:r>
      <w:r>
        <w:rPr>
          <w:rFonts w:hint="default" w:ascii="Times New Roman" w:hAnsi="Times New Roman" w:eastAsia="宋体" w:cs="Times New Roman"/>
          <w:color w:val="auto"/>
          <w:sz w:val="24"/>
          <w:szCs w:val="24"/>
          <w:u w:val="none" w:color="auto"/>
        </w:rPr>
        <w:t>N-1准则，属不间断供电变电站，供电可靠性高。</w:t>
      </w:r>
    </w:p>
    <w:p w14:paraId="5F003E15">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（4）道路交通</w:t>
      </w:r>
    </w:p>
    <w:p w14:paraId="328FE5ED">
      <w:pPr>
        <w:pStyle w:val="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①新市片</w:t>
      </w:r>
    </w:p>
    <w:p w14:paraId="729367B4">
      <w:pPr>
        <w:pStyle w:val="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规划在尊重现状道路和路网结构的基础上，依据国土空间总体规划路网，结合循环经济产业园发展需求，优化路网结构，形成“三横四纵”的主干道路网骨架。</w:t>
      </w:r>
    </w:p>
    <w:p w14:paraId="37D9DF21">
      <w:pPr>
        <w:pStyle w:val="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eastAsia" w:ascii="宋体" w:hAnsi="宋体" w:eastAsia="宋体" w:cs="宋体"/>
          <w:color w:val="auto"/>
          <w:sz w:val="24"/>
          <w:szCs w:val="24"/>
          <w:u w:val="none" w:color="auto"/>
        </w:rPr>
      </w:pPr>
      <w:r>
        <w:rPr>
          <w:rFonts w:hint="eastAsia" w:ascii="宋体" w:hAnsi="宋体" w:eastAsia="宋体" w:cs="宋体"/>
          <w:color w:val="auto"/>
          <w:sz w:val="24"/>
          <w:szCs w:val="24"/>
          <w:u w:val="none" w:color="auto"/>
        </w:rPr>
        <w:t>“三横”：是指汨罗江大道、汨新大道、青春大道、车站大道。</w:t>
      </w:r>
    </w:p>
    <w:p w14:paraId="33E33045">
      <w:pPr>
        <w:pStyle w:val="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eastAsia" w:ascii="宋体" w:hAnsi="宋体" w:eastAsia="宋体" w:cs="宋体"/>
          <w:color w:val="auto"/>
          <w:sz w:val="24"/>
          <w:szCs w:val="24"/>
          <w:u w:val="none" w:color="auto"/>
        </w:rPr>
        <w:t>“四纵”：</w:t>
      </w:r>
      <w:r>
        <w:rPr>
          <w:rFonts w:hint="default" w:ascii="Times New Roman" w:hAnsi="Times New Roman" w:eastAsia="宋体" w:cs="Times New Roman"/>
          <w:color w:val="auto"/>
          <w:sz w:val="24"/>
          <w:szCs w:val="24"/>
          <w:u w:val="none" w:color="auto"/>
        </w:rPr>
        <w:t>是指龙舟大道、新市大道、G107、创新大道。</w:t>
      </w:r>
    </w:p>
    <w:p w14:paraId="1D918828">
      <w:pPr>
        <w:pStyle w:val="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②弼时片</w:t>
      </w:r>
    </w:p>
    <w:p w14:paraId="5F7B4999">
      <w:pPr>
        <w:pStyle w:val="8"/>
        <w:keepNext w:val="0"/>
        <w:keepLines w:val="0"/>
        <w:pageBreakBefore w:val="0"/>
        <w:widowControl w:val="0"/>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规划区内主干路形成“两横三纵”的结构，“两横”为汉山西路-大里塘路、新107 国道，“三纵”为万家丽北路、唐家桥路、老107国道。</w:t>
      </w:r>
    </w:p>
    <w:p w14:paraId="09B2898F">
      <w:pPr>
        <w:pStyle w:val="37"/>
        <w:keepNext w:val="0"/>
        <w:keepLines w:val="0"/>
        <w:pageBreakBefore w:val="0"/>
        <w:widowControl w:val="0"/>
        <w:tabs>
          <w:tab w:val="left" w:pos="1300"/>
        </w:tabs>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（5）能源</w:t>
      </w:r>
    </w:p>
    <w:p w14:paraId="70188DA7">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汨罗高新技术产业开发区能源规划以电能和天然气为主。</w:t>
      </w:r>
    </w:p>
    <w:p w14:paraId="091AD2AB">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①新市片</w:t>
      </w:r>
    </w:p>
    <w:p w14:paraId="365F654E">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规划预测新市片区用气量为3517.65万标准立方米/年。</w:t>
      </w:r>
    </w:p>
    <w:p w14:paraId="25DF75F2">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规划保留现状供气格局，以管输天然气为气源。</w:t>
      </w:r>
    </w:p>
    <w:p w14:paraId="331C8B8F">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规划保留现状天然气门站，并从城北作为第二气源供应循环园及中心城区用气。</w:t>
      </w:r>
    </w:p>
    <w:p w14:paraId="02762C35">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规划保留现状中压燃气管道，并继续完善规划区中压燃气管网的建设。规划中压燃气管道从现状天然气门站引出，沿规划道路敷设DN160-DN315燃气管道，并与现状中压燃气管道连接，以保障规划区用户用气。</w:t>
      </w:r>
    </w:p>
    <w:p w14:paraId="01AD8A98">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②弼时片</w:t>
      </w:r>
    </w:p>
    <w:p w14:paraId="03CB3FA1">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规划预测工程机械配套产业园用气量约1902.71万标准立方米/年。</w:t>
      </w:r>
    </w:p>
    <w:p w14:paraId="5CDEF309">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规划区气源考虑从中石油安沙站分输阀室接入。</w:t>
      </w:r>
    </w:p>
    <w:p w14:paraId="036CA717">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规划在规划区范围西南角设置LNG燃气储配站/天然气门站/调压站，并从坪上路、唐家桥路等道路引入规划区内供气。</w:t>
      </w:r>
    </w:p>
    <w:p w14:paraId="1A9108BF">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从中石油安沙站沿老107国道敷设管径DN300次高燃气管道（设计压力为1.6兆帕，属于次高压A级）至天然气门站。规划中压燃气管道从天然门站引出，沿新107国道、唐家桥路等主要道路敷设DN100～DN400中压燃气管道，并与现状中压燃气管道连接，以保障规划区用户用气。</w:t>
      </w:r>
    </w:p>
    <w:p w14:paraId="51982E5E">
      <w:pPr>
        <w:pStyle w:val="4"/>
        <w:bidi w:val="0"/>
        <w:rPr>
          <w:rFonts w:hint="eastAsia"/>
          <w:color w:val="auto"/>
          <w:u w:val="none" w:color="auto"/>
          <w:lang w:val="en-US" w:eastAsia="zh-CN"/>
        </w:rPr>
      </w:pPr>
      <w:bookmarkStart w:id="850" w:name="_Toc6429"/>
      <w:bookmarkStart w:id="851" w:name="_Toc23314"/>
      <w:bookmarkStart w:id="852" w:name="_Toc14164"/>
      <w:r>
        <w:rPr>
          <w:rFonts w:hint="eastAsia"/>
          <w:color w:val="auto"/>
          <w:u w:val="none" w:color="auto"/>
          <w:lang w:val="en-US" w:eastAsia="zh-CN"/>
        </w:rPr>
        <w:t>5.2.5环境保护规划</w:t>
      </w:r>
      <w:bookmarkEnd w:id="850"/>
      <w:bookmarkEnd w:id="851"/>
      <w:bookmarkEnd w:id="852"/>
    </w:p>
    <w:p w14:paraId="18A7F3BB">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规划范围内现有汨罗市生活垃圾焚烧发电厂和汨罗市新桥垃圾填埋场。</w:t>
      </w:r>
    </w:p>
    <w:p w14:paraId="23409DA1">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汨罗市生活垃圾焚烧发电厂建设有2台250吨/日垃圾焚烧炉（机械炉排炉），2 台32t/h中温次高压余热锅炉，产出的蒸汽供应1台额定功率10MW凝汽式机组，年最大发电量9426万KW·h。</w:t>
      </w:r>
    </w:p>
    <w:p w14:paraId="2DFB5B99">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汨罗市新桥垃圾填埋场设计日处理生活垃圾200t，总库容185万m</w:t>
      </w:r>
      <w:r>
        <w:rPr>
          <w:rFonts w:hint="default" w:ascii="Times New Roman" w:hAnsi="Times New Roman" w:eastAsia="宋体" w:cs="Times New Roman"/>
          <w:color w:val="auto"/>
          <w:sz w:val="24"/>
          <w:szCs w:val="24"/>
          <w:u w:val="none" w:color="auto"/>
          <w:vertAlign w:val="superscript"/>
        </w:rPr>
        <w:t>3</w:t>
      </w:r>
      <w:r>
        <w:rPr>
          <w:rFonts w:hint="default" w:ascii="Times New Roman" w:hAnsi="Times New Roman" w:eastAsia="宋体" w:cs="Times New Roman"/>
          <w:color w:val="auto"/>
          <w:sz w:val="24"/>
          <w:szCs w:val="24"/>
          <w:u w:val="none" w:color="auto"/>
        </w:rPr>
        <w:t>，目前填埋库区库容已经饱和，已停止新进生活垃圾和进行封场。目前汨罗市新桥垃圾填埋场已改建生活垃圾焚烧飞灰填埋场，主要接收汨罗市生活垃圾焚烧发电厂产生的飞灰。</w:t>
      </w:r>
    </w:p>
    <w:p w14:paraId="6F82F195">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工业固体废物等固体危险废弃物必须单独收集、单独运输、单独处理。鼓励规划区内的工业垃圾进行再利用，建立完善循环经济体系，减少工业垃圾产生量。符合汨罗市生活垃圾焚烧发电厂协同处理一般工业固体废物原料的一般工业固体废物，纳入汨罗市生活垃圾焚烧发电厂处理。危险废物交由有资质的危险废物处置单位进行处理处置。</w:t>
      </w:r>
    </w:p>
    <w:p w14:paraId="785E8BFE">
      <w:pPr>
        <w:pStyle w:val="20"/>
        <w:bidi w:val="0"/>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本项目属于</w:t>
      </w:r>
      <w:r>
        <w:rPr>
          <w:rFonts w:hint="eastAsia" w:ascii="Times New Roman" w:hAnsi="Times New Roman" w:eastAsia="宋体" w:cs="Times New Roman"/>
          <w:color w:val="auto"/>
          <w:sz w:val="24"/>
          <w:szCs w:val="24"/>
          <w:u w:val="none" w:color="auto"/>
          <w:lang w:val="en-US" w:eastAsia="zh-CN"/>
        </w:rPr>
        <w:t>废弃资源综合利用行业的延伸产业</w:t>
      </w:r>
      <w:r>
        <w:rPr>
          <w:rFonts w:hint="default" w:ascii="Times New Roman" w:hAnsi="Times New Roman" w:eastAsia="宋体" w:cs="Times New Roman"/>
          <w:color w:val="auto"/>
          <w:sz w:val="24"/>
          <w:szCs w:val="24"/>
          <w:u w:val="none" w:color="auto"/>
        </w:rPr>
        <w:t>，项目位于</w:t>
      </w:r>
      <w:r>
        <w:rPr>
          <w:rFonts w:hint="eastAsia"/>
          <w:color w:val="auto"/>
          <w:u w:val="none" w:color="auto"/>
          <w:lang w:val="en-US" w:eastAsia="zh-CN"/>
        </w:rPr>
        <w:t>湖南省岳阳市汨罗市汨罗高新技术产业开发区新市片区西片区龙舟路东侧合心路北侧</w:t>
      </w:r>
      <w:r>
        <w:rPr>
          <w:rFonts w:hint="default" w:ascii="Times New Roman" w:hAnsi="Times New Roman" w:eastAsia="宋体" w:cs="Times New Roman"/>
          <w:color w:val="auto"/>
          <w:sz w:val="24"/>
          <w:szCs w:val="24"/>
          <w:u w:val="none" w:color="auto"/>
        </w:rPr>
        <w:t>，虽不属于园区的鼓励类，但是也不是限制、禁止类，即视为允许类</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与周边环境相容。</w:t>
      </w:r>
    </w:p>
    <w:p w14:paraId="50C1CAEE">
      <w:pPr>
        <w:pStyle w:val="4"/>
        <w:bidi w:val="0"/>
        <w:rPr>
          <w:rFonts w:hint="eastAsia"/>
          <w:color w:val="auto"/>
          <w:u w:val="none" w:color="auto"/>
          <w:lang w:val="en-US" w:eastAsia="zh-CN"/>
        </w:rPr>
      </w:pPr>
      <w:bookmarkStart w:id="853" w:name="_Toc2224"/>
      <w:r>
        <w:rPr>
          <w:rFonts w:hint="eastAsia"/>
          <w:color w:val="auto"/>
          <w:u w:val="none" w:color="auto"/>
          <w:lang w:val="en-US" w:eastAsia="zh-CN"/>
        </w:rPr>
        <w:t>5.2.6 园区环境影响评价情况及批复</w:t>
      </w:r>
      <w:bookmarkEnd w:id="853"/>
    </w:p>
    <w:p w14:paraId="636E513B">
      <w:pPr>
        <w:pStyle w:val="20"/>
        <w:bidi w:val="0"/>
        <w:rPr>
          <w:rFonts w:hint="default"/>
          <w:color w:val="auto"/>
          <w:u w:val="none" w:color="auto"/>
          <w:lang w:val="en-US" w:eastAsia="zh-CN"/>
        </w:rPr>
      </w:pPr>
      <w:r>
        <w:rPr>
          <w:rFonts w:hint="default"/>
          <w:color w:val="auto"/>
          <w:u w:val="none" w:color="auto"/>
          <w:lang w:val="en-US" w:eastAsia="zh-CN"/>
        </w:rPr>
        <w:t>根据湖南省生态环境厅关于《汨罗高新技术产业开发区扩区规划环境影响报告书》审查意见的函（湘环评函[2024]41号）：</w:t>
      </w:r>
    </w:p>
    <w:p w14:paraId="46723499">
      <w:pPr>
        <w:pStyle w:val="20"/>
        <w:bidi w:val="0"/>
        <w:rPr>
          <w:rFonts w:hint="default"/>
          <w:color w:val="auto"/>
          <w:u w:val="none" w:color="auto"/>
          <w:lang w:val="en-US" w:eastAsia="zh-CN"/>
        </w:rPr>
      </w:pPr>
      <w:r>
        <w:rPr>
          <w:rFonts w:hint="default"/>
          <w:color w:val="auto"/>
          <w:u w:val="none" w:color="auto"/>
          <w:lang w:val="en-US" w:eastAsia="zh-CN"/>
        </w:rPr>
        <w:t>明确园区准入条件。入驻项目选址必须满足总体规划、用地规划、产业布局、环保规划要求。新市片西片区部分区域现状已与集中居住区交错布局，该区域不再新引入以气型污染为主的、涉及重大风险源的工业项目，紧邻集中居住区的工业用地，后续应优化产业调整，逐步转为一类工业用地规划布局，其现状已存在的二类工业企业不得新增污染物排放；新市片东片区沿G107国道、老街路侧存在连片居住用地，建议毗邻居住用地的区域不作为三类工业用地规划，该区域已存在的工业企业不得新增污染物排放。</w:t>
      </w:r>
    </w:p>
    <w:p w14:paraId="7E9091EF">
      <w:pPr>
        <w:pStyle w:val="20"/>
        <w:bidi w:val="0"/>
        <w:rPr>
          <w:rFonts w:hint="default"/>
          <w:color w:val="auto"/>
          <w:u w:val="none" w:color="auto"/>
          <w:lang w:val="en-US" w:eastAsia="zh-CN"/>
        </w:rPr>
      </w:pPr>
      <w:r>
        <w:rPr>
          <w:rFonts w:hint="default"/>
          <w:color w:val="auto"/>
          <w:u w:val="none" w:color="auto"/>
          <w:lang w:val="en-US" w:eastAsia="zh-CN"/>
        </w:rPr>
        <w:t>结合园区规划的功能分区、产业布局、重点企业分布、特征污染物的排放种类和状况、环境敏感目标分布等，建立健全各环境要素的监控体系。</w:t>
      </w:r>
    </w:p>
    <w:p w14:paraId="2E6C6EA5">
      <w:pPr>
        <w:pStyle w:val="20"/>
        <w:bidi w:val="0"/>
        <w:rPr>
          <w:rFonts w:hint="default"/>
          <w:color w:val="auto"/>
          <w:u w:val="none" w:color="auto"/>
          <w:lang w:val="en-US" w:eastAsia="zh-CN"/>
        </w:rPr>
      </w:pPr>
      <w:r>
        <w:rPr>
          <w:rFonts w:hint="default"/>
          <w:color w:val="auto"/>
          <w:u w:val="none" w:color="auto"/>
          <w:lang w:val="en-US" w:eastAsia="zh-CN"/>
        </w:rPr>
        <w:t>园区管委会与地方政府共同做好控规，杜绝在规划的工业用地上新增环境敏感目标，确保园区开发过程中的局面搬迁到位，园区不再新设拆迁安置区。</w:t>
      </w:r>
    </w:p>
    <w:p w14:paraId="186D1633">
      <w:pPr>
        <w:pStyle w:val="20"/>
        <w:bidi w:val="0"/>
        <w:rPr>
          <w:rFonts w:hint="default"/>
          <w:color w:val="auto"/>
          <w:u w:val="none" w:color="auto"/>
          <w:lang w:val="en-US" w:eastAsia="zh-CN"/>
        </w:rPr>
      </w:pPr>
      <w:r>
        <w:rPr>
          <w:rFonts w:hint="default"/>
          <w:color w:val="auto"/>
          <w:u w:val="none" w:color="auto"/>
          <w:lang w:val="en-US" w:eastAsia="zh-CN"/>
        </w:rPr>
        <w:t>本项目位于</w:t>
      </w:r>
      <w:r>
        <w:rPr>
          <w:rFonts w:hint="eastAsia"/>
          <w:color w:val="auto"/>
          <w:u w:val="none" w:color="auto"/>
          <w:lang w:val="en-US" w:eastAsia="zh-CN"/>
        </w:rPr>
        <w:t>湖南省岳阳市汨罗市汨罗高新技术产业开发区新市片区西片区龙舟路东侧合心路北侧</w:t>
      </w:r>
      <w:r>
        <w:rPr>
          <w:rFonts w:hint="default"/>
          <w:color w:val="auto"/>
          <w:u w:val="none" w:color="auto"/>
          <w:lang w:val="en-US" w:eastAsia="zh-CN"/>
        </w:rPr>
        <w:t>，不属于国家明令淘汰和禁止发展的“两高”行业，符合国家产业政策，不属于汨罗高新技术产业开发区的限制类或禁止类产业，满足产业园区入园要求。</w:t>
      </w:r>
    </w:p>
    <w:p w14:paraId="04EC8A12">
      <w:pPr>
        <w:pStyle w:val="4"/>
        <w:bidi w:val="0"/>
        <w:rPr>
          <w:rFonts w:hint="eastAsia"/>
          <w:color w:val="auto"/>
          <w:u w:val="none" w:color="auto"/>
          <w:lang w:val="en-US" w:eastAsia="zh-CN"/>
        </w:rPr>
      </w:pPr>
      <w:bookmarkStart w:id="854" w:name="_Toc31766"/>
      <w:r>
        <w:rPr>
          <w:rFonts w:hint="eastAsia"/>
          <w:color w:val="auto"/>
          <w:u w:val="none" w:color="auto"/>
          <w:lang w:val="en-US" w:eastAsia="zh-CN"/>
        </w:rPr>
        <w:t>5.2.7 项目与园区的依托关系</w:t>
      </w:r>
      <w:bookmarkEnd w:id="854"/>
    </w:p>
    <w:p w14:paraId="7C9B2B5A">
      <w:pPr>
        <w:pStyle w:val="20"/>
        <w:bidi w:val="0"/>
        <w:rPr>
          <w:rFonts w:hint="default"/>
          <w:color w:val="auto"/>
          <w:u w:val="none" w:color="auto"/>
          <w:lang w:val="en-US" w:eastAsia="zh-CN"/>
        </w:rPr>
      </w:pPr>
      <w:r>
        <w:rPr>
          <w:rFonts w:hint="default"/>
          <w:color w:val="auto"/>
          <w:u w:val="none" w:color="auto"/>
          <w:lang w:val="en-US" w:eastAsia="zh-CN"/>
        </w:rPr>
        <w:t>给水：项目用水由园区</w:t>
      </w:r>
      <w:r>
        <w:rPr>
          <w:rFonts w:hint="eastAsia"/>
          <w:color w:val="auto"/>
          <w:u w:val="none" w:color="auto"/>
          <w:lang w:val="en-US" w:eastAsia="zh-CN"/>
        </w:rPr>
        <w:t>自来水</w:t>
      </w:r>
      <w:r>
        <w:rPr>
          <w:rFonts w:hint="default"/>
          <w:color w:val="auto"/>
          <w:u w:val="none" w:color="auto"/>
          <w:lang w:val="en-US" w:eastAsia="zh-CN"/>
        </w:rPr>
        <w:t>管网供给，可满足项目用水要求。</w:t>
      </w:r>
    </w:p>
    <w:p w14:paraId="066F9D2E">
      <w:pPr>
        <w:pStyle w:val="20"/>
        <w:bidi w:val="0"/>
        <w:rPr>
          <w:rFonts w:hint="default"/>
          <w:color w:val="auto"/>
          <w:u w:val="none" w:color="auto"/>
          <w:lang w:val="en-US" w:eastAsia="zh-CN"/>
        </w:rPr>
      </w:pPr>
      <w:r>
        <w:rPr>
          <w:rFonts w:hint="default"/>
          <w:color w:val="auto"/>
          <w:u w:val="none" w:color="auto"/>
          <w:lang w:val="en-US" w:eastAsia="zh-CN"/>
        </w:rPr>
        <w:t>排水：项目可充分利用园区雨水管网和污水管网。</w:t>
      </w:r>
    </w:p>
    <w:p w14:paraId="3EE2CF5B">
      <w:pPr>
        <w:pStyle w:val="20"/>
        <w:bidi w:val="0"/>
        <w:rPr>
          <w:rFonts w:hint="default"/>
          <w:color w:val="auto"/>
          <w:u w:val="none" w:color="auto"/>
          <w:lang w:val="en-US" w:eastAsia="zh-CN"/>
        </w:rPr>
      </w:pPr>
      <w:r>
        <w:rPr>
          <w:rFonts w:hint="default"/>
          <w:color w:val="auto"/>
          <w:u w:val="none" w:color="auto"/>
          <w:lang w:val="en-US" w:eastAsia="zh-CN"/>
        </w:rPr>
        <w:t>供电：项目可充分利用园区已有电网。</w:t>
      </w:r>
    </w:p>
    <w:p w14:paraId="6FAC9A5B">
      <w:pPr>
        <w:pStyle w:val="20"/>
        <w:bidi w:val="0"/>
        <w:rPr>
          <w:rFonts w:hint="default"/>
          <w:color w:val="auto"/>
          <w:u w:val="none" w:color="auto"/>
          <w:lang w:val="en-US" w:eastAsia="zh-CN"/>
        </w:rPr>
      </w:pPr>
      <w:r>
        <w:rPr>
          <w:rFonts w:hint="default"/>
          <w:color w:val="auto"/>
          <w:u w:val="none" w:color="auto"/>
          <w:lang w:val="en-US" w:eastAsia="zh-CN"/>
        </w:rPr>
        <w:t>园区配套设施可满足本项目施工建设和生产运营。</w:t>
      </w:r>
    </w:p>
    <w:bookmarkEnd w:id="661"/>
    <w:bookmarkEnd w:id="674"/>
    <w:bookmarkEnd w:id="675"/>
    <w:bookmarkEnd w:id="676"/>
    <w:bookmarkEnd w:id="677"/>
    <w:p w14:paraId="053FCC10">
      <w:pPr>
        <w:pStyle w:val="3"/>
        <w:bidi w:val="0"/>
        <w:rPr>
          <w:rFonts w:hint="default"/>
          <w:color w:val="auto"/>
          <w:u w:val="none" w:color="auto"/>
        </w:rPr>
      </w:pPr>
      <w:bookmarkStart w:id="855" w:name="_Toc20692"/>
      <w:bookmarkStart w:id="856" w:name="_Toc30774"/>
      <w:bookmarkStart w:id="857" w:name="_Toc18720"/>
      <w:bookmarkStart w:id="858" w:name="_Toc16865"/>
      <w:bookmarkStart w:id="859" w:name="_Toc1858"/>
      <w:bookmarkStart w:id="860" w:name="_Toc16150"/>
      <w:bookmarkStart w:id="861" w:name="_Toc24050"/>
      <w:bookmarkStart w:id="862" w:name="_Toc10397"/>
      <w:bookmarkStart w:id="863" w:name="_Toc11352"/>
      <w:bookmarkStart w:id="864" w:name="_Toc20364"/>
      <w:bookmarkStart w:id="865" w:name="_Toc21118"/>
      <w:r>
        <w:rPr>
          <w:rFonts w:hint="eastAsia"/>
          <w:color w:val="auto"/>
          <w:u w:val="none" w:color="auto"/>
          <w:lang w:val="en-US" w:eastAsia="zh-CN"/>
        </w:rPr>
        <w:t>5</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rPr>
        <w:t>区域环境质量现状评价</w:t>
      </w:r>
      <w:bookmarkEnd w:id="855"/>
      <w:bookmarkEnd w:id="856"/>
      <w:bookmarkEnd w:id="857"/>
      <w:bookmarkEnd w:id="858"/>
    </w:p>
    <w:p w14:paraId="6CB1D8E6">
      <w:pPr>
        <w:pStyle w:val="4"/>
        <w:rPr>
          <w:rFonts w:hint="default" w:ascii="Times New Roman" w:hAnsi="Times New Roman" w:cs="Times New Roman"/>
          <w:color w:val="auto"/>
          <w:u w:val="none" w:color="auto"/>
        </w:rPr>
      </w:pPr>
      <w:bookmarkStart w:id="866" w:name="_Toc26787"/>
      <w:bookmarkStart w:id="867" w:name="_Toc169"/>
      <w:bookmarkStart w:id="868" w:name="_Toc28207"/>
      <w:bookmarkStart w:id="869" w:name="_Toc9084"/>
      <w:bookmarkStart w:id="870" w:name="_Toc4606"/>
      <w:bookmarkStart w:id="871" w:name="_Toc10810"/>
      <w:bookmarkStart w:id="872" w:name="_Toc3315"/>
      <w:bookmarkStart w:id="873" w:name="_Toc20869"/>
      <w:bookmarkStart w:id="874" w:name="_Toc13858"/>
      <w:bookmarkStart w:id="875" w:name="_Toc20256"/>
      <w:bookmarkStart w:id="876" w:name="_Toc4923"/>
      <w:bookmarkStart w:id="877" w:name="_Toc10675"/>
      <w:bookmarkStart w:id="878" w:name="_Toc16088"/>
      <w:bookmarkStart w:id="879" w:name="_Toc3148"/>
      <w:bookmarkStart w:id="880" w:name="_Toc3320"/>
      <w:bookmarkStart w:id="881" w:name="_Toc1398"/>
      <w:bookmarkStart w:id="882" w:name="_Toc17966"/>
      <w:bookmarkStart w:id="883" w:name="_Toc23541"/>
      <w:bookmarkStart w:id="884" w:name="_Toc8416"/>
      <w:bookmarkStart w:id="885" w:name="_Toc27795"/>
      <w:bookmarkStart w:id="886" w:name="_Toc17863"/>
      <w:bookmarkStart w:id="887" w:name="_Toc8057"/>
      <w:bookmarkStart w:id="888" w:name="_Toc13281"/>
      <w:bookmarkStart w:id="889" w:name="_Toc947"/>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t>.1</w:t>
      </w:r>
      <w:bookmarkEnd w:id="866"/>
      <w:bookmarkEnd w:id="867"/>
      <w:r>
        <w:rPr>
          <w:rFonts w:hint="default" w:ascii="Times New Roman" w:hAnsi="Times New Roman" w:cs="Times New Roman"/>
          <w:color w:val="auto"/>
          <w:u w:val="none" w:color="auto"/>
        </w:rPr>
        <w:t>环境空气现状调查与评价</w:t>
      </w:r>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5B1D031A">
      <w:pPr>
        <w:pStyle w:val="20"/>
        <w:ind w:firstLine="480"/>
        <w:rPr>
          <w:rFonts w:hint="default" w:ascii="Times New Roman" w:hAnsi="Times New Roman" w:eastAsia="宋体" w:cs="Times New Roman"/>
          <w:color w:val="auto"/>
          <w:u w:val="none" w:color="auto"/>
          <w:lang w:eastAsia="zh-CN"/>
        </w:rPr>
      </w:pPr>
      <w:bookmarkStart w:id="890" w:name="_Toc21435"/>
      <w:bookmarkStart w:id="891" w:name="_Toc18808"/>
      <w:bookmarkStart w:id="892" w:name="_Toc14180"/>
      <w:bookmarkStart w:id="893" w:name="_Toc29742"/>
      <w:bookmarkStart w:id="894" w:name="_Toc12563"/>
      <w:bookmarkStart w:id="895" w:name="_Toc9201"/>
      <w:bookmarkStart w:id="896" w:name="_Toc20324"/>
      <w:bookmarkStart w:id="897" w:name="_Toc7121"/>
      <w:bookmarkStart w:id="898" w:name="_Toc3780"/>
      <w:bookmarkStart w:id="899" w:name="_Toc4140"/>
      <w:bookmarkStart w:id="900" w:name="_Toc2165"/>
      <w:bookmarkStart w:id="901" w:name="_Toc20090"/>
      <w:bookmarkStart w:id="902" w:name="_Toc11931"/>
      <w:bookmarkStart w:id="903" w:name="_Toc14817"/>
      <w:bookmarkStart w:id="904" w:name="_Toc19219"/>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区域环境</w:t>
      </w:r>
      <w:r>
        <w:rPr>
          <w:rFonts w:hint="default" w:ascii="Times New Roman" w:hAnsi="Times New Roman" w:cs="Times New Roman"/>
          <w:color w:val="auto"/>
          <w:u w:val="none" w:color="auto"/>
          <w:lang w:eastAsia="zh-CN"/>
        </w:rPr>
        <w:t>质量达标区判定</w:t>
      </w:r>
    </w:p>
    <w:p w14:paraId="6A4308C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项目所在区域执行《环境空气质量标准》（GB3095-2012）及其修改单中的二级标准。根据《环境影响评价技术导则-大气环境》（HJ2.2-2018）中“6.2.1.1 项目所在区域达标判定，优先采用国家或生态环境主管部门发布的平均基准年环境质量公告或环境质量报告中的数据或结论”，基本因子采用岳阳市汨罗生态环境监测站提供的</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02</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年的环境空气质量监测数据进行评价。</w:t>
      </w:r>
    </w:p>
    <w:p w14:paraId="7A155C20">
      <w:pPr>
        <w:pStyle w:val="20"/>
        <w:ind w:firstLine="48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根据收集到的岳阳市生态环境局汨罗分局空气自动监测站202</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年的环境空气质量监测数据（如下表所示）。</w:t>
      </w:r>
    </w:p>
    <w:p w14:paraId="4AFC8801">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lang w:val="en-US" w:eastAsia="zh-CN"/>
        </w:rPr>
        <w:t>-1</w:t>
      </w:r>
      <w:r>
        <w:rPr>
          <w:rFonts w:hint="default"/>
          <w:color w:val="auto"/>
          <w:u w:val="none" w:color="auto"/>
        </w:rPr>
        <w:t xml:space="preserve">  20</w:t>
      </w:r>
      <w:r>
        <w:rPr>
          <w:rFonts w:hint="eastAsia"/>
          <w:color w:val="auto"/>
          <w:u w:val="none" w:color="auto"/>
          <w:lang w:val="en-US" w:eastAsia="zh-CN"/>
        </w:rPr>
        <w:t>24</w:t>
      </w:r>
      <w:r>
        <w:rPr>
          <w:rFonts w:hint="default"/>
          <w:color w:val="auto"/>
          <w:u w:val="none" w:color="auto"/>
        </w:rPr>
        <w:t>年区域空气质量现状评价表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764"/>
        <w:gridCol w:w="852"/>
        <w:gridCol w:w="1760"/>
        <w:gridCol w:w="898"/>
        <w:gridCol w:w="1008"/>
        <w:gridCol w:w="927"/>
        <w:gridCol w:w="792"/>
        <w:gridCol w:w="859"/>
        <w:gridCol w:w="644"/>
      </w:tblGrid>
      <w:tr w14:paraId="4C5C20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noWrap w:val="0"/>
            <w:vAlign w:val="center"/>
          </w:tcPr>
          <w:p w14:paraId="1D241A27">
            <w:pPr>
              <w:pStyle w:val="24"/>
              <w:rPr>
                <w:rFonts w:hint="eastAsia" w:ascii="Times New Roman" w:hAnsi="Times New Roman" w:eastAsia="宋体" w:cs="Times New Roman"/>
                <w:b/>
                <w:bCs/>
                <w:color w:val="auto"/>
                <w:sz w:val="21"/>
                <w:szCs w:val="21"/>
                <w:u w:val="none" w:color="auto"/>
                <w:lang w:val="en-US" w:eastAsia="zh-CN"/>
              </w:rPr>
            </w:pPr>
            <w:r>
              <w:rPr>
                <w:rFonts w:hint="eastAsia" w:ascii="Times New Roman" w:hAnsi="Times New Roman" w:cs="Times New Roman"/>
                <w:b/>
                <w:bCs/>
                <w:color w:val="auto"/>
                <w:sz w:val="21"/>
                <w:szCs w:val="21"/>
                <w:u w:val="none" w:color="auto"/>
                <w:lang w:val="en-US" w:eastAsia="zh-CN"/>
              </w:rPr>
              <w:t>年份</w:t>
            </w:r>
          </w:p>
        </w:tc>
        <w:tc>
          <w:tcPr>
            <w:tcW w:w="852" w:type="dxa"/>
            <w:noWrap w:val="0"/>
            <w:vAlign w:val="center"/>
          </w:tcPr>
          <w:p w14:paraId="1563576D">
            <w:pPr>
              <w:pStyle w:val="24"/>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评价因子</w:t>
            </w:r>
          </w:p>
        </w:tc>
        <w:tc>
          <w:tcPr>
            <w:tcW w:w="1760" w:type="dxa"/>
            <w:noWrap w:val="0"/>
            <w:vAlign w:val="center"/>
          </w:tcPr>
          <w:p w14:paraId="347FFD88">
            <w:pPr>
              <w:pStyle w:val="24"/>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评价时段</w:t>
            </w:r>
          </w:p>
        </w:tc>
        <w:tc>
          <w:tcPr>
            <w:tcW w:w="898" w:type="dxa"/>
            <w:noWrap w:val="0"/>
            <w:vAlign w:val="center"/>
          </w:tcPr>
          <w:p w14:paraId="3F59E350">
            <w:pPr>
              <w:pStyle w:val="24"/>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百分位</w:t>
            </w:r>
          </w:p>
        </w:tc>
        <w:tc>
          <w:tcPr>
            <w:tcW w:w="1008" w:type="dxa"/>
            <w:noWrap w:val="0"/>
            <w:vAlign w:val="center"/>
          </w:tcPr>
          <w:p w14:paraId="04DDC202">
            <w:pPr>
              <w:pStyle w:val="24"/>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现状浓度（μg/m</w:t>
            </w:r>
            <w:r>
              <w:rPr>
                <w:rFonts w:hint="default" w:ascii="Times New Roman" w:hAnsi="Times New Roman" w:cs="Times New Roman"/>
                <w:b/>
                <w:bCs/>
                <w:color w:val="auto"/>
                <w:sz w:val="21"/>
                <w:szCs w:val="21"/>
                <w:u w:val="none" w:color="auto"/>
                <w:vertAlign w:val="superscript"/>
              </w:rPr>
              <w:t>3</w:t>
            </w:r>
            <w:r>
              <w:rPr>
                <w:rFonts w:hint="default" w:ascii="Times New Roman" w:hAnsi="Times New Roman" w:cs="Times New Roman"/>
                <w:b/>
                <w:bCs/>
                <w:color w:val="auto"/>
                <w:sz w:val="21"/>
                <w:szCs w:val="21"/>
                <w:u w:val="none" w:color="auto"/>
              </w:rPr>
              <w:t>）</w:t>
            </w:r>
          </w:p>
        </w:tc>
        <w:tc>
          <w:tcPr>
            <w:tcW w:w="927" w:type="dxa"/>
            <w:noWrap w:val="0"/>
            <w:vAlign w:val="center"/>
          </w:tcPr>
          <w:p w14:paraId="03755FA3">
            <w:pPr>
              <w:pStyle w:val="24"/>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标准值（μg/m</w:t>
            </w:r>
            <w:r>
              <w:rPr>
                <w:rFonts w:hint="default" w:ascii="Times New Roman" w:hAnsi="Times New Roman" w:cs="Times New Roman"/>
                <w:b/>
                <w:bCs/>
                <w:color w:val="auto"/>
                <w:sz w:val="21"/>
                <w:szCs w:val="21"/>
                <w:u w:val="none" w:color="auto"/>
                <w:vertAlign w:val="superscript"/>
              </w:rPr>
              <w:t>3</w:t>
            </w:r>
            <w:r>
              <w:rPr>
                <w:rFonts w:hint="default" w:ascii="Times New Roman" w:hAnsi="Times New Roman" w:cs="Times New Roman"/>
                <w:b/>
                <w:bCs/>
                <w:color w:val="auto"/>
                <w:sz w:val="21"/>
                <w:szCs w:val="21"/>
                <w:u w:val="none" w:color="auto"/>
              </w:rPr>
              <w:t>）</w:t>
            </w:r>
          </w:p>
        </w:tc>
        <w:tc>
          <w:tcPr>
            <w:tcW w:w="792" w:type="dxa"/>
            <w:noWrap w:val="0"/>
            <w:vAlign w:val="center"/>
          </w:tcPr>
          <w:p w14:paraId="2F65A2C0">
            <w:pPr>
              <w:pStyle w:val="24"/>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占标率（%）</w:t>
            </w:r>
          </w:p>
        </w:tc>
        <w:tc>
          <w:tcPr>
            <w:tcW w:w="859" w:type="dxa"/>
            <w:noWrap w:val="0"/>
            <w:vAlign w:val="center"/>
          </w:tcPr>
          <w:p w14:paraId="6E8DDF85">
            <w:pPr>
              <w:pStyle w:val="24"/>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达标情况</w:t>
            </w:r>
          </w:p>
        </w:tc>
        <w:tc>
          <w:tcPr>
            <w:tcW w:w="644" w:type="dxa"/>
            <w:noWrap w:val="0"/>
            <w:vAlign w:val="center"/>
          </w:tcPr>
          <w:p w14:paraId="153FBE62">
            <w:pPr>
              <w:pStyle w:val="24"/>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超标倍数</w:t>
            </w:r>
          </w:p>
        </w:tc>
      </w:tr>
      <w:tr w14:paraId="7C7E1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restart"/>
            <w:noWrap w:val="0"/>
            <w:vAlign w:val="center"/>
          </w:tcPr>
          <w:p w14:paraId="68923B42">
            <w:pPr>
              <w:pStyle w:val="24"/>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2024年</w:t>
            </w:r>
          </w:p>
        </w:tc>
        <w:tc>
          <w:tcPr>
            <w:tcW w:w="852" w:type="dxa"/>
            <w:vMerge w:val="restart"/>
            <w:noWrap w:val="0"/>
            <w:vAlign w:val="center"/>
          </w:tcPr>
          <w:p w14:paraId="7A61229A">
            <w:pPr>
              <w:pStyle w:val="24"/>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SO</w:t>
            </w:r>
            <w:r>
              <w:rPr>
                <w:rFonts w:hint="default" w:ascii="Times New Roman" w:hAnsi="Times New Roman" w:cs="Times New Roman"/>
                <w:color w:val="auto"/>
                <w:sz w:val="21"/>
                <w:szCs w:val="21"/>
                <w:u w:val="none" w:color="auto"/>
                <w:vertAlign w:val="subscript"/>
              </w:rPr>
              <w:t>2</w:t>
            </w:r>
          </w:p>
        </w:tc>
        <w:tc>
          <w:tcPr>
            <w:tcW w:w="1760" w:type="dxa"/>
            <w:noWrap w:val="0"/>
            <w:vAlign w:val="center"/>
          </w:tcPr>
          <w:p w14:paraId="22C97E89">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年平均浓度</w:t>
            </w:r>
          </w:p>
        </w:tc>
        <w:tc>
          <w:tcPr>
            <w:tcW w:w="898" w:type="dxa"/>
            <w:noWrap w:val="0"/>
            <w:vAlign w:val="center"/>
          </w:tcPr>
          <w:p w14:paraId="08421C94">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w:t>
            </w:r>
          </w:p>
        </w:tc>
        <w:tc>
          <w:tcPr>
            <w:tcW w:w="1008" w:type="dxa"/>
            <w:noWrap w:val="0"/>
            <w:vAlign w:val="center"/>
          </w:tcPr>
          <w:p w14:paraId="030F6E03">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5</w:t>
            </w:r>
          </w:p>
        </w:tc>
        <w:tc>
          <w:tcPr>
            <w:tcW w:w="927" w:type="dxa"/>
            <w:noWrap w:val="0"/>
            <w:vAlign w:val="center"/>
          </w:tcPr>
          <w:p w14:paraId="30BECC19">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60</w:t>
            </w:r>
          </w:p>
        </w:tc>
        <w:tc>
          <w:tcPr>
            <w:tcW w:w="792" w:type="dxa"/>
            <w:noWrap w:val="0"/>
            <w:vAlign w:val="center"/>
          </w:tcPr>
          <w:p w14:paraId="01FC4EDE">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8.33</w:t>
            </w:r>
          </w:p>
        </w:tc>
        <w:tc>
          <w:tcPr>
            <w:tcW w:w="859" w:type="dxa"/>
            <w:noWrap w:val="0"/>
            <w:vAlign w:val="center"/>
          </w:tcPr>
          <w:p w14:paraId="2CE69216">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29B25926">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3B21A9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5AD4B7C9">
            <w:pPr>
              <w:pStyle w:val="24"/>
              <w:rPr>
                <w:rFonts w:hint="eastAsia" w:ascii="Times New Roman" w:hAnsi="Times New Roman" w:cs="Times New Roman"/>
                <w:color w:val="auto"/>
                <w:sz w:val="21"/>
                <w:szCs w:val="21"/>
                <w:u w:val="none" w:color="auto"/>
                <w:lang w:val="en-US" w:eastAsia="zh-CN"/>
              </w:rPr>
            </w:pPr>
          </w:p>
        </w:tc>
        <w:tc>
          <w:tcPr>
            <w:tcW w:w="852" w:type="dxa"/>
            <w:vMerge w:val="continue"/>
            <w:noWrap w:val="0"/>
            <w:vAlign w:val="center"/>
          </w:tcPr>
          <w:p w14:paraId="31531162">
            <w:pPr>
              <w:pStyle w:val="24"/>
              <w:rPr>
                <w:rFonts w:hint="default" w:ascii="Times New Roman" w:hAnsi="Times New Roman" w:cs="Times New Roman"/>
                <w:color w:val="auto"/>
                <w:sz w:val="21"/>
                <w:szCs w:val="21"/>
                <w:u w:val="none" w:color="auto"/>
              </w:rPr>
            </w:pPr>
          </w:p>
        </w:tc>
        <w:tc>
          <w:tcPr>
            <w:tcW w:w="1760" w:type="dxa"/>
            <w:noWrap w:val="0"/>
            <w:vAlign w:val="center"/>
          </w:tcPr>
          <w:p w14:paraId="1B1098E1">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百分位上日平均</w:t>
            </w:r>
          </w:p>
        </w:tc>
        <w:tc>
          <w:tcPr>
            <w:tcW w:w="898" w:type="dxa"/>
            <w:noWrap w:val="0"/>
            <w:vAlign w:val="center"/>
          </w:tcPr>
          <w:p w14:paraId="4D73812F">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98</w:t>
            </w:r>
          </w:p>
        </w:tc>
        <w:tc>
          <w:tcPr>
            <w:tcW w:w="1008" w:type="dxa"/>
            <w:noWrap w:val="0"/>
            <w:vAlign w:val="center"/>
          </w:tcPr>
          <w:p w14:paraId="216A679A">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10</w:t>
            </w:r>
          </w:p>
        </w:tc>
        <w:tc>
          <w:tcPr>
            <w:tcW w:w="927" w:type="dxa"/>
            <w:noWrap w:val="0"/>
            <w:vAlign w:val="center"/>
          </w:tcPr>
          <w:p w14:paraId="1422FE61">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150</w:t>
            </w:r>
          </w:p>
        </w:tc>
        <w:tc>
          <w:tcPr>
            <w:tcW w:w="792" w:type="dxa"/>
            <w:noWrap w:val="0"/>
            <w:vAlign w:val="center"/>
          </w:tcPr>
          <w:p w14:paraId="3301009D">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6.67</w:t>
            </w:r>
          </w:p>
        </w:tc>
        <w:tc>
          <w:tcPr>
            <w:tcW w:w="859" w:type="dxa"/>
            <w:noWrap w:val="0"/>
            <w:vAlign w:val="center"/>
          </w:tcPr>
          <w:p w14:paraId="27D13A18">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2A7C8C70">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384C0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62C6751A">
            <w:pPr>
              <w:pStyle w:val="24"/>
              <w:rPr>
                <w:rFonts w:hint="eastAsia" w:ascii="Times New Roman" w:hAnsi="Times New Roman" w:cs="Times New Roman"/>
                <w:color w:val="auto"/>
                <w:sz w:val="21"/>
                <w:szCs w:val="21"/>
                <w:u w:val="none" w:color="auto"/>
                <w:lang w:val="en-US" w:eastAsia="zh-CN"/>
              </w:rPr>
            </w:pPr>
          </w:p>
        </w:tc>
        <w:tc>
          <w:tcPr>
            <w:tcW w:w="852" w:type="dxa"/>
            <w:vMerge w:val="restart"/>
            <w:noWrap w:val="0"/>
            <w:vAlign w:val="center"/>
          </w:tcPr>
          <w:p w14:paraId="77F18FEE">
            <w:pPr>
              <w:pStyle w:val="24"/>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NO</w:t>
            </w:r>
            <w:r>
              <w:rPr>
                <w:rFonts w:hint="default" w:ascii="Times New Roman" w:hAnsi="Times New Roman" w:cs="Times New Roman"/>
                <w:color w:val="auto"/>
                <w:sz w:val="21"/>
                <w:szCs w:val="21"/>
                <w:u w:val="none" w:color="auto"/>
                <w:vertAlign w:val="subscript"/>
              </w:rPr>
              <w:t>2</w:t>
            </w:r>
          </w:p>
        </w:tc>
        <w:tc>
          <w:tcPr>
            <w:tcW w:w="1760" w:type="dxa"/>
            <w:noWrap w:val="0"/>
            <w:vAlign w:val="center"/>
          </w:tcPr>
          <w:p w14:paraId="4E71FE1E">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年平均浓度</w:t>
            </w:r>
          </w:p>
        </w:tc>
        <w:tc>
          <w:tcPr>
            <w:tcW w:w="898" w:type="dxa"/>
            <w:noWrap w:val="0"/>
            <w:vAlign w:val="center"/>
          </w:tcPr>
          <w:p w14:paraId="24AD9C99">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w:t>
            </w:r>
          </w:p>
        </w:tc>
        <w:tc>
          <w:tcPr>
            <w:tcW w:w="1008" w:type="dxa"/>
            <w:noWrap w:val="0"/>
            <w:vAlign w:val="center"/>
          </w:tcPr>
          <w:p w14:paraId="5BE81DCA">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14</w:t>
            </w:r>
          </w:p>
        </w:tc>
        <w:tc>
          <w:tcPr>
            <w:tcW w:w="927" w:type="dxa"/>
            <w:noWrap w:val="0"/>
            <w:vAlign w:val="center"/>
          </w:tcPr>
          <w:p w14:paraId="60FEBE04">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40</w:t>
            </w:r>
          </w:p>
        </w:tc>
        <w:tc>
          <w:tcPr>
            <w:tcW w:w="792" w:type="dxa"/>
            <w:noWrap w:val="0"/>
            <w:vAlign w:val="center"/>
          </w:tcPr>
          <w:p w14:paraId="0199AF35">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35</w:t>
            </w:r>
          </w:p>
        </w:tc>
        <w:tc>
          <w:tcPr>
            <w:tcW w:w="859" w:type="dxa"/>
            <w:noWrap w:val="0"/>
            <w:vAlign w:val="center"/>
          </w:tcPr>
          <w:p w14:paraId="3B45B7E1">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5C08219E">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59FF6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7CE6A67F">
            <w:pPr>
              <w:pStyle w:val="24"/>
              <w:rPr>
                <w:rFonts w:hint="eastAsia" w:ascii="Times New Roman" w:hAnsi="Times New Roman" w:cs="Times New Roman"/>
                <w:color w:val="auto"/>
                <w:sz w:val="21"/>
                <w:szCs w:val="21"/>
                <w:u w:val="none" w:color="auto"/>
                <w:lang w:val="en-US" w:eastAsia="zh-CN"/>
              </w:rPr>
            </w:pPr>
          </w:p>
        </w:tc>
        <w:tc>
          <w:tcPr>
            <w:tcW w:w="852" w:type="dxa"/>
            <w:vMerge w:val="continue"/>
            <w:noWrap w:val="0"/>
            <w:vAlign w:val="center"/>
          </w:tcPr>
          <w:p w14:paraId="01400DC5">
            <w:pPr>
              <w:pStyle w:val="24"/>
              <w:rPr>
                <w:rFonts w:hint="default" w:ascii="Times New Roman" w:hAnsi="Times New Roman" w:cs="Times New Roman"/>
                <w:color w:val="auto"/>
                <w:sz w:val="21"/>
                <w:szCs w:val="21"/>
                <w:u w:val="none" w:color="auto"/>
              </w:rPr>
            </w:pPr>
          </w:p>
        </w:tc>
        <w:tc>
          <w:tcPr>
            <w:tcW w:w="1760" w:type="dxa"/>
            <w:noWrap w:val="0"/>
            <w:vAlign w:val="center"/>
          </w:tcPr>
          <w:p w14:paraId="0AFC4F3F">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百分位上日平均</w:t>
            </w:r>
          </w:p>
        </w:tc>
        <w:tc>
          <w:tcPr>
            <w:tcW w:w="898" w:type="dxa"/>
            <w:noWrap w:val="0"/>
            <w:vAlign w:val="center"/>
          </w:tcPr>
          <w:p w14:paraId="15BEFF30">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98</w:t>
            </w:r>
          </w:p>
        </w:tc>
        <w:tc>
          <w:tcPr>
            <w:tcW w:w="1008" w:type="dxa"/>
            <w:noWrap w:val="0"/>
            <w:vAlign w:val="center"/>
          </w:tcPr>
          <w:p w14:paraId="1DF0D6AD">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36</w:t>
            </w:r>
          </w:p>
        </w:tc>
        <w:tc>
          <w:tcPr>
            <w:tcW w:w="927" w:type="dxa"/>
            <w:noWrap w:val="0"/>
            <w:vAlign w:val="center"/>
          </w:tcPr>
          <w:p w14:paraId="12AC1739">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80</w:t>
            </w:r>
          </w:p>
        </w:tc>
        <w:tc>
          <w:tcPr>
            <w:tcW w:w="792" w:type="dxa"/>
            <w:noWrap w:val="0"/>
            <w:vAlign w:val="center"/>
          </w:tcPr>
          <w:p w14:paraId="2E0A649D">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45</w:t>
            </w:r>
          </w:p>
        </w:tc>
        <w:tc>
          <w:tcPr>
            <w:tcW w:w="859" w:type="dxa"/>
            <w:noWrap w:val="0"/>
            <w:vAlign w:val="center"/>
          </w:tcPr>
          <w:p w14:paraId="31451F6D">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26C3C95E">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2D9E1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70C498EB">
            <w:pPr>
              <w:pStyle w:val="24"/>
              <w:rPr>
                <w:rFonts w:hint="eastAsia" w:ascii="Times New Roman" w:hAnsi="Times New Roman" w:cs="Times New Roman"/>
                <w:color w:val="auto"/>
                <w:sz w:val="21"/>
                <w:szCs w:val="21"/>
                <w:u w:val="none" w:color="auto"/>
                <w:lang w:val="en-US" w:eastAsia="zh-CN"/>
              </w:rPr>
            </w:pPr>
          </w:p>
        </w:tc>
        <w:tc>
          <w:tcPr>
            <w:tcW w:w="852" w:type="dxa"/>
            <w:vMerge w:val="restart"/>
            <w:noWrap w:val="0"/>
            <w:vAlign w:val="center"/>
          </w:tcPr>
          <w:p w14:paraId="3259732A">
            <w:pPr>
              <w:pStyle w:val="24"/>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PM</w:t>
            </w:r>
            <w:r>
              <w:rPr>
                <w:rFonts w:hint="default" w:ascii="Times New Roman" w:hAnsi="Times New Roman" w:cs="Times New Roman"/>
                <w:color w:val="auto"/>
                <w:sz w:val="21"/>
                <w:szCs w:val="21"/>
                <w:u w:val="none" w:color="auto"/>
                <w:vertAlign w:val="subscript"/>
              </w:rPr>
              <w:t>10</w:t>
            </w:r>
          </w:p>
        </w:tc>
        <w:tc>
          <w:tcPr>
            <w:tcW w:w="1760" w:type="dxa"/>
            <w:noWrap w:val="0"/>
            <w:vAlign w:val="center"/>
          </w:tcPr>
          <w:p w14:paraId="3260FB44">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年平均浓度</w:t>
            </w:r>
          </w:p>
        </w:tc>
        <w:tc>
          <w:tcPr>
            <w:tcW w:w="898" w:type="dxa"/>
            <w:noWrap w:val="0"/>
            <w:vAlign w:val="center"/>
          </w:tcPr>
          <w:p w14:paraId="5A1B0B39">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w:t>
            </w:r>
          </w:p>
        </w:tc>
        <w:tc>
          <w:tcPr>
            <w:tcW w:w="1008" w:type="dxa"/>
            <w:noWrap w:val="0"/>
            <w:vAlign w:val="center"/>
          </w:tcPr>
          <w:p w14:paraId="542F8F72">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47</w:t>
            </w:r>
          </w:p>
        </w:tc>
        <w:tc>
          <w:tcPr>
            <w:tcW w:w="927" w:type="dxa"/>
            <w:noWrap w:val="0"/>
            <w:vAlign w:val="center"/>
          </w:tcPr>
          <w:p w14:paraId="2BDB912A">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70</w:t>
            </w:r>
          </w:p>
        </w:tc>
        <w:tc>
          <w:tcPr>
            <w:tcW w:w="792" w:type="dxa"/>
            <w:noWrap w:val="0"/>
            <w:vAlign w:val="center"/>
          </w:tcPr>
          <w:p w14:paraId="75742934">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67.14</w:t>
            </w:r>
          </w:p>
        </w:tc>
        <w:tc>
          <w:tcPr>
            <w:tcW w:w="859" w:type="dxa"/>
            <w:noWrap w:val="0"/>
            <w:vAlign w:val="center"/>
          </w:tcPr>
          <w:p w14:paraId="433D7C42">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114749D1">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06D73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22BA5335">
            <w:pPr>
              <w:pStyle w:val="24"/>
              <w:rPr>
                <w:rFonts w:hint="eastAsia" w:ascii="Times New Roman" w:hAnsi="Times New Roman" w:cs="Times New Roman"/>
                <w:color w:val="auto"/>
                <w:sz w:val="21"/>
                <w:szCs w:val="21"/>
                <w:u w:val="none" w:color="auto"/>
                <w:lang w:val="en-US" w:eastAsia="zh-CN"/>
              </w:rPr>
            </w:pPr>
          </w:p>
        </w:tc>
        <w:tc>
          <w:tcPr>
            <w:tcW w:w="852" w:type="dxa"/>
            <w:vMerge w:val="continue"/>
            <w:noWrap w:val="0"/>
            <w:vAlign w:val="center"/>
          </w:tcPr>
          <w:p w14:paraId="3D2424CC">
            <w:pPr>
              <w:pStyle w:val="24"/>
              <w:rPr>
                <w:rFonts w:hint="default" w:ascii="Times New Roman" w:hAnsi="Times New Roman" w:cs="Times New Roman"/>
                <w:color w:val="auto"/>
                <w:sz w:val="21"/>
                <w:szCs w:val="21"/>
                <w:u w:val="none" w:color="auto"/>
              </w:rPr>
            </w:pPr>
          </w:p>
        </w:tc>
        <w:tc>
          <w:tcPr>
            <w:tcW w:w="1760" w:type="dxa"/>
            <w:noWrap w:val="0"/>
            <w:vAlign w:val="center"/>
          </w:tcPr>
          <w:p w14:paraId="457FC9CE">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百分位上日平均</w:t>
            </w:r>
          </w:p>
        </w:tc>
        <w:tc>
          <w:tcPr>
            <w:tcW w:w="898" w:type="dxa"/>
            <w:noWrap w:val="0"/>
            <w:vAlign w:val="center"/>
          </w:tcPr>
          <w:p w14:paraId="40C1E8DC">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95</w:t>
            </w:r>
          </w:p>
        </w:tc>
        <w:tc>
          <w:tcPr>
            <w:tcW w:w="1008" w:type="dxa"/>
            <w:noWrap w:val="0"/>
            <w:vAlign w:val="center"/>
          </w:tcPr>
          <w:p w14:paraId="141BA722">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95</w:t>
            </w:r>
          </w:p>
        </w:tc>
        <w:tc>
          <w:tcPr>
            <w:tcW w:w="927" w:type="dxa"/>
            <w:noWrap w:val="0"/>
            <w:vAlign w:val="center"/>
          </w:tcPr>
          <w:p w14:paraId="2B90122B">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auto"/>
                <w:highlight w:val="none"/>
                <w:u w:val="none" w:color="auto"/>
                <w:lang w:val="en-US" w:eastAsia="zh-CN"/>
              </w:rPr>
            </w:pPr>
            <w:r>
              <w:rPr>
                <w:rFonts w:hint="eastAsia" w:ascii="Times New Roman" w:hAnsi="Times New Roman" w:cs="Times New Roman"/>
                <w:b w:val="0"/>
                <w:bCs w:val="0"/>
                <w:color w:val="auto"/>
                <w:highlight w:val="none"/>
                <w:u w:val="none" w:color="auto"/>
                <w:lang w:val="en-US" w:eastAsia="zh-CN"/>
              </w:rPr>
              <w:t>150</w:t>
            </w:r>
          </w:p>
        </w:tc>
        <w:tc>
          <w:tcPr>
            <w:tcW w:w="792" w:type="dxa"/>
            <w:noWrap w:val="0"/>
            <w:vAlign w:val="center"/>
          </w:tcPr>
          <w:p w14:paraId="6C9555EE">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63.33</w:t>
            </w:r>
          </w:p>
        </w:tc>
        <w:tc>
          <w:tcPr>
            <w:tcW w:w="859" w:type="dxa"/>
            <w:noWrap w:val="0"/>
            <w:vAlign w:val="center"/>
          </w:tcPr>
          <w:p w14:paraId="6C30B3D7">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达标</w:t>
            </w:r>
          </w:p>
        </w:tc>
        <w:tc>
          <w:tcPr>
            <w:tcW w:w="644" w:type="dxa"/>
            <w:noWrap w:val="0"/>
            <w:vAlign w:val="center"/>
          </w:tcPr>
          <w:p w14:paraId="35986044">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5E5A3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33676E55">
            <w:pPr>
              <w:pStyle w:val="24"/>
              <w:rPr>
                <w:rFonts w:hint="eastAsia" w:ascii="Times New Roman" w:hAnsi="Times New Roman" w:cs="Times New Roman"/>
                <w:color w:val="auto"/>
                <w:sz w:val="21"/>
                <w:szCs w:val="21"/>
                <w:u w:val="none" w:color="auto"/>
                <w:lang w:val="en-US" w:eastAsia="zh-CN"/>
              </w:rPr>
            </w:pPr>
          </w:p>
        </w:tc>
        <w:tc>
          <w:tcPr>
            <w:tcW w:w="852" w:type="dxa"/>
            <w:vMerge w:val="restart"/>
            <w:noWrap w:val="0"/>
            <w:vAlign w:val="center"/>
          </w:tcPr>
          <w:p w14:paraId="445D9F1C">
            <w:pPr>
              <w:pStyle w:val="24"/>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PM</w:t>
            </w:r>
            <w:r>
              <w:rPr>
                <w:rFonts w:hint="default" w:ascii="Times New Roman" w:hAnsi="Times New Roman" w:cs="Times New Roman"/>
                <w:color w:val="auto"/>
                <w:sz w:val="21"/>
                <w:szCs w:val="21"/>
                <w:u w:val="none" w:color="auto"/>
                <w:vertAlign w:val="subscript"/>
              </w:rPr>
              <w:t>2.5</w:t>
            </w:r>
          </w:p>
        </w:tc>
        <w:tc>
          <w:tcPr>
            <w:tcW w:w="1760" w:type="dxa"/>
            <w:noWrap w:val="0"/>
            <w:vAlign w:val="center"/>
          </w:tcPr>
          <w:p w14:paraId="5EA5BF4B">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年平均浓度</w:t>
            </w:r>
          </w:p>
        </w:tc>
        <w:tc>
          <w:tcPr>
            <w:tcW w:w="898" w:type="dxa"/>
            <w:noWrap w:val="0"/>
            <w:vAlign w:val="center"/>
          </w:tcPr>
          <w:p w14:paraId="39764E03">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w:t>
            </w:r>
          </w:p>
        </w:tc>
        <w:tc>
          <w:tcPr>
            <w:tcW w:w="1008" w:type="dxa"/>
            <w:noWrap w:val="0"/>
            <w:vAlign w:val="center"/>
          </w:tcPr>
          <w:p w14:paraId="03DD9251">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34</w:t>
            </w:r>
          </w:p>
        </w:tc>
        <w:tc>
          <w:tcPr>
            <w:tcW w:w="927" w:type="dxa"/>
            <w:noWrap w:val="0"/>
            <w:vAlign w:val="center"/>
          </w:tcPr>
          <w:p w14:paraId="4671C09E">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35</w:t>
            </w:r>
          </w:p>
        </w:tc>
        <w:tc>
          <w:tcPr>
            <w:tcW w:w="792" w:type="dxa"/>
            <w:noWrap w:val="0"/>
            <w:vAlign w:val="center"/>
          </w:tcPr>
          <w:p w14:paraId="014247E1">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97.14</w:t>
            </w:r>
          </w:p>
        </w:tc>
        <w:tc>
          <w:tcPr>
            <w:tcW w:w="859" w:type="dxa"/>
            <w:noWrap w:val="0"/>
            <w:vAlign w:val="center"/>
          </w:tcPr>
          <w:p w14:paraId="23DB632A">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b w:val="0"/>
                <w:bCs w:val="0"/>
                <w:color w:val="auto"/>
                <w:sz w:val="21"/>
                <w:szCs w:val="21"/>
                <w:u w:val="none" w:color="auto"/>
              </w:rPr>
              <w:t>达标</w:t>
            </w:r>
          </w:p>
        </w:tc>
        <w:tc>
          <w:tcPr>
            <w:tcW w:w="644" w:type="dxa"/>
            <w:noWrap w:val="0"/>
            <w:vAlign w:val="center"/>
          </w:tcPr>
          <w:p w14:paraId="4090F67D">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2BA6E5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394F0BA8">
            <w:pPr>
              <w:pStyle w:val="24"/>
              <w:rPr>
                <w:rFonts w:hint="eastAsia" w:ascii="Times New Roman" w:hAnsi="Times New Roman" w:cs="Times New Roman"/>
                <w:color w:val="auto"/>
                <w:sz w:val="21"/>
                <w:szCs w:val="21"/>
                <w:u w:val="none" w:color="auto"/>
                <w:lang w:val="en-US" w:eastAsia="zh-CN"/>
              </w:rPr>
            </w:pPr>
          </w:p>
        </w:tc>
        <w:tc>
          <w:tcPr>
            <w:tcW w:w="852" w:type="dxa"/>
            <w:vMerge w:val="continue"/>
            <w:noWrap w:val="0"/>
            <w:vAlign w:val="center"/>
          </w:tcPr>
          <w:p w14:paraId="746DD00C">
            <w:pPr>
              <w:pStyle w:val="24"/>
              <w:rPr>
                <w:rFonts w:hint="default" w:ascii="Times New Roman" w:hAnsi="Times New Roman" w:cs="Times New Roman"/>
                <w:color w:val="auto"/>
                <w:sz w:val="21"/>
                <w:szCs w:val="21"/>
                <w:u w:val="none" w:color="auto"/>
              </w:rPr>
            </w:pPr>
          </w:p>
        </w:tc>
        <w:tc>
          <w:tcPr>
            <w:tcW w:w="1760" w:type="dxa"/>
            <w:noWrap w:val="0"/>
            <w:vAlign w:val="center"/>
          </w:tcPr>
          <w:p w14:paraId="60D0F25A">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百分位上日平均</w:t>
            </w:r>
          </w:p>
        </w:tc>
        <w:tc>
          <w:tcPr>
            <w:tcW w:w="898" w:type="dxa"/>
            <w:noWrap w:val="0"/>
            <w:vAlign w:val="center"/>
          </w:tcPr>
          <w:p w14:paraId="205A4984">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95</w:t>
            </w:r>
          </w:p>
        </w:tc>
        <w:tc>
          <w:tcPr>
            <w:tcW w:w="1008" w:type="dxa"/>
            <w:noWrap w:val="0"/>
            <w:vAlign w:val="center"/>
          </w:tcPr>
          <w:p w14:paraId="2F7F166D">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89</w:t>
            </w:r>
          </w:p>
        </w:tc>
        <w:tc>
          <w:tcPr>
            <w:tcW w:w="927" w:type="dxa"/>
            <w:noWrap w:val="0"/>
            <w:vAlign w:val="center"/>
          </w:tcPr>
          <w:p w14:paraId="76275E79">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cs="Times New Roman"/>
                <w:b w:val="0"/>
                <w:bCs w:val="0"/>
                <w:color w:val="auto"/>
                <w:highlight w:val="none"/>
                <w:u w:val="none" w:color="auto"/>
                <w:lang w:val="en-US" w:eastAsia="zh-CN"/>
              </w:rPr>
            </w:pPr>
            <w:r>
              <w:rPr>
                <w:rFonts w:hint="eastAsia" w:ascii="Times New Roman" w:hAnsi="Times New Roman" w:cs="Times New Roman"/>
                <w:b w:val="0"/>
                <w:bCs w:val="0"/>
                <w:color w:val="auto"/>
                <w:highlight w:val="none"/>
                <w:u w:val="none" w:color="auto"/>
                <w:lang w:val="en-US" w:eastAsia="zh-CN"/>
              </w:rPr>
              <w:t>75</w:t>
            </w:r>
          </w:p>
        </w:tc>
        <w:tc>
          <w:tcPr>
            <w:tcW w:w="792" w:type="dxa"/>
            <w:noWrap w:val="0"/>
            <w:vAlign w:val="center"/>
          </w:tcPr>
          <w:p w14:paraId="583C8E6D">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118.67</w:t>
            </w:r>
          </w:p>
        </w:tc>
        <w:tc>
          <w:tcPr>
            <w:tcW w:w="859" w:type="dxa"/>
            <w:noWrap w:val="0"/>
            <w:vAlign w:val="center"/>
          </w:tcPr>
          <w:p w14:paraId="5AD62B0F">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eastAsia" w:ascii="Times New Roman" w:hAnsi="Times New Roman" w:cs="Times New Roman"/>
                <w:b w:val="0"/>
                <w:bCs w:val="0"/>
                <w:color w:val="auto"/>
                <w:sz w:val="21"/>
                <w:szCs w:val="21"/>
                <w:u w:val="none" w:color="auto"/>
                <w:lang w:val="en-US" w:eastAsia="zh-CN"/>
              </w:rPr>
              <w:t>超标</w:t>
            </w:r>
          </w:p>
        </w:tc>
        <w:tc>
          <w:tcPr>
            <w:tcW w:w="644" w:type="dxa"/>
            <w:noWrap w:val="0"/>
            <w:vAlign w:val="center"/>
          </w:tcPr>
          <w:p w14:paraId="4FA9C3E3">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0.187</w:t>
            </w:r>
          </w:p>
        </w:tc>
      </w:tr>
      <w:tr w14:paraId="66091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4F45B90E">
            <w:pPr>
              <w:pStyle w:val="24"/>
              <w:rPr>
                <w:rFonts w:hint="eastAsia" w:ascii="Times New Roman" w:hAnsi="Times New Roman" w:cs="Times New Roman"/>
                <w:color w:val="auto"/>
                <w:sz w:val="21"/>
                <w:szCs w:val="21"/>
                <w:u w:val="none" w:color="auto"/>
                <w:lang w:val="en-US" w:eastAsia="zh-CN"/>
              </w:rPr>
            </w:pPr>
          </w:p>
        </w:tc>
        <w:tc>
          <w:tcPr>
            <w:tcW w:w="852" w:type="dxa"/>
            <w:noWrap w:val="0"/>
            <w:vAlign w:val="center"/>
          </w:tcPr>
          <w:p w14:paraId="348BBC32">
            <w:pPr>
              <w:pStyle w:val="24"/>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CO</w:t>
            </w:r>
          </w:p>
        </w:tc>
        <w:tc>
          <w:tcPr>
            <w:tcW w:w="1760" w:type="dxa"/>
            <w:noWrap w:val="0"/>
            <w:vAlign w:val="center"/>
          </w:tcPr>
          <w:p w14:paraId="0F934C9E">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百分位上日平均</w:t>
            </w:r>
          </w:p>
        </w:tc>
        <w:tc>
          <w:tcPr>
            <w:tcW w:w="898" w:type="dxa"/>
            <w:noWrap w:val="0"/>
            <w:vAlign w:val="center"/>
          </w:tcPr>
          <w:p w14:paraId="12F23306">
            <w:pPr>
              <w:pStyle w:val="24"/>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95</w:t>
            </w:r>
          </w:p>
        </w:tc>
        <w:tc>
          <w:tcPr>
            <w:tcW w:w="1008" w:type="dxa"/>
            <w:noWrap w:val="0"/>
            <w:vAlign w:val="center"/>
          </w:tcPr>
          <w:p w14:paraId="495FFAFA">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1000</w:t>
            </w:r>
          </w:p>
        </w:tc>
        <w:tc>
          <w:tcPr>
            <w:tcW w:w="927" w:type="dxa"/>
            <w:noWrap w:val="0"/>
            <w:vAlign w:val="center"/>
          </w:tcPr>
          <w:p w14:paraId="7BC22E11">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4000</w:t>
            </w:r>
          </w:p>
        </w:tc>
        <w:tc>
          <w:tcPr>
            <w:tcW w:w="792" w:type="dxa"/>
            <w:noWrap w:val="0"/>
            <w:vAlign w:val="center"/>
          </w:tcPr>
          <w:p w14:paraId="597BC1B8">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25</w:t>
            </w:r>
          </w:p>
        </w:tc>
        <w:tc>
          <w:tcPr>
            <w:tcW w:w="859" w:type="dxa"/>
            <w:noWrap w:val="0"/>
            <w:vAlign w:val="center"/>
          </w:tcPr>
          <w:p w14:paraId="39FF5B81">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347F7BC0">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r w14:paraId="7DB2A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764" w:type="dxa"/>
            <w:vMerge w:val="continue"/>
            <w:noWrap w:val="0"/>
            <w:vAlign w:val="center"/>
          </w:tcPr>
          <w:p w14:paraId="2B512966">
            <w:pPr>
              <w:pStyle w:val="24"/>
              <w:rPr>
                <w:rFonts w:hint="eastAsia" w:ascii="Times New Roman" w:hAnsi="Times New Roman" w:cs="Times New Roman"/>
                <w:color w:val="auto"/>
                <w:sz w:val="21"/>
                <w:szCs w:val="21"/>
                <w:u w:val="none" w:color="auto"/>
                <w:lang w:val="en-US" w:eastAsia="zh-CN"/>
              </w:rPr>
            </w:pPr>
          </w:p>
        </w:tc>
        <w:tc>
          <w:tcPr>
            <w:tcW w:w="852" w:type="dxa"/>
            <w:noWrap w:val="0"/>
            <w:vAlign w:val="center"/>
          </w:tcPr>
          <w:p w14:paraId="404CDBB9">
            <w:pPr>
              <w:pStyle w:val="24"/>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O</w:t>
            </w:r>
            <w:r>
              <w:rPr>
                <w:rFonts w:hint="default" w:ascii="Times New Roman" w:hAnsi="Times New Roman" w:cs="Times New Roman"/>
                <w:color w:val="auto"/>
                <w:sz w:val="21"/>
                <w:szCs w:val="21"/>
                <w:u w:val="none" w:color="auto"/>
                <w:vertAlign w:val="subscript"/>
              </w:rPr>
              <w:t>3</w:t>
            </w:r>
          </w:p>
        </w:tc>
        <w:tc>
          <w:tcPr>
            <w:tcW w:w="1760" w:type="dxa"/>
            <w:noWrap w:val="0"/>
            <w:vAlign w:val="center"/>
          </w:tcPr>
          <w:p w14:paraId="6CFD7663">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百分位上8h平均质量浓度</w:t>
            </w:r>
          </w:p>
        </w:tc>
        <w:tc>
          <w:tcPr>
            <w:tcW w:w="898" w:type="dxa"/>
            <w:noWrap w:val="0"/>
            <w:vAlign w:val="center"/>
          </w:tcPr>
          <w:p w14:paraId="5E36045E">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cs="Times New Roman"/>
                <w:color w:val="auto"/>
                <w:sz w:val="21"/>
                <w:szCs w:val="21"/>
                <w:u w:val="none" w:color="auto"/>
              </w:rPr>
              <w:t>90</w:t>
            </w:r>
          </w:p>
        </w:tc>
        <w:tc>
          <w:tcPr>
            <w:tcW w:w="1008" w:type="dxa"/>
            <w:noWrap w:val="0"/>
            <w:vAlign w:val="center"/>
          </w:tcPr>
          <w:p w14:paraId="2FB002A9">
            <w:pPr>
              <w:pStyle w:val="24"/>
              <w:keepNext w:val="0"/>
              <w:keepLines w:val="0"/>
              <w:pageBreakBefore w:val="0"/>
              <w:widowControl w:val="0"/>
              <w:kinsoku/>
              <w:wordWrap/>
              <w:overflowPunct/>
              <w:topLinePunct w:val="0"/>
              <w:autoSpaceDE/>
              <w:autoSpaceDN/>
              <w:bidi w:val="0"/>
              <w:adjustRightInd/>
              <w:snapToGrid/>
              <w:textAlignment w:val="auto"/>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139</w:t>
            </w:r>
          </w:p>
        </w:tc>
        <w:tc>
          <w:tcPr>
            <w:tcW w:w="927" w:type="dxa"/>
            <w:noWrap w:val="0"/>
            <w:vAlign w:val="center"/>
          </w:tcPr>
          <w:p w14:paraId="7B34F196">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color w:val="auto"/>
                <w:highlight w:val="none"/>
                <w:u w:val="none" w:color="auto"/>
                <w:lang w:val="en-US" w:eastAsia="zh-CN"/>
              </w:rPr>
            </w:pPr>
            <w:r>
              <w:rPr>
                <w:rFonts w:hint="default" w:ascii="Times New Roman" w:hAnsi="Times New Roman" w:cs="Times New Roman"/>
                <w:b w:val="0"/>
                <w:bCs w:val="0"/>
                <w:color w:val="auto"/>
                <w:highlight w:val="none"/>
                <w:u w:val="none" w:color="auto"/>
                <w:lang w:val="en-US" w:eastAsia="zh-CN"/>
              </w:rPr>
              <w:t>160</w:t>
            </w:r>
          </w:p>
        </w:tc>
        <w:tc>
          <w:tcPr>
            <w:tcW w:w="792" w:type="dxa"/>
            <w:noWrap w:val="0"/>
            <w:vAlign w:val="center"/>
          </w:tcPr>
          <w:p w14:paraId="6E589052">
            <w:pPr>
              <w:keepNext w:val="0"/>
              <w:keepLines w:val="0"/>
              <w:widowControl/>
              <w:suppressLineNumbers w:val="0"/>
              <w:jc w:val="center"/>
              <w:textAlignment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86.88</w:t>
            </w:r>
          </w:p>
        </w:tc>
        <w:tc>
          <w:tcPr>
            <w:tcW w:w="859" w:type="dxa"/>
            <w:noWrap w:val="0"/>
            <w:vAlign w:val="center"/>
          </w:tcPr>
          <w:p w14:paraId="57BB3EA8">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达标</w:t>
            </w:r>
          </w:p>
        </w:tc>
        <w:tc>
          <w:tcPr>
            <w:tcW w:w="644" w:type="dxa"/>
            <w:noWrap w:val="0"/>
            <w:vAlign w:val="center"/>
          </w:tcPr>
          <w:p w14:paraId="0DEEA264">
            <w:pPr>
              <w:pStyle w:val="24"/>
              <w:rPr>
                <w:rFonts w:hint="default" w:ascii="Times New Roman" w:hAnsi="Times New Roman" w:cs="Times New Roman"/>
                <w:color w:val="auto"/>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bidi="ar-SA"/>
              </w:rPr>
              <w:t>/</w:t>
            </w:r>
          </w:p>
        </w:tc>
      </w:tr>
    </w:tbl>
    <w:p w14:paraId="69444866">
      <w:pPr>
        <w:pStyle w:val="20"/>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根据上表可知，</w:t>
      </w:r>
      <w:r>
        <w:rPr>
          <w:rFonts w:hint="default" w:ascii="Times New Roman" w:hAnsi="Times New Roman" w:cs="Times New Roman"/>
          <w:color w:val="auto"/>
          <w:kern w:val="0"/>
          <w:sz w:val="24"/>
          <w:szCs w:val="24"/>
          <w:u w:val="none" w:color="auto"/>
          <w:lang w:val="en-US" w:eastAsia="zh-CN" w:bidi="ar"/>
        </w:rPr>
        <w:t>202</w:t>
      </w:r>
      <w:r>
        <w:rPr>
          <w:rFonts w:hint="eastAsia" w:ascii="Times New Roman" w:hAnsi="Times New Roman" w:cs="Times New Roman"/>
          <w:color w:val="auto"/>
          <w:kern w:val="0"/>
          <w:sz w:val="24"/>
          <w:szCs w:val="24"/>
          <w:u w:val="none" w:color="auto"/>
          <w:lang w:val="en-US" w:eastAsia="zh-CN" w:bidi="ar"/>
        </w:rPr>
        <w:t>4</w:t>
      </w:r>
      <w:r>
        <w:rPr>
          <w:rFonts w:hint="default" w:ascii="Times New Roman" w:hAnsi="Times New Roman" w:cs="Times New Roman"/>
          <w:color w:val="auto"/>
          <w:kern w:val="0"/>
          <w:sz w:val="24"/>
          <w:szCs w:val="24"/>
          <w:u w:val="none" w:color="auto"/>
          <w:lang w:val="en-US" w:eastAsia="zh-CN" w:bidi="ar"/>
        </w:rPr>
        <w:t>年</w:t>
      </w:r>
      <w:r>
        <w:rPr>
          <w:rFonts w:hint="default" w:ascii="Times New Roman" w:hAnsi="Times New Roman" w:eastAsia="宋体" w:cs="Times New Roman"/>
          <w:color w:val="auto"/>
          <w:kern w:val="0"/>
          <w:sz w:val="24"/>
          <w:szCs w:val="24"/>
          <w:u w:val="none" w:color="auto"/>
          <w:lang w:val="en-US" w:eastAsia="zh-CN" w:bidi="ar"/>
        </w:rPr>
        <w:t>汨罗市环境空气质量六项基本污染物PM</w:t>
      </w:r>
      <w:r>
        <w:rPr>
          <w:rFonts w:hint="default" w:ascii="Times New Roman" w:hAnsi="Times New Roman" w:eastAsia="宋体" w:cs="Times New Roman"/>
          <w:color w:val="auto"/>
          <w:kern w:val="0"/>
          <w:sz w:val="15"/>
          <w:szCs w:val="15"/>
          <w:u w:val="none" w:color="auto"/>
          <w:lang w:val="en-US" w:eastAsia="zh-CN" w:bidi="ar"/>
        </w:rPr>
        <w:t>10</w:t>
      </w:r>
      <w:r>
        <w:rPr>
          <w:rFonts w:hint="default" w:ascii="Times New Roman" w:hAnsi="Times New Roman" w:eastAsia="宋体" w:cs="Times New Roman"/>
          <w:color w:val="auto"/>
          <w:kern w:val="0"/>
          <w:sz w:val="24"/>
          <w:szCs w:val="24"/>
          <w:u w:val="none" w:color="auto"/>
          <w:lang w:val="en-US" w:eastAsia="zh-CN" w:bidi="ar"/>
        </w:rPr>
        <w:t>、PM</w:t>
      </w:r>
      <w:r>
        <w:rPr>
          <w:rFonts w:hint="default" w:ascii="Times New Roman" w:hAnsi="Times New Roman" w:eastAsia="宋体" w:cs="Times New Roman"/>
          <w:color w:val="auto"/>
          <w:kern w:val="0"/>
          <w:sz w:val="15"/>
          <w:szCs w:val="15"/>
          <w:u w:val="none" w:color="auto"/>
          <w:lang w:val="en-US" w:eastAsia="zh-CN" w:bidi="ar"/>
        </w:rPr>
        <w:t>2.5</w:t>
      </w:r>
      <w:r>
        <w:rPr>
          <w:rFonts w:hint="default" w:ascii="Times New Roman" w:hAnsi="Times New Roman" w:eastAsia="宋体" w:cs="Times New Roman"/>
          <w:color w:val="auto"/>
          <w:kern w:val="0"/>
          <w:sz w:val="24"/>
          <w:szCs w:val="24"/>
          <w:u w:val="none" w:color="auto"/>
          <w:lang w:val="en-US" w:eastAsia="zh-CN" w:bidi="ar"/>
        </w:rPr>
        <w:t>、SO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、NO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、CO、O</w:t>
      </w:r>
      <w:r>
        <w:rPr>
          <w:rFonts w:hint="default" w:ascii="Times New Roman" w:hAnsi="Times New Roman" w:eastAsia="宋体" w:cs="Times New Roman"/>
          <w:color w:val="auto"/>
          <w:kern w:val="0"/>
          <w:sz w:val="15"/>
          <w:szCs w:val="15"/>
          <w:u w:val="none" w:color="auto"/>
          <w:lang w:val="en-US" w:eastAsia="zh-CN" w:bidi="ar"/>
        </w:rPr>
        <w:t>3</w:t>
      </w:r>
      <w:r>
        <w:rPr>
          <w:rFonts w:hint="eastAsia" w:eastAsia="宋体" w:cs="Times New Roman"/>
          <w:color w:val="auto"/>
          <w:kern w:val="0"/>
          <w:sz w:val="24"/>
          <w:szCs w:val="24"/>
          <w:u w:val="none" w:color="auto"/>
          <w:vertAlign w:val="baseline"/>
          <w:lang w:val="en-US" w:eastAsia="zh-CN" w:bidi="ar"/>
        </w:rPr>
        <w:t>中除PM</w:t>
      </w:r>
      <w:r>
        <w:rPr>
          <w:rFonts w:hint="eastAsia" w:eastAsia="宋体" w:cs="Times New Roman"/>
          <w:color w:val="auto"/>
          <w:kern w:val="0"/>
          <w:sz w:val="24"/>
          <w:szCs w:val="24"/>
          <w:u w:val="none" w:color="auto"/>
          <w:vertAlign w:val="subscript"/>
          <w:lang w:val="en-US" w:eastAsia="zh-CN" w:bidi="ar"/>
        </w:rPr>
        <w:t>2.5</w:t>
      </w:r>
      <w:r>
        <w:rPr>
          <w:rFonts w:hint="eastAsia" w:eastAsia="宋体" w:cs="Times New Roman"/>
          <w:color w:val="auto"/>
          <w:kern w:val="0"/>
          <w:sz w:val="24"/>
          <w:szCs w:val="24"/>
          <w:u w:val="none" w:color="auto"/>
          <w:vertAlign w:val="baseline"/>
          <w:lang w:val="en-US" w:eastAsia="zh-CN" w:bidi="ar"/>
        </w:rPr>
        <w:t>的95百分位日平均外，均能</w:t>
      </w:r>
      <w:r>
        <w:rPr>
          <w:rFonts w:hint="default" w:ascii="Times New Roman" w:hAnsi="Times New Roman" w:cs="Times New Roman"/>
          <w:color w:val="auto"/>
          <w:kern w:val="0"/>
          <w:sz w:val="24"/>
          <w:szCs w:val="24"/>
          <w:u w:val="none" w:color="auto"/>
          <w:lang w:val="en-US" w:eastAsia="zh-CN" w:bidi="ar"/>
        </w:rPr>
        <w:t>满足</w:t>
      </w:r>
      <w:r>
        <w:rPr>
          <w:rFonts w:hint="default" w:ascii="Times New Roman" w:hAnsi="Times New Roman" w:eastAsia="宋体" w:cs="Times New Roman"/>
          <w:color w:val="auto"/>
          <w:kern w:val="0"/>
          <w:sz w:val="24"/>
          <w:szCs w:val="24"/>
          <w:u w:val="none" w:color="auto"/>
          <w:lang w:val="en-US" w:eastAsia="zh-CN" w:bidi="ar"/>
        </w:rPr>
        <w:t>《环境空气质量标准》（GB3095-2012）及其修改单中的二级标准</w:t>
      </w:r>
      <w:r>
        <w:rPr>
          <w:rFonts w:hint="eastAsia" w:eastAsia="宋体" w:cs="Times New Roman"/>
          <w:color w:val="auto"/>
          <w:kern w:val="0"/>
          <w:sz w:val="24"/>
          <w:szCs w:val="24"/>
          <w:u w:val="none" w:color="auto"/>
          <w:lang w:val="en-US" w:eastAsia="zh-CN" w:bidi="ar"/>
        </w:rPr>
        <w:t>，</w:t>
      </w:r>
      <w:r>
        <w:rPr>
          <w:rFonts w:hint="eastAsia" w:eastAsia="宋体" w:cs="Times New Roman"/>
          <w:color w:val="auto"/>
          <w:kern w:val="0"/>
          <w:sz w:val="24"/>
          <w:szCs w:val="24"/>
          <w:u w:val="none" w:color="auto"/>
          <w:vertAlign w:val="baseline"/>
          <w:lang w:val="en-US" w:eastAsia="zh-CN" w:bidi="ar"/>
        </w:rPr>
        <w:t>PM</w:t>
      </w:r>
      <w:r>
        <w:rPr>
          <w:rFonts w:hint="eastAsia" w:eastAsia="宋体" w:cs="Times New Roman"/>
          <w:color w:val="auto"/>
          <w:kern w:val="0"/>
          <w:sz w:val="24"/>
          <w:szCs w:val="24"/>
          <w:u w:val="none" w:color="auto"/>
          <w:vertAlign w:val="subscript"/>
          <w:lang w:val="en-US" w:eastAsia="zh-CN" w:bidi="ar"/>
        </w:rPr>
        <w:t>2.5</w:t>
      </w:r>
      <w:r>
        <w:rPr>
          <w:rFonts w:hint="eastAsia" w:eastAsia="宋体" w:cs="Times New Roman"/>
          <w:color w:val="auto"/>
          <w:kern w:val="0"/>
          <w:sz w:val="24"/>
          <w:szCs w:val="24"/>
          <w:u w:val="none" w:color="auto"/>
          <w:vertAlign w:val="baseline"/>
          <w:lang w:val="en-US" w:eastAsia="zh-CN" w:bidi="ar"/>
        </w:rPr>
        <w:t>的95百分位日平均最大占标率为118.67%，超标倍数为0.187，</w:t>
      </w:r>
      <w:r>
        <w:rPr>
          <w:rFonts w:hint="default" w:ascii="Times New Roman" w:hAnsi="Times New Roman" w:eastAsia="宋体" w:cs="Times New Roman"/>
          <w:color w:val="auto"/>
          <w:kern w:val="0"/>
          <w:sz w:val="24"/>
          <w:szCs w:val="24"/>
          <w:u w:val="none" w:color="auto"/>
          <w:lang w:val="en-US" w:eastAsia="zh-CN" w:bidi="ar"/>
        </w:rPr>
        <w:t>项目区域大气环境质量为</w:t>
      </w:r>
      <w:r>
        <w:rPr>
          <w:rFonts w:hint="eastAsia" w:eastAsia="宋体" w:cs="Times New Roman"/>
          <w:color w:val="auto"/>
          <w:kern w:val="0"/>
          <w:sz w:val="24"/>
          <w:szCs w:val="24"/>
          <w:u w:val="none" w:color="auto"/>
          <w:lang w:val="en-US" w:eastAsia="zh-CN" w:bidi="ar"/>
        </w:rPr>
        <w:t>不</w:t>
      </w:r>
      <w:r>
        <w:rPr>
          <w:rFonts w:hint="default" w:ascii="Times New Roman" w:hAnsi="Times New Roman" w:eastAsia="宋体" w:cs="Times New Roman"/>
          <w:color w:val="auto"/>
          <w:kern w:val="0"/>
          <w:sz w:val="24"/>
          <w:szCs w:val="24"/>
          <w:u w:val="none" w:color="auto"/>
          <w:lang w:val="en-US" w:eastAsia="zh-CN" w:bidi="ar"/>
        </w:rPr>
        <w:t>达标区。目前岳阳市已于2020年7月印发《岳阳市环境空气质量期限达标规划（2020-2026）》（岳生环委发〔2020〕10号），根据该规划，在2026年底前岳阳市将实现空气质量6项主要污染物（PM</w:t>
      </w:r>
      <w:r>
        <w:rPr>
          <w:rFonts w:hint="default" w:ascii="Times New Roman" w:hAnsi="Times New Roman" w:eastAsia="宋体" w:cs="Times New Roman"/>
          <w:color w:val="auto"/>
          <w:kern w:val="0"/>
          <w:sz w:val="24"/>
          <w:szCs w:val="24"/>
          <w:u w:val="none" w:color="auto"/>
          <w:vertAlign w:val="subscript"/>
          <w:lang w:val="en-US" w:eastAsia="zh-CN" w:bidi="ar"/>
        </w:rPr>
        <w:t>10</w:t>
      </w:r>
      <w:r>
        <w:rPr>
          <w:rFonts w:hint="default" w:ascii="Times New Roman" w:hAnsi="Times New Roman" w:eastAsia="宋体" w:cs="Times New Roman"/>
          <w:color w:val="auto"/>
          <w:kern w:val="0"/>
          <w:sz w:val="24"/>
          <w:szCs w:val="24"/>
          <w:u w:val="none" w:color="auto"/>
          <w:lang w:val="en-US" w:eastAsia="zh-CN" w:bidi="ar"/>
        </w:rPr>
        <w:t>、PM</w:t>
      </w:r>
      <w:r>
        <w:rPr>
          <w:rFonts w:hint="default" w:ascii="Times New Roman" w:hAnsi="Times New Roman" w:eastAsia="宋体" w:cs="Times New Roman"/>
          <w:color w:val="auto"/>
          <w:kern w:val="0"/>
          <w:sz w:val="24"/>
          <w:szCs w:val="24"/>
          <w:u w:val="none" w:color="auto"/>
          <w:vertAlign w:val="subscript"/>
          <w:lang w:val="en-US" w:eastAsia="zh-CN" w:bidi="ar"/>
        </w:rPr>
        <w:t>2.5</w:t>
      </w:r>
      <w:r>
        <w:rPr>
          <w:rFonts w:hint="default" w:ascii="Times New Roman" w:hAnsi="Times New Roman" w:eastAsia="宋体" w:cs="Times New Roman"/>
          <w:color w:val="auto"/>
          <w:kern w:val="0"/>
          <w:sz w:val="24"/>
          <w:szCs w:val="24"/>
          <w:u w:val="none" w:color="auto"/>
          <w:lang w:val="en-US" w:eastAsia="zh-CN" w:bidi="ar"/>
        </w:rPr>
        <w:t>、二氧化硫、二氧化氮、一氧化碳和臭氧）全部达标，采取的主要措施如下：</w:t>
      </w:r>
    </w:p>
    <w:p w14:paraId="2E3A32F5">
      <w:pPr>
        <w:pStyle w:val="20"/>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污染产业整治和升级：要求传统产业环保升级，倒</w:t>
      </w:r>
      <w:r>
        <w:rPr>
          <w:rFonts w:hint="eastAsia" w:ascii="宋体" w:hAnsi="宋体" w:eastAsia="宋体" w:cs="宋体"/>
          <w:color w:val="auto"/>
          <w:kern w:val="0"/>
          <w:sz w:val="24"/>
          <w:szCs w:val="24"/>
          <w:u w:val="none" w:color="auto"/>
          <w:lang w:val="en-US" w:eastAsia="zh-CN" w:bidi="ar"/>
        </w:rPr>
        <w:t>逼“僵尸企业”转型升级、加快“散乱污”企业</w:t>
      </w:r>
      <w:r>
        <w:rPr>
          <w:rFonts w:hint="default" w:ascii="Times New Roman" w:hAnsi="Times New Roman" w:eastAsia="宋体" w:cs="Times New Roman"/>
          <w:color w:val="auto"/>
          <w:kern w:val="0"/>
          <w:sz w:val="24"/>
          <w:szCs w:val="24"/>
          <w:u w:val="none" w:color="auto"/>
          <w:lang w:val="en-US" w:eastAsia="zh-CN" w:bidi="ar"/>
        </w:rPr>
        <w:t>整治；</w:t>
      </w:r>
    </w:p>
    <w:p w14:paraId="7CCFBEF3">
      <w:pPr>
        <w:pStyle w:val="20"/>
        <w:keepNext w:val="0"/>
        <w:keepLines w:val="0"/>
        <w:pageBreakBefore w:val="0"/>
        <w:widowControl w:val="0"/>
        <w:kinsoku/>
        <w:wordWrap/>
        <w:overflowPunct/>
        <w:topLinePunct w:val="0"/>
        <w:autoSpaceDE/>
        <w:autoSpaceDN/>
        <w:bidi w:val="0"/>
        <w:adjustRightInd/>
        <w:snapToGrid w:val="0"/>
        <w:ind w:firstLine="480"/>
        <w:textAlignment w:val="auto"/>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强化扬尘污染治理：强化施工扬尘治理、控制道路扬尘污染、加强堆场和裸露地面治理；</w:t>
      </w:r>
    </w:p>
    <w:p w14:paraId="6A329D91">
      <w:pPr>
        <w:pStyle w:val="20"/>
        <w:keepNext w:val="0"/>
        <w:keepLines w:val="0"/>
        <w:pageBreakBefore w:val="0"/>
        <w:widowControl w:val="0"/>
        <w:kinsoku/>
        <w:wordWrap/>
        <w:overflowPunct/>
        <w:topLinePunct w:val="0"/>
        <w:autoSpaceDE/>
        <w:autoSpaceDN/>
        <w:bidi w:val="0"/>
        <w:adjustRightInd/>
        <w:snapToGrid w:val="0"/>
        <w:ind w:firstLine="480"/>
        <w:textAlignment w:val="auto"/>
        <w:rPr>
          <w:rFonts w:hint="eastAsia"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kern w:val="0"/>
          <w:sz w:val="24"/>
          <w:szCs w:val="24"/>
          <w:u w:val="none" w:color="auto"/>
          <w:lang w:val="en-US" w:eastAsia="zh-CN" w:bidi="ar"/>
        </w:rPr>
        <w:t>巩固燃煤锅炉淘汰成果；强化重点污染行业排污许可证监管；兼顾移动源污染治理，加强对柴油车污染治理、加强非道路移动源污</w:t>
      </w:r>
      <w:r>
        <w:rPr>
          <w:rFonts w:hint="eastAsia" w:eastAsia="宋体" w:cs="Times New Roman"/>
          <w:color w:val="auto"/>
          <w:kern w:val="0"/>
          <w:sz w:val="24"/>
          <w:szCs w:val="24"/>
          <w:u w:val="none" w:color="auto"/>
          <w:lang w:val="en-US" w:eastAsia="zh-CN" w:bidi="ar"/>
        </w:rPr>
        <w:t>。</w:t>
      </w:r>
    </w:p>
    <w:p w14:paraId="48518CA7">
      <w:pPr>
        <w:pStyle w:val="20"/>
        <w:ind w:firstLine="480"/>
        <w:rPr>
          <w:rFonts w:hint="default" w:ascii="Times New Roman" w:hAnsi="Times New Roman" w:eastAsia="宋体" w:cs="Times New Roman"/>
          <w:color w:val="auto"/>
          <w:u w:val="none" w:color="auto"/>
          <w:lang w:val="en-US" w:eastAsia="zh-CN"/>
        </w:rPr>
      </w:pPr>
      <w:r>
        <w:rPr>
          <w:rFonts w:hint="eastAsia" w:eastAsia="宋体" w:cs="Times New Roman"/>
          <w:color w:val="auto"/>
          <w:kern w:val="0"/>
          <w:sz w:val="24"/>
          <w:szCs w:val="24"/>
          <w:u w:val="none" w:color="auto"/>
          <w:lang w:val="en-US" w:eastAsia="zh-CN" w:bidi="ar"/>
        </w:rPr>
        <w:t>采取以上措施后</w:t>
      </w:r>
      <w:r>
        <w:rPr>
          <w:rFonts w:hint="default" w:ascii="Times New Roman" w:hAnsi="Times New Roman" w:eastAsia="宋体" w:cs="Times New Roman"/>
          <w:color w:val="auto"/>
          <w:kern w:val="0"/>
          <w:sz w:val="24"/>
          <w:szCs w:val="24"/>
          <w:u w:val="none" w:color="auto"/>
          <w:lang w:val="en-US" w:eastAsia="zh-CN" w:bidi="ar"/>
        </w:rPr>
        <w:t>可满足达标规划确定的区域环境质量改善目标。</w:t>
      </w:r>
    </w:p>
    <w:p w14:paraId="6D2D281C">
      <w:pPr>
        <w:pStyle w:val="20"/>
        <w:ind w:firstLine="48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lang w:eastAsia="zh-CN"/>
        </w:rPr>
        <w:t>）特征污染物环质量现状评价</w:t>
      </w:r>
    </w:p>
    <w:p w14:paraId="58CC7050">
      <w:pPr>
        <w:pStyle w:val="20"/>
        <w:ind w:firstLine="48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根据《环境影响评价技术导则大气环境》（HJ2.2-2018）相关规定；若评价范围内己有例行监测点位，或评价范围内有近3年的监测资料，且其监测数据有效性符合本导则有关规定，并能满足项目评价要求的，可不再进行现状</w:t>
      </w:r>
      <w:r>
        <w:rPr>
          <w:rFonts w:hint="eastAsia" w:ascii="Times New Roman" w:hAnsi="Times New Roman" w:cs="Times New Roman"/>
          <w:color w:val="auto"/>
          <w:u w:val="none" w:color="auto"/>
          <w:lang w:val="en-US" w:eastAsia="zh-CN"/>
        </w:rPr>
        <w:t>监测</w:t>
      </w: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对</w:t>
      </w:r>
      <w:r>
        <w:rPr>
          <w:rFonts w:hint="default" w:ascii="Times New Roman" w:hAnsi="Times New Roman" w:eastAsia="宋体" w:cs="Times New Roman"/>
          <w:color w:val="auto"/>
          <w:sz w:val="24"/>
          <w:szCs w:val="24"/>
          <w:u w:val="none" w:color="auto"/>
          <w:lang w:val="en-US" w:eastAsia="zh-CN"/>
        </w:rPr>
        <w:t>TSP、NMHC、TVOC</w:t>
      </w:r>
      <w:r>
        <w:rPr>
          <w:rFonts w:hint="eastAsia" w:ascii="Times New Roman" w:hAnsi="Times New Roman" w:eastAsia="宋体" w:cs="Times New Roman"/>
          <w:color w:val="auto"/>
          <w:sz w:val="24"/>
          <w:szCs w:val="24"/>
          <w:u w:val="none" w:color="auto"/>
          <w:lang w:val="en-US" w:eastAsia="zh-CN"/>
        </w:rPr>
        <w:t>、氯化氢、二甲苯、</w:t>
      </w:r>
      <w:r>
        <w:rPr>
          <w:rFonts w:hint="eastAsia" w:ascii="Times New Roman" w:hAnsi="Times New Roman" w:eastAsia="宋体" w:cs="Times New Roman"/>
          <w:color w:val="auto"/>
          <w:sz w:val="24"/>
          <w:szCs w:val="24"/>
          <w:highlight w:val="none"/>
          <w:u w:val="none" w:color="auto"/>
          <w:lang w:val="en-US" w:eastAsia="zh-CN"/>
        </w:rPr>
        <w:t>臭气浓度</w:t>
      </w:r>
      <w:r>
        <w:rPr>
          <w:rFonts w:hint="eastAsia" w:ascii="Times New Roman" w:hAnsi="Times New Roman" w:eastAsia="宋体" w:cs="Times New Roman"/>
          <w:color w:val="auto"/>
          <w:sz w:val="24"/>
          <w:szCs w:val="24"/>
          <w:u w:val="none" w:color="auto"/>
          <w:lang w:val="en-US" w:eastAsia="zh-CN"/>
        </w:rPr>
        <w:t>，</w:t>
      </w:r>
      <w:r>
        <w:rPr>
          <w:color w:val="auto"/>
          <w:u w:val="none" w:color="auto"/>
        </w:rPr>
        <w:t>本项目引用</w:t>
      </w:r>
      <w:r>
        <w:rPr>
          <w:rFonts w:hint="eastAsia"/>
          <w:color w:val="auto"/>
          <w:u w:val="none" w:color="auto"/>
        </w:rPr>
        <w:t>《汨罗高新技术产业开发区扩区规划环境影响报告书》中委托湖南桓泓检测技术有限公司202</w:t>
      </w:r>
      <w:r>
        <w:rPr>
          <w:rFonts w:hint="eastAsia"/>
          <w:color w:val="auto"/>
          <w:u w:val="none" w:color="auto"/>
          <w:lang w:val="en-US" w:eastAsia="zh-CN"/>
        </w:rPr>
        <w:t>3</w:t>
      </w:r>
      <w:r>
        <w:rPr>
          <w:rFonts w:hint="eastAsia"/>
          <w:color w:val="auto"/>
          <w:u w:val="none" w:color="auto"/>
        </w:rPr>
        <w:t>年</w:t>
      </w:r>
      <w:r>
        <w:rPr>
          <w:rFonts w:hint="eastAsia"/>
          <w:color w:val="auto"/>
          <w:u w:val="none" w:color="auto"/>
          <w:lang w:val="en-US" w:eastAsia="zh-CN"/>
        </w:rPr>
        <w:t>5</w:t>
      </w:r>
      <w:r>
        <w:rPr>
          <w:rFonts w:hint="eastAsia"/>
          <w:color w:val="auto"/>
          <w:u w:val="none" w:color="auto"/>
        </w:rPr>
        <w:t>月</w:t>
      </w:r>
      <w:r>
        <w:rPr>
          <w:rFonts w:hint="eastAsia"/>
          <w:color w:val="auto"/>
          <w:u w:val="none" w:color="auto"/>
          <w:lang w:val="en-US" w:eastAsia="zh-CN"/>
        </w:rPr>
        <w:t>24</w:t>
      </w:r>
      <w:r>
        <w:rPr>
          <w:rFonts w:hint="eastAsia"/>
          <w:color w:val="auto"/>
          <w:u w:val="none" w:color="auto"/>
        </w:rPr>
        <w:t>日~</w:t>
      </w:r>
      <w:r>
        <w:rPr>
          <w:rFonts w:hint="eastAsia"/>
          <w:color w:val="auto"/>
          <w:u w:val="none" w:color="auto"/>
          <w:lang w:val="en-US" w:eastAsia="zh-CN"/>
        </w:rPr>
        <w:t>5</w:t>
      </w:r>
      <w:r>
        <w:rPr>
          <w:rFonts w:hint="eastAsia"/>
          <w:color w:val="auto"/>
          <w:u w:val="none" w:color="auto"/>
        </w:rPr>
        <w:t>月</w:t>
      </w:r>
      <w:r>
        <w:rPr>
          <w:rFonts w:hint="eastAsia"/>
          <w:color w:val="auto"/>
          <w:u w:val="none" w:color="auto"/>
          <w:lang w:val="en-US" w:eastAsia="zh-CN"/>
        </w:rPr>
        <w:t>30</w:t>
      </w:r>
      <w:r>
        <w:rPr>
          <w:rFonts w:hint="eastAsia"/>
          <w:color w:val="auto"/>
          <w:u w:val="none" w:color="auto"/>
        </w:rPr>
        <w:t>日对环境空气质量进行的质量监测数据</w:t>
      </w:r>
      <w:r>
        <w:rPr>
          <w:rFonts w:hint="eastAsia"/>
          <w:color w:val="auto"/>
          <w:u w:val="none" w:color="auto"/>
          <w:lang w:val="en-US" w:eastAsia="zh-CN"/>
        </w:rPr>
        <w:t>作为依据</w:t>
      </w:r>
      <w:r>
        <w:rPr>
          <w:color w:val="auto"/>
          <w:u w:val="none" w:color="auto"/>
        </w:rPr>
        <w:t>。</w:t>
      </w:r>
    </w:p>
    <w:p w14:paraId="264439DD">
      <w:pPr>
        <w:pStyle w:val="20"/>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引用</w:t>
      </w:r>
      <w:r>
        <w:rPr>
          <w:rFonts w:hint="default" w:ascii="Times New Roman" w:hAnsi="Times New Roman" w:eastAsia="宋体" w:cs="Times New Roman"/>
          <w:color w:val="auto"/>
          <w:u w:val="none" w:color="auto"/>
          <w:lang w:eastAsia="zh-CN"/>
        </w:rPr>
        <w:t>监测点位：</w:t>
      </w:r>
      <w:r>
        <w:rPr>
          <w:rFonts w:hint="eastAsia" w:ascii="Times New Roman" w:hAnsi="Times New Roman" w:cs="Times New Roman"/>
          <w:color w:val="auto"/>
          <w:u w:val="none" w:color="auto"/>
          <w:lang w:val="en-US" w:eastAsia="zh-CN"/>
        </w:rPr>
        <w:t>G2：项目厂址东南侧下风向1.6km八里村居民点</w:t>
      </w:r>
      <w:r>
        <w:rPr>
          <w:rFonts w:hint="default" w:ascii="Times New Roman" w:hAnsi="Times New Roman" w:cs="Times New Roman"/>
          <w:color w:val="auto"/>
          <w:u w:val="none" w:color="auto"/>
          <w:lang w:eastAsia="zh-CN"/>
        </w:rPr>
        <w:t>。</w:t>
      </w:r>
    </w:p>
    <w:p w14:paraId="3503E123">
      <w:pPr>
        <w:pStyle w:val="20"/>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（2）</w:t>
      </w:r>
      <w:r>
        <w:rPr>
          <w:rFonts w:hint="default" w:ascii="Times New Roman" w:hAnsi="Times New Roman" w:eastAsia="宋体" w:cs="Times New Roman"/>
          <w:color w:val="auto"/>
          <w:u w:val="none" w:color="auto"/>
          <w:lang w:val="en-US" w:eastAsia="zh-CN"/>
        </w:rPr>
        <w:t>监测因子：</w:t>
      </w:r>
      <w:r>
        <w:rPr>
          <w:rFonts w:hint="default" w:ascii="Times New Roman" w:hAnsi="Times New Roman" w:eastAsia="宋体" w:cs="Times New Roman"/>
          <w:color w:val="auto"/>
          <w:sz w:val="24"/>
          <w:szCs w:val="24"/>
          <w:u w:val="none" w:color="auto"/>
          <w:lang w:val="en-US" w:eastAsia="zh-CN"/>
        </w:rPr>
        <w:t>TSP、NMHC、TVOC</w:t>
      </w:r>
      <w:r>
        <w:rPr>
          <w:rFonts w:hint="eastAsia" w:ascii="Times New Roman" w:hAnsi="Times New Roman" w:eastAsia="宋体" w:cs="Times New Roman"/>
          <w:color w:val="auto"/>
          <w:sz w:val="24"/>
          <w:szCs w:val="24"/>
          <w:u w:val="none" w:color="auto"/>
          <w:lang w:val="en-US" w:eastAsia="zh-CN"/>
        </w:rPr>
        <w:t>、氯化氢、二甲苯、臭气浓度</w:t>
      </w:r>
      <w:r>
        <w:rPr>
          <w:rFonts w:hint="default" w:ascii="Times New Roman" w:hAnsi="Times New Roman" w:eastAsia="宋体" w:cs="Times New Roman"/>
          <w:color w:val="auto"/>
          <w:u w:val="none" w:color="auto"/>
          <w:lang w:val="en-US" w:eastAsia="zh-CN"/>
        </w:rPr>
        <w:t>。</w:t>
      </w:r>
    </w:p>
    <w:p w14:paraId="746B1A95">
      <w:pPr>
        <w:pStyle w:val="20"/>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（3）</w:t>
      </w:r>
      <w:r>
        <w:rPr>
          <w:rFonts w:hint="default" w:ascii="Times New Roman" w:hAnsi="Times New Roman" w:eastAsia="宋体" w:cs="Times New Roman"/>
          <w:color w:val="auto"/>
          <w:u w:val="none" w:color="auto"/>
          <w:lang w:val="en-US" w:eastAsia="zh-CN"/>
        </w:rPr>
        <w:t>监测时间与频次：进行了连续7天的采样监测</w:t>
      </w:r>
      <w:r>
        <w:rPr>
          <w:rFonts w:hint="eastAsia" w:cs="Times New Roman"/>
          <w:color w:val="auto"/>
          <w:u w:val="none" w:color="auto"/>
          <w:lang w:val="en-US" w:eastAsia="zh-CN"/>
        </w:rPr>
        <w:t>。</w:t>
      </w:r>
    </w:p>
    <w:p w14:paraId="6457E7EC">
      <w:pPr>
        <w:pStyle w:val="20"/>
        <w:ind w:firstLine="48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采样方法及分析方法：采样方法按《环境空气质量自动监测技术规范》（HIJ/T193-2005）规定执行。项目分析方法按《环境空气质量标准》（GB3095-2012）表2规定以及《空气和废气监测分析方法（第四版）》中的相关规定执行。</w:t>
      </w:r>
    </w:p>
    <w:p w14:paraId="1012ADE4">
      <w:pPr>
        <w:pStyle w:val="28"/>
        <w:bidi w:val="0"/>
        <w:rPr>
          <w:rFonts w:hint="default" w:ascii="Times New Roman" w:hAnsi="Times New Roman" w:eastAsia="宋体" w:cs="Times New Roman"/>
          <w:b/>
          <w:color w:val="auto"/>
          <w:kern w:val="2"/>
          <w:sz w:val="21"/>
          <w:szCs w:val="24"/>
          <w:u w:val="none" w:color="auto"/>
          <w:vertAlign w:val="superscript"/>
          <w:lang w:val="en-US" w:eastAsia="zh-CN" w:bidi="ar-SA"/>
        </w:rPr>
      </w:pPr>
      <w:r>
        <w:rPr>
          <w:rFonts w:hint="default" w:ascii="Times New Roman" w:hAnsi="Times New Roman" w:eastAsia="宋体" w:cs="Times New Roman"/>
          <w:b/>
          <w:color w:val="auto"/>
          <w:kern w:val="2"/>
          <w:sz w:val="21"/>
          <w:szCs w:val="24"/>
          <w:u w:val="none" w:color="auto"/>
          <w:lang w:val="en-US" w:eastAsia="zh-CN" w:bidi="ar-SA"/>
        </w:rPr>
        <w:t>表</w:t>
      </w:r>
      <w:r>
        <w:rPr>
          <w:rFonts w:hint="eastAsia" w:cs="Times New Roman"/>
          <w:b/>
          <w:color w:val="auto"/>
          <w:kern w:val="2"/>
          <w:sz w:val="21"/>
          <w:szCs w:val="24"/>
          <w:u w:val="none" w:color="auto"/>
          <w:lang w:val="en-US" w:eastAsia="zh-CN" w:bidi="ar-SA"/>
        </w:rPr>
        <w:t>5</w:t>
      </w:r>
      <w:r>
        <w:rPr>
          <w:rFonts w:hint="default" w:ascii="Times New Roman" w:hAnsi="Times New Roman" w:cs="Times New Roman"/>
          <w:b/>
          <w:color w:val="auto"/>
          <w:kern w:val="2"/>
          <w:sz w:val="21"/>
          <w:szCs w:val="24"/>
          <w:u w:val="none" w:color="auto"/>
          <w:lang w:val="en-US" w:eastAsia="zh-CN" w:bidi="ar-SA"/>
        </w:rPr>
        <w:t>.</w:t>
      </w:r>
      <w:r>
        <w:rPr>
          <w:rFonts w:hint="eastAsia" w:cs="Times New Roman"/>
          <w:b/>
          <w:color w:val="auto"/>
          <w:kern w:val="2"/>
          <w:sz w:val="21"/>
          <w:szCs w:val="24"/>
          <w:u w:val="none" w:color="auto"/>
          <w:lang w:val="en-US" w:eastAsia="zh-CN" w:bidi="ar-SA"/>
        </w:rPr>
        <w:t>3</w:t>
      </w:r>
      <w:r>
        <w:rPr>
          <w:rFonts w:hint="default" w:ascii="Times New Roman" w:hAnsi="Times New Roman" w:eastAsia="宋体" w:cs="Times New Roman"/>
          <w:b/>
          <w:color w:val="auto"/>
          <w:kern w:val="2"/>
          <w:sz w:val="21"/>
          <w:szCs w:val="24"/>
          <w:u w:val="none" w:color="auto"/>
          <w:lang w:val="en-US" w:eastAsia="zh-CN" w:bidi="ar-SA"/>
        </w:rPr>
        <w:t>-</w:t>
      </w:r>
      <w:r>
        <w:rPr>
          <w:rFonts w:hint="default" w:ascii="Times New Roman" w:hAnsi="Times New Roman" w:cs="Times New Roman"/>
          <w:b/>
          <w:color w:val="auto"/>
          <w:kern w:val="2"/>
          <w:sz w:val="21"/>
          <w:szCs w:val="24"/>
          <w:u w:val="none" w:color="auto"/>
          <w:lang w:val="en-US" w:eastAsia="zh-CN" w:bidi="ar-SA"/>
        </w:rPr>
        <w:t xml:space="preserve">2  </w:t>
      </w:r>
      <w:r>
        <w:rPr>
          <w:rFonts w:hint="default" w:ascii="Times New Roman" w:hAnsi="Times New Roman" w:eastAsia="宋体" w:cs="Times New Roman"/>
          <w:b/>
          <w:color w:val="auto"/>
          <w:kern w:val="2"/>
          <w:sz w:val="21"/>
          <w:szCs w:val="24"/>
          <w:u w:val="none" w:color="auto"/>
          <w:lang w:val="en-US" w:eastAsia="zh-CN" w:bidi="ar-SA"/>
        </w:rPr>
        <w:t xml:space="preserve">环境空气质量现状监测结果一览表  单位: </w:t>
      </w:r>
      <w:r>
        <w:rPr>
          <w:rFonts w:hint="default" w:ascii="Times New Roman" w:hAnsi="Times New Roman" w:cs="Times New Roman"/>
          <w:b/>
          <w:color w:val="auto"/>
          <w:kern w:val="2"/>
          <w:sz w:val="21"/>
          <w:szCs w:val="24"/>
          <w:u w:val="none" w:color="auto"/>
          <w:lang w:val="en-US" w:eastAsia="zh-CN" w:bidi="ar-SA"/>
        </w:rPr>
        <w:t>m</w:t>
      </w:r>
      <w:r>
        <w:rPr>
          <w:rFonts w:hint="default" w:ascii="Times New Roman" w:hAnsi="Times New Roman" w:eastAsia="宋体" w:cs="Times New Roman"/>
          <w:b/>
          <w:color w:val="auto"/>
          <w:kern w:val="2"/>
          <w:sz w:val="21"/>
          <w:szCs w:val="24"/>
          <w:u w:val="none" w:color="auto"/>
          <w:lang w:val="en-US" w:eastAsia="zh-CN" w:bidi="ar-SA"/>
        </w:rPr>
        <w:t>g/m</w:t>
      </w:r>
      <w:r>
        <w:rPr>
          <w:rFonts w:hint="default" w:ascii="Times New Roman" w:hAnsi="Times New Roman" w:eastAsia="宋体" w:cs="Times New Roman"/>
          <w:b/>
          <w:color w:val="auto"/>
          <w:kern w:val="2"/>
          <w:sz w:val="21"/>
          <w:szCs w:val="24"/>
          <w:u w:val="none" w:color="auto"/>
          <w:vertAlign w:val="superscript"/>
          <w:lang w:val="en-US" w:eastAsia="zh-CN" w:bidi="ar-SA"/>
        </w:rPr>
        <w:t>3</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26"/>
        <w:gridCol w:w="3018"/>
        <w:gridCol w:w="3892"/>
      </w:tblGrid>
      <w:tr w14:paraId="02D048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65" w:type="pct"/>
            <w:gridSpan w:val="2"/>
            <w:vMerge w:val="restart"/>
            <w:tcBorders>
              <w:tl2br w:val="nil"/>
              <w:tr2bl w:val="nil"/>
            </w:tcBorders>
            <w:noWrap/>
            <w:tcMar>
              <w:top w:w="15" w:type="dxa"/>
              <w:left w:w="15" w:type="dxa"/>
              <w:right w:w="15" w:type="dxa"/>
            </w:tcMar>
            <w:vAlign w:val="center"/>
          </w:tcPr>
          <w:p w14:paraId="689BF132">
            <w:pPr>
              <w:pStyle w:val="24"/>
              <w:bidi w:val="0"/>
              <w:rPr>
                <w:rFonts w:hint="default"/>
                <w:color w:val="auto"/>
                <w:u w:val="none" w:color="auto"/>
              </w:rPr>
            </w:pPr>
            <w:r>
              <w:rPr>
                <w:rFonts w:hint="default"/>
                <w:color w:val="auto"/>
                <w:u w:val="none" w:color="auto"/>
                <w:lang w:val="en-US" w:eastAsia="zh-CN"/>
              </w:rPr>
              <w:t>监测项目</w:t>
            </w:r>
          </w:p>
        </w:tc>
        <w:tc>
          <w:tcPr>
            <w:tcW w:w="2334" w:type="pct"/>
            <w:tcBorders>
              <w:tl2br w:val="nil"/>
              <w:tr2bl w:val="nil"/>
            </w:tcBorders>
            <w:noWrap w:val="0"/>
            <w:tcMar>
              <w:top w:w="15" w:type="dxa"/>
              <w:left w:w="15" w:type="dxa"/>
              <w:right w:w="15" w:type="dxa"/>
            </w:tcMar>
            <w:vAlign w:val="center"/>
          </w:tcPr>
          <w:p w14:paraId="7F9956DE">
            <w:pPr>
              <w:pStyle w:val="24"/>
              <w:bidi w:val="0"/>
              <w:rPr>
                <w:rFonts w:hint="default"/>
                <w:color w:val="auto"/>
                <w:u w:val="none" w:color="auto"/>
                <w:lang w:val="en-US" w:eastAsia="zh-CN"/>
              </w:rPr>
            </w:pPr>
            <w:r>
              <w:rPr>
                <w:rFonts w:hint="default"/>
                <w:color w:val="auto"/>
                <w:u w:val="none" w:color="auto"/>
                <w:lang w:val="en-US" w:eastAsia="zh-CN"/>
              </w:rPr>
              <w:t>监测评价结果</w:t>
            </w:r>
          </w:p>
        </w:tc>
      </w:tr>
      <w:tr w14:paraId="423C6B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665" w:type="pct"/>
            <w:gridSpan w:val="2"/>
            <w:vMerge w:val="continue"/>
            <w:tcBorders>
              <w:tl2br w:val="nil"/>
              <w:tr2bl w:val="nil"/>
            </w:tcBorders>
            <w:noWrap/>
            <w:tcMar>
              <w:top w:w="15" w:type="dxa"/>
              <w:left w:w="15" w:type="dxa"/>
              <w:right w:w="15" w:type="dxa"/>
            </w:tcMar>
            <w:vAlign w:val="bottom"/>
          </w:tcPr>
          <w:p w14:paraId="53BC7A4C">
            <w:pPr>
              <w:pStyle w:val="24"/>
              <w:bidi w:val="0"/>
              <w:rPr>
                <w:rFonts w:hint="default"/>
                <w:color w:val="auto"/>
                <w:u w:val="none" w:color="auto"/>
              </w:rPr>
            </w:pPr>
          </w:p>
        </w:tc>
        <w:tc>
          <w:tcPr>
            <w:tcW w:w="2334" w:type="pct"/>
            <w:tcBorders>
              <w:tl2br w:val="nil"/>
              <w:tr2bl w:val="nil"/>
            </w:tcBorders>
            <w:noWrap w:val="0"/>
            <w:tcMar>
              <w:top w:w="15" w:type="dxa"/>
              <w:left w:w="15" w:type="dxa"/>
              <w:right w:w="15" w:type="dxa"/>
            </w:tcMar>
            <w:vAlign w:val="center"/>
          </w:tcPr>
          <w:p w14:paraId="28CAE3F4">
            <w:pPr>
              <w:pStyle w:val="24"/>
              <w:bidi w:val="0"/>
              <w:rPr>
                <w:rFonts w:hint="default"/>
                <w:color w:val="auto"/>
                <w:u w:val="none" w:color="auto"/>
                <w:lang w:val="en-US" w:eastAsia="zh-CN"/>
              </w:rPr>
            </w:pPr>
            <w:r>
              <w:rPr>
                <w:rFonts w:hint="default"/>
                <w:color w:val="auto"/>
                <w:u w:val="none" w:color="auto"/>
                <w:lang w:val="en-US" w:eastAsia="zh-CN"/>
              </w:rPr>
              <w:t>G</w:t>
            </w:r>
            <w:r>
              <w:rPr>
                <w:rFonts w:hint="eastAsia"/>
                <w:color w:val="auto"/>
                <w:u w:val="none" w:color="auto"/>
                <w:lang w:val="en-US" w:eastAsia="zh-CN"/>
              </w:rPr>
              <w:t>1</w:t>
            </w:r>
          </w:p>
        </w:tc>
      </w:tr>
      <w:tr w14:paraId="2DDE50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tcMar>
              <w:top w:w="15" w:type="dxa"/>
              <w:left w:w="15" w:type="dxa"/>
              <w:right w:w="15" w:type="dxa"/>
            </w:tcMar>
            <w:vAlign w:val="center"/>
          </w:tcPr>
          <w:p w14:paraId="2759ED3B">
            <w:pPr>
              <w:pStyle w:val="24"/>
              <w:bidi w:val="0"/>
              <w:rPr>
                <w:rFonts w:hint="default"/>
                <w:color w:val="auto"/>
                <w:u w:val="none" w:color="auto"/>
                <w:lang w:val="en-US" w:eastAsia="zh-CN"/>
              </w:rPr>
            </w:pPr>
            <w:r>
              <w:rPr>
                <w:rFonts w:hint="default"/>
                <w:color w:val="auto"/>
                <w:u w:val="none" w:color="auto"/>
                <w:lang w:val="en-US" w:eastAsia="zh-CN"/>
              </w:rPr>
              <w:t>TSP</w:t>
            </w:r>
          </w:p>
        </w:tc>
        <w:tc>
          <w:tcPr>
            <w:tcW w:w="1810" w:type="pct"/>
            <w:tcBorders>
              <w:tl2br w:val="nil"/>
              <w:tr2bl w:val="nil"/>
            </w:tcBorders>
            <w:noWrap/>
            <w:tcMar>
              <w:top w:w="15" w:type="dxa"/>
              <w:left w:w="15" w:type="dxa"/>
              <w:right w:w="15" w:type="dxa"/>
            </w:tcMar>
            <w:vAlign w:val="center"/>
          </w:tcPr>
          <w:p w14:paraId="7B6E87A0">
            <w:pPr>
              <w:pStyle w:val="24"/>
              <w:bidi w:val="0"/>
              <w:rPr>
                <w:rFonts w:hint="default"/>
                <w:color w:val="auto"/>
                <w:u w:val="none" w:color="auto"/>
                <w:lang w:val="en-US" w:eastAsia="zh-CN"/>
              </w:rPr>
            </w:pPr>
            <w:r>
              <w:rPr>
                <w:rFonts w:hint="eastAsia"/>
                <w:color w:val="auto"/>
                <w:u w:val="none" w:color="auto"/>
                <w:lang w:val="en-US" w:eastAsia="zh-CN"/>
              </w:rPr>
              <w:t>日均值浓度范围</w:t>
            </w:r>
          </w:p>
        </w:tc>
        <w:tc>
          <w:tcPr>
            <w:tcW w:w="2334" w:type="pct"/>
            <w:tcBorders>
              <w:tl2br w:val="nil"/>
              <w:tr2bl w:val="nil"/>
            </w:tcBorders>
            <w:noWrap w:val="0"/>
            <w:tcMar>
              <w:top w:w="15" w:type="dxa"/>
              <w:left w:w="15" w:type="dxa"/>
              <w:right w:w="15" w:type="dxa"/>
            </w:tcMar>
            <w:vAlign w:val="center"/>
          </w:tcPr>
          <w:p w14:paraId="517A4D42">
            <w:pPr>
              <w:pStyle w:val="24"/>
              <w:bidi w:val="0"/>
              <w:rPr>
                <w:rFonts w:hint="default" w:eastAsia="宋体"/>
                <w:color w:val="auto"/>
                <w:u w:val="none" w:color="auto"/>
                <w:lang w:val="en-US" w:eastAsia="zh-CN"/>
              </w:rPr>
            </w:pPr>
            <w:r>
              <w:rPr>
                <w:rFonts w:cs="Times New Roman"/>
              </w:rPr>
              <w:t>0.104~0.116</w:t>
            </w:r>
          </w:p>
        </w:tc>
      </w:tr>
      <w:tr w14:paraId="36A7013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tcMar>
              <w:top w:w="15" w:type="dxa"/>
              <w:left w:w="15" w:type="dxa"/>
              <w:right w:w="15" w:type="dxa"/>
            </w:tcMar>
            <w:vAlign w:val="center"/>
          </w:tcPr>
          <w:p w14:paraId="7900640D">
            <w:pPr>
              <w:pStyle w:val="24"/>
              <w:bidi w:val="0"/>
              <w:rPr>
                <w:rFonts w:hint="default"/>
                <w:color w:val="auto"/>
                <w:u w:val="none" w:color="auto"/>
              </w:rPr>
            </w:pPr>
          </w:p>
        </w:tc>
        <w:tc>
          <w:tcPr>
            <w:tcW w:w="1810" w:type="pct"/>
            <w:tcBorders>
              <w:tl2br w:val="nil"/>
              <w:tr2bl w:val="nil"/>
            </w:tcBorders>
            <w:noWrap/>
            <w:tcMar>
              <w:top w:w="15" w:type="dxa"/>
              <w:left w:w="15" w:type="dxa"/>
              <w:right w:w="15" w:type="dxa"/>
            </w:tcMar>
            <w:vAlign w:val="center"/>
          </w:tcPr>
          <w:p w14:paraId="300DD49C">
            <w:pPr>
              <w:pStyle w:val="24"/>
              <w:bidi w:val="0"/>
              <w:rPr>
                <w:rFonts w:hint="default"/>
                <w:color w:val="auto"/>
                <w:u w:val="none" w:color="auto"/>
                <w:lang w:val="en-US" w:eastAsia="zh-CN"/>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4A46083E">
            <w:pPr>
              <w:pStyle w:val="24"/>
              <w:bidi w:val="0"/>
              <w:rPr>
                <w:rFonts w:hint="default" w:eastAsia="宋体"/>
                <w:color w:val="auto"/>
                <w:u w:val="none" w:color="auto"/>
                <w:lang w:val="en-US" w:eastAsia="zh-CN"/>
              </w:rPr>
            </w:pPr>
            <w:r>
              <w:rPr>
                <w:rFonts w:hint="eastAsia"/>
                <w:color w:val="auto"/>
                <w:u w:val="none" w:color="auto"/>
                <w:lang w:val="en-US" w:eastAsia="zh-CN"/>
              </w:rPr>
              <w:t>0.3</w:t>
            </w:r>
          </w:p>
        </w:tc>
      </w:tr>
      <w:tr w14:paraId="48DEC5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tcMar>
              <w:top w:w="15" w:type="dxa"/>
              <w:left w:w="15" w:type="dxa"/>
              <w:right w:w="15" w:type="dxa"/>
            </w:tcMar>
            <w:vAlign w:val="center"/>
          </w:tcPr>
          <w:p w14:paraId="05E786C3">
            <w:pPr>
              <w:pStyle w:val="24"/>
              <w:bidi w:val="0"/>
              <w:rPr>
                <w:rFonts w:hint="default"/>
                <w:color w:val="auto"/>
                <w:u w:val="none" w:color="auto"/>
              </w:rPr>
            </w:pPr>
          </w:p>
        </w:tc>
        <w:tc>
          <w:tcPr>
            <w:tcW w:w="1810" w:type="pct"/>
            <w:tcBorders>
              <w:tl2br w:val="nil"/>
              <w:tr2bl w:val="nil"/>
            </w:tcBorders>
            <w:noWrap/>
            <w:tcMar>
              <w:top w:w="15" w:type="dxa"/>
              <w:left w:w="15" w:type="dxa"/>
              <w:right w:w="15" w:type="dxa"/>
            </w:tcMar>
            <w:vAlign w:val="center"/>
          </w:tcPr>
          <w:p w14:paraId="0959B8C9">
            <w:pPr>
              <w:pStyle w:val="24"/>
              <w:rPr>
                <w:rFonts w:hint="default"/>
                <w:color w:val="auto"/>
                <w:u w:val="none" w:color="auto"/>
                <w:lang w:val="en-US" w:eastAsia="zh-CN"/>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259CC69C">
            <w:pPr>
              <w:pStyle w:val="24"/>
              <w:bidi w:val="0"/>
              <w:rPr>
                <w:rFonts w:hint="default"/>
                <w:color w:val="auto"/>
                <w:u w:val="none" w:color="auto"/>
                <w:lang w:val="en-US" w:eastAsia="zh-CN"/>
              </w:rPr>
            </w:pPr>
            <w:r>
              <w:rPr>
                <w:rFonts w:hint="eastAsia"/>
                <w:color w:val="auto"/>
                <w:u w:val="none" w:color="auto"/>
                <w:lang w:val="en-US" w:eastAsia="zh-CN"/>
              </w:rPr>
              <w:t>38.67</w:t>
            </w:r>
          </w:p>
        </w:tc>
      </w:tr>
      <w:tr w14:paraId="069B2C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tcMar>
              <w:top w:w="15" w:type="dxa"/>
              <w:left w:w="15" w:type="dxa"/>
              <w:right w:w="15" w:type="dxa"/>
            </w:tcMar>
            <w:vAlign w:val="center"/>
          </w:tcPr>
          <w:p w14:paraId="134D701B">
            <w:pPr>
              <w:pStyle w:val="24"/>
              <w:bidi w:val="0"/>
              <w:rPr>
                <w:rFonts w:hint="default"/>
                <w:color w:val="auto"/>
                <w:u w:val="none" w:color="auto"/>
              </w:rPr>
            </w:pPr>
          </w:p>
        </w:tc>
        <w:tc>
          <w:tcPr>
            <w:tcW w:w="1810" w:type="pct"/>
            <w:tcBorders>
              <w:tl2br w:val="nil"/>
              <w:tr2bl w:val="nil"/>
            </w:tcBorders>
            <w:noWrap/>
            <w:tcMar>
              <w:top w:w="15" w:type="dxa"/>
              <w:left w:w="15" w:type="dxa"/>
              <w:right w:w="15" w:type="dxa"/>
            </w:tcMar>
            <w:vAlign w:val="center"/>
          </w:tcPr>
          <w:p w14:paraId="4FF944A8">
            <w:pPr>
              <w:pStyle w:val="24"/>
              <w:bidi w:val="0"/>
              <w:rPr>
                <w:rFonts w:hint="default"/>
                <w:color w:val="auto"/>
                <w:u w:val="none" w:color="auto"/>
                <w:lang w:val="en-US" w:eastAsia="zh-CN"/>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6093BB39">
            <w:pPr>
              <w:pStyle w:val="24"/>
              <w:bidi w:val="0"/>
              <w:rPr>
                <w:rFonts w:hint="eastAsia" w:eastAsia="宋体"/>
                <w:color w:val="auto"/>
                <w:u w:val="none" w:color="auto"/>
                <w:lang w:val="en-US" w:eastAsia="zh-CN"/>
              </w:rPr>
            </w:pPr>
            <w:r>
              <w:rPr>
                <w:rFonts w:hint="eastAsia"/>
                <w:color w:val="auto"/>
                <w:u w:val="none" w:color="auto"/>
                <w:lang w:val="en-US" w:eastAsia="zh-CN"/>
              </w:rPr>
              <w:t>0</w:t>
            </w:r>
          </w:p>
        </w:tc>
      </w:tr>
      <w:tr w14:paraId="2C6B186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val="0"/>
            <w:tcMar>
              <w:top w:w="15" w:type="dxa"/>
              <w:left w:w="15" w:type="dxa"/>
              <w:right w:w="15" w:type="dxa"/>
            </w:tcMar>
            <w:vAlign w:val="center"/>
          </w:tcPr>
          <w:p w14:paraId="69F19A48">
            <w:pPr>
              <w:pStyle w:val="24"/>
              <w:bidi w:val="0"/>
              <w:rPr>
                <w:rFonts w:hint="default"/>
                <w:color w:val="auto"/>
                <w:u w:val="none" w:color="auto"/>
                <w:lang w:val="en-US" w:eastAsia="zh-CN"/>
              </w:rPr>
            </w:pPr>
            <w:r>
              <w:rPr>
                <w:rFonts w:hint="default"/>
                <w:color w:val="auto"/>
                <w:u w:val="none" w:color="auto"/>
                <w:lang w:val="en-US" w:eastAsia="zh-CN"/>
              </w:rPr>
              <w:t>TVOC</w:t>
            </w:r>
          </w:p>
        </w:tc>
        <w:tc>
          <w:tcPr>
            <w:tcW w:w="1810" w:type="pct"/>
            <w:tcBorders>
              <w:tl2br w:val="nil"/>
              <w:tr2bl w:val="nil"/>
            </w:tcBorders>
            <w:noWrap w:val="0"/>
            <w:tcMar>
              <w:top w:w="15" w:type="dxa"/>
              <w:left w:w="15" w:type="dxa"/>
              <w:right w:w="15" w:type="dxa"/>
            </w:tcMar>
            <w:vAlign w:val="center"/>
          </w:tcPr>
          <w:p w14:paraId="2061471B">
            <w:pPr>
              <w:pStyle w:val="24"/>
              <w:rPr>
                <w:rFonts w:hint="default"/>
                <w:color w:val="auto"/>
                <w:u w:val="none" w:color="auto"/>
                <w:lang w:val="en-US" w:eastAsia="zh-CN"/>
              </w:rPr>
            </w:pPr>
            <w:r>
              <w:rPr>
                <w:rFonts w:hint="default" w:ascii="Times New Roman" w:hAnsi="Times New Roman" w:eastAsia="宋体" w:cs="Times New Roman"/>
                <w:color w:val="auto"/>
                <w:kern w:val="2"/>
                <w:sz w:val="21"/>
                <w:szCs w:val="21"/>
                <w:u w:val="none" w:color="auto"/>
                <w:lang w:val="en-US" w:eastAsia="zh-CN"/>
              </w:rPr>
              <w:t>8小时平均浓度值范围</w:t>
            </w:r>
          </w:p>
        </w:tc>
        <w:tc>
          <w:tcPr>
            <w:tcW w:w="2334" w:type="pct"/>
            <w:tcBorders>
              <w:tl2br w:val="nil"/>
              <w:tr2bl w:val="nil"/>
            </w:tcBorders>
            <w:noWrap w:val="0"/>
            <w:tcMar>
              <w:top w:w="15" w:type="dxa"/>
              <w:left w:w="15" w:type="dxa"/>
              <w:right w:w="15" w:type="dxa"/>
            </w:tcMar>
            <w:vAlign w:val="center"/>
          </w:tcPr>
          <w:p w14:paraId="37C93C1F">
            <w:pPr>
              <w:pStyle w:val="24"/>
              <w:bidi w:val="0"/>
              <w:rPr>
                <w:rFonts w:hint="default" w:eastAsia="宋体"/>
                <w:color w:val="auto"/>
                <w:u w:val="none" w:color="auto"/>
                <w:lang w:val="en-US" w:eastAsia="zh-CN"/>
              </w:rPr>
            </w:pPr>
            <w:r>
              <w:rPr>
                <w:rFonts w:cs="Times New Roman"/>
              </w:rPr>
              <w:t>0.0138~0.0274</w:t>
            </w:r>
          </w:p>
        </w:tc>
      </w:tr>
      <w:tr w14:paraId="17F10F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50B17F75">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26E51328">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6FBC28BB">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0.6</w:t>
            </w:r>
          </w:p>
        </w:tc>
      </w:tr>
      <w:tr w14:paraId="378B92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4B7164DC">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28BA5328">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5E45482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4.57</w:t>
            </w:r>
          </w:p>
        </w:tc>
      </w:tr>
      <w:tr w14:paraId="7F709B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2A36E646">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064075C2">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0D42481A">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w:t>
            </w:r>
          </w:p>
        </w:tc>
      </w:tr>
      <w:tr w14:paraId="66D856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val="0"/>
            <w:tcMar>
              <w:top w:w="15" w:type="dxa"/>
              <w:left w:w="15" w:type="dxa"/>
              <w:right w:w="15" w:type="dxa"/>
            </w:tcMar>
            <w:vAlign w:val="center"/>
          </w:tcPr>
          <w:p w14:paraId="6785F3B4">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非甲烷总烃</w:t>
            </w:r>
          </w:p>
          <w:p w14:paraId="2358EBC4">
            <w:pPr>
              <w:pStyle w:val="24"/>
              <w:bidi w:val="0"/>
              <w:rPr>
                <w:rFonts w:hint="eastAsia"/>
                <w:color w:val="auto"/>
                <w:u w:val="none" w:color="auto"/>
                <w:lang w:val="en-US" w:eastAsia="zh-CN"/>
              </w:rPr>
            </w:pPr>
          </w:p>
        </w:tc>
        <w:tc>
          <w:tcPr>
            <w:tcW w:w="1810" w:type="pct"/>
            <w:tcBorders>
              <w:tl2br w:val="nil"/>
              <w:tr2bl w:val="nil"/>
            </w:tcBorders>
            <w:noWrap w:val="0"/>
            <w:tcMar>
              <w:top w:w="15" w:type="dxa"/>
              <w:left w:w="15" w:type="dxa"/>
              <w:right w:w="15" w:type="dxa"/>
            </w:tcMar>
            <w:vAlign w:val="center"/>
          </w:tcPr>
          <w:p w14:paraId="5FA6C7E7">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小时均值浓度范围</w:t>
            </w:r>
          </w:p>
        </w:tc>
        <w:tc>
          <w:tcPr>
            <w:tcW w:w="2334" w:type="pct"/>
            <w:tcBorders>
              <w:tl2br w:val="nil"/>
              <w:tr2bl w:val="nil"/>
            </w:tcBorders>
            <w:noWrap w:val="0"/>
            <w:tcMar>
              <w:top w:w="15" w:type="dxa"/>
              <w:left w:w="15" w:type="dxa"/>
              <w:right w:w="15" w:type="dxa"/>
            </w:tcMar>
            <w:vAlign w:val="center"/>
          </w:tcPr>
          <w:p w14:paraId="2F947F55">
            <w:pPr>
              <w:pStyle w:val="24"/>
              <w:bidi w:val="0"/>
              <w:rPr>
                <w:rFonts w:hint="default" w:ascii="Times New Roman" w:hAnsi="Times New Roman" w:eastAsia="宋体" w:cs="Times New Roman"/>
                <w:color w:val="auto"/>
                <w:kern w:val="2"/>
                <w:sz w:val="21"/>
                <w:szCs w:val="21"/>
                <w:u w:val="none" w:color="auto"/>
                <w:lang w:val="en-US" w:eastAsia="zh-CN" w:bidi="ar-SA"/>
              </w:rPr>
            </w:pPr>
            <w:r>
              <w:rPr>
                <w:rFonts w:cs="Times New Roman"/>
              </w:rPr>
              <w:t>0.33~0.50</w:t>
            </w:r>
          </w:p>
        </w:tc>
      </w:tr>
      <w:tr w14:paraId="4BAED0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080AB622">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28ED543F">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3A01EE75">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w:t>
            </w:r>
          </w:p>
        </w:tc>
      </w:tr>
      <w:tr w14:paraId="6A744A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41CA9095">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690C45CA">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701A2473">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25</w:t>
            </w:r>
          </w:p>
        </w:tc>
      </w:tr>
      <w:tr w14:paraId="128354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2763F9CF">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71720D47">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0E9E3074">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0</w:t>
            </w:r>
          </w:p>
        </w:tc>
      </w:tr>
      <w:tr w14:paraId="78469C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val="0"/>
            <w:tcMar>
              <w:top w:w="15" w:type="dxa"/>
              <w:left w:w="15" w:type="dxa"/>
              <w:right w:w="15" w:type="dxa"/>
            </w:tcMar>
            <w:vAlign w:val="center"/>
          </w:tcPr>
          <w:p w14:paraId="05FA9F79">
            <w:pPr>
              <w:pStyle w:val="24"/>
              <w:bidi w:val="0"/>
              <w:rPr>
                <w:rFonts w:hint="default"/>
                <w:color w:val="auto"/>
                <w:u w:val="none" w:color="auto"/>
                <w:lang w:val="en-US" w:eastAsia="zh-CN"/>
              </w:rPr>
            </w:pPr>
            <w:r>
              <w:rPr>
                <w:rFonts w:hint="eastAsia"/>
                <w:color w:val="auto"/>
                <w:u w:val="none" w:color="auto"/>
                <w:lang w:val="en-US" w:eastAsia="zh-CN"/>
              </w:rPr>
              <w:t>氯化氢</w:t>
            </w:r>
          </w:p>
        </w:tc>
        <w:tc>
          <w:tcPr>
            <w:tcW w:w="1810" w:type="pct"/>
            <w:tcBorders>
              <w:tl2br w:val="nil"/>
              <w:tr2bl w:val="nil"/>
            </w:tcBorders>
            <w:noWrap w:val="0"/>
            <w:tcMar>
              <w:top w:w="15" w:type="dxa"/>
              <w:left w:w="15" w:type="dxa"/>
              <w:right w:w="15" w:type="dxa"/>
            </w:tcMar>
            <w:vAlign w:val="center"/>
          </w:tcPr>
          <w:p w14:paraId="3EE79D59">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小时均值浓度</w:t>
            </w:r>
          </w:p>
        </w:tc>
        <w:tc>
          <w:tcPr>
            <w:tcW w:w="2334" w:type="pct"/>
            <w:tcBorders>
              <w:tl2br w:val="nil"/>
              <w:tr2bl w:val="nil"/>
            </w:tcBorders>
            <w:noWrap w:val="0"/>
            <w:tcMar>
              <w:top w:w="15" w:type="dxa"/>
              <w:left w:w="15" w:type="dxa"/>
              <w:right w:w="15" w:type="dxa"/>
            </w:tcMar>
            <w:vAlign w:val="center"/>
          </w:tcPr>
          <w:p w14:paraId="12F6D60F">
            <w:pPr>
              <w:pStyle w:val="24"/>
              <w:bidi w:val="0"/>
              <w:rPr>
                <w:rFonts w:hint="default"/>
                <w:color w:val="auto"/>
                <w:u w:val="none" w:color="auto"/>
                <w:lang w:val="en-US" w:eastAsia="zh-CN"/>
              </w:rPr>
            </w:pPr>
            <w:r>
              <w:rPr>
                <w:rFonts w:cs="Times New Roman"/>
              </w:rPr>
              <w:t>0.02L</w:t>
            </w:r>
          </w:p>
        </w:tc>
      </w:tr>
      <w:tr w14:paraId="6B1458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14DC4367">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4F451A5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195E356A">
            <w:pPr>
              <w:pStyle w:val="24"/>
              <w:bidi w:val="0"/>
              <w:rPr>
                <w:rFonts w:hint="default"/>
                <w:color w:val="auto"/>
                <w:u w:val="none" w:color="auto"/>
                <w:lang w:val="en-US" w:eastAsia="zh-CN"/>
              </w:rPr>
            </w:pPr>
            <w:r>
              <w:rPr>
                <w:rFonts w:hint="eastAsia"/>
                <w:color w:val="auto"/>
                <w:u w:val="none" w:color="auto"/>
                <w:lang w:val="en-US" w:eastAsia="zh-CN"/>
              </w:rPr>
              <w:t>0.05</w:t>
            </w:r>
          </w:p>
        </w:tc>
      </w:tr>
      <w:tr w14:paraId="1C6559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792E7B9A">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0FB976B5">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7EB2DCD5">
            <w:pPr>
              <w:pStyle w:val="24"/>
              <w:bidi w:val="0"/>
              <w:rPr>
                <w:rFonts w:hint="default"/>
                <w:color w:val="auto"/>
                <w:u w:val="none" w:color="auto"/>
                <w:lang w:val="en-US" w:eastAsia="zh-CN"/>
              </w:rPr>
            </w:pPr>
            <w:r>
              <w:rPr>
                <w:rFonts w:hint="eastAsia"/>
                <w:color w:val="auto"/>
                <w:u w:val="none" w:color="auto"/>
                <w:lang w:val="en-US" w:eastAsia="zh-CN"/>
              </w:rPr>
              <w:t>/</w:t>
            </w:r>
          </w:p>
        </w:tc>
      </w:tr>
      <w:tr w14:paraId="35B34F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4878308A">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29D0180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0CA621EE">
            <w:pPr>
              <w:pStyle w:val="24"/>
              <w:bidi w:val="0"/>
              <w:rPr>
                <w:rFonts w:hint="default"/>
                <w:color w:val="auto"/>
                <w:u w:val="none" w:color="auto"/>
                <w:lang w:val="en-US" w:eastAsia="zh-CN"/>
              </w:rPr>
            </w:pPr>
            <w:r>
              <w:rPr>
                <w:rFonts w:hint="eastAsia"/>
                <w:color w:val="auto"/>
                <w:u w:val="none" w:color="auto"/>
                <w:lang w:val="en-US" w:eastAsia="zh-CN"/>
              </w:rPr>
              <w:t>0</w:t>
            </w:r>
          </w:p>
        </w:tc>
      </w:tr>
      <w:tr w14:paraId="591239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val="0"/>
            <w:tcMar>
              <w:top w:w="15" w:type="dxa"/>
              <w:left w:w="15" w:type="dxa"/>
              <w:right w:w="15" w:type="dxa"/>
            </w:tcMar>
            <w:vAlign w:val="center"/>
          </w:tcPr>
          <w:p w14:paraId="51C1313B">
            <w:pPr>
              <w:pStyle w:val="24"/>
              <w:bidi w:val="0"/>
              <w:rPr>
                <w:rFonts w:hint="eastAsia" w:eastAsia="宋体"/>
                <w:color w:val="auto"/>
                <w:u w:val="none" w:color="auto"/>
                <w:lang w:val="en-US" w:eastAsia="zh-CN"/>
              </w:rPr>
            </w:pPr>
            <w:r>
              <w:rPr>
                <w:rFonts w:hint="eastAsia"/>
                <w:color w:val="auto"/>
                <w:u w:val="none" w:color="auto"/>
                <w:lang w:val="en-US" w:eastAsia="zh-CN"/>
              </w:rPr>
              <w:t>二甲苯</w:t>
            </w:r>
          </w:p>
        </w:tc>
        <w:tc>
          <w:tcPr>
            <w:tcW w:w="1810" w:type="pct"/>
            <w:tcBorders>
              <w:tl2br w:val="nil"/>
              <w:tr2bl w:val="nil"/>
            </w:tcBorders>
            <w:noWrap w:val="0"/>
            <w:tcMar>
              <w:top w:w="15" w:type="dxa"/>
              <w:left w:w="15" w:type="dxa"/>
              <w:right w:w="15" w:type="dxa"/>
            </w:tcMar>
            <w:vAlign w:val="center"/>
          </w:tcPr>
          <w:p w14:paraId="26B2ED78">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小时均值浓度</w:t>
            </w:r>
          </w:p>
        </w:tc>
        <w:tc>
          <w:tcPr>
            <w:tcW w:w="2334" w:type="pct"/>
            <w:tcBorders>
              <w:tl2br w:val="nil"/>
              <w:tr2bl w:val="nil"/>
            </w:tcBorders>
            <w:noWrap w:val="0"/>
            <w:tcMar>
              <w:top w:w="15" w:type="dxa"/>
              <w:left w:w="15" w:type="dxa"/>
              <w:right w:w="15" w:type="dxa"/>
            </w:tcMar>
            <w:vAlign w:val="center"/>
          </w:tcPr>
          <w:p w14:paraId="7AD56C70">
            <w:pPr>
              <w:pStyle w:val="24"/>
              <w:bidi w:val="0"/>
              <w:rPr>
                <w:rFonts w:hint="default"/>
                <w:color w:val="auto"/>
                <w:u w:val="none" w:color="auto"/>
                <w:lang w:val="en-US" w:eastAsia="zh-CN"/>
              </w:rPr>
            </w:pPr>
            <w:r>
              <w:rPr>
                <w:rFonts w:cs="Times New Roman"/>
              </w:rPr>
              <w:t>0.0015L</w:t>
            </w:r>
          </w:p>
        </w:tc>
      </w:tr>
      <w:tr w14:paraId="5ACDFD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44CBC37D">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5D6C2E0C">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0BA85188">
            <w:pPr>
              <w:pStyle w:val="24"/>
              <w:bidi w:val="0"/>
              <w:rPr>
                <w:rFonts w:hint="default"/>
                <w:color w:val="auto"/>
                <w:u w:val="none" w:color="auto"/>
                <w:lang w:val="en-US" w:eastAsia="zh-CN"/>
              </w:rPr>
            </w:pPr>
            <w:r>
              <w:rPr>
                <w:rFonts w:hint="eastAsia"/>
                <w:color w:val="auto"/>
                <w:u w:val="none" w:color="auto"/>
                <w:lang w:val="en-US" w:eastAsia="zh-CN"/>
              </w:rPr>
              <w:t>0.2</w:t>
            </w:r>
          </w:p>
        </w:tc>
      </w:tr>
      <w:tr w14:paraId="7E9C67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1512FC3C">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127EE1AE">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7B358325">
            <w:pPr>
              <w:pStyle w:val="24"/>
              <w:bidi w:val="0"/>
              <w:rPr>
                <w:rFonts w:hint="default"/>
                <w:color w:val="auto"/>
                <w:u w:val="none" w:color="auto"/>
                <w:lang w:val="en-US" w:eastAsia="zh-CN"/>
              </w:rPr>
            </w:pPr>
            <w:r>
              <w:rPr>
                <w:rFonts w:hint="eastAsia"/>
                <w:color w:val="auto"/>
                <w:u w:val="none" w:color="auto"/>
                <w:lang w:val="en-US" w:eastAsia="zh-CN"/>
              </w:rPr>
              <w:t>/</w:t>
            </w:r>
          </w:p>
        </w:tc>
      </w:tr>
      <w:tr w14:paraId="3DD4EB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0E8216A2">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66BC5C70">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568E1E98">
            <w:pPr>
              <w:pStyle w:val="24"/>
              <w:bidi w:val="0"/>
              <w:rPr>
                <w:rFonts w:hint="default"/>
                <w:color w:val="auto"/>
                <w:u w:val="none" w:color="auto"/>
                <w:lang w:val="en-US" w:eastAsia="zh-CN"/>
              </w:rPr>
            </w:pPr>
            <w:r>
              <w:rPr>
                <w:rFonts w:hint="eastAsia"/>
                <w:color w:val="auto"/>
                <w:u w:val="none" w:color="auto"/>
                <w:lang w:val="en-US" w:eastAsia="zh-CN"/>
              </w:rPr>
              <w:t>0</w:t>
            </w:r>
          </w:p>
        </w:tc>
      </w:tr>
      <w:tr w14:paraId="6D0B4E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restart"/>
            <w:tcBorders>
              <w:tl2br w:val="nil"/>
              <w:tr2bl w:val="nil"/>
            </w:tcBorders>
            <w:noWrap w:val="0"/>
            <w:tcMar>
              <w:top w:w="15" w:type="dxa"/>
              <w:left w:w="15" w:type="dxa"/>
              <w:right w:w="15" w:type="dxa"/>
            </w:tcMar>
            <w:vAlign w:val="center"/>
          </w:tcPr>
          <w:p w14:paraId="32491625">
            <w:pPr>
              <w:pStyle w:val="24"/>
              <w:bidi w:val="0"/>
              <w:rPr>
                <w:rFonts w:hint="default" w:eastAsia="宋体"/>
                <w:color w:val="auto"/>
                <w:u w:val="none" w:color="auto"/>
                <w:lang w:val="en-US" w:eastAsia="zh-CN"/>
              </w:rPr>
            </w:pPr>
            <w:r>
              <w:rPr>
                <w:rFonts w:hint="eastAsia"/>
                <w:color w:val="auto"/>
                <w:u w:val="none" w:color="auto"/>
                <w:lang w:val="en-US" w:eastAsia="zh-CN"/>
              </w:rPr>
              <w:t>臭气浓度</w:t>
            </w:r>
          </w:p>
        </w:tc>
        <w:tc>
          <w:tcPr>
            <w:tcW w:w="1810" w:type="pct"/>
            <w:tcBorders>
              <w:tl2br w:val="nil"/>
              <w:tr2bl w:val="nil"/>
            </w:tcBorders>
            <w:noWrap w:val="0"/>
            <w:tcMar>
              <w:top w:w="15" w:type="dxa"/>
              <w:left w:w="15" w:type="dxa"/>
              <w:right w:w="15" w:type="dxa"/>
            </w:tcMar>
            <w:vAlign w:val="center"/>
          </w:tcPr>
          <w:p w14:paraId="164CE75B">
            <w:pPr>
              <w:pStyle w:val="24"/>
              <w:bidi w:val="0"/>
              <w:rPr>
                <w:rFonts w:hint="default" w:ascii="Times New Roman" w:hAnsi="Times New Roman" w:cs="Times New Roman"/>
                <w:color w:val="auto"/>
                <w:u w:val="none" w:color="auto"/>
              </w:rPr>
            </w:pPr>
            <w:r>
              <w:rPr>
                <w:rFonts w:hint="eastAsia" w:cs="Times New Roman"/>
                <w:color w:val="auto"/>
                <w:kern w:val="2"/>
                <w:sz w:val="21"/>
                <w:szCs w:val="21"/>
                <w:u w:val="none" w:color="auto"/>
                <w:lang w:val="en-US" w:eastAsia="zh-CN" w:bidi="ar-SA"/>
              </w:rPr>
              <w:t>小时均值浓度</w:t>
            </w:r>
          </w:p>
        </w:tc>
        <w:tc>
          <w:tcPr>
            <w:tcW w:w="2334" w:type="pct"/>
            <w:tcBorders>
              <w:tl2br w:val="nil"/>
              <w:tr2bl w:val="nil"/>
            </w:tcBorders>
            <w:noWrap w:val="0"/>
            <w:tcMar>
              <w:top w:w="15" w:type="dxa"/>
              <w:left w:w="15" w:type="dxa"/>
              <w:right w:w="15" w:type="dxa"/>
            </w:tcMar>
            <w:vAlign w:val="center"/>
          </w:tcPr>
          <w:p w14:paraId="7D672821">
            <w:pPr>
              <w:pStyle w:val="24"/>
              <w:bidi w:val="0"/>
              <w:rPr>
                <w:rFonts w:hint="default"/>
                <w:color w:val="auto"/>
                <w:u w:val="none" w:color="auto"/>
                <w:lang w:val="en-US" w:eastAsia="zh-CN"/>
              </w:rPr>
            </w:pPr>
            <w:r>
              <w:rPr>
                <w:rFonts w:cs="Times New Roman"/>
              </w:rPr>
              <w:t>&lt;10</w:t>
            </w:r>
          </w:p>
        </w:tc>
      </w:tr>
      <w:tr w14:paraId="6BF10E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7E4D7A16">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0D7E7AF7">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标准值</w:t>
            </w:r>
          </w:p>
        </w:tc>
        <w:tc>
          <w:tcPr>
            <w:tcW w:w="2334" w:type="pct"/>
            <w:tcBorders>
              <w:tl2br w:val="nil"/>
              <w:tr2bl w:val="nil"/>
            </w:tcBorders>
            <w:noWrap w:val="0"/>
            <w:tcMar>
              <w:top w:w="15" w:type="dxa"/>
              <w:left w:w="15" w:type="dxa"/>
              <w:right w:w="15" w:type="dxa"/>
            </w:tcMar>
            <w:vAlign w:val="center"/>
          </w:tcPr>
          <w:p w14:paraId="0C1CF00D">
            <w:pPr>
              <w:pStyle w:val="24"/>
              <w:bidi w:val="0"/>
              <w:rPr>
                <w:rFonts w:hint="default"/>
                <w:color w:val="auto"/>
                <w:u w:val="none" w:color="auto"/>
                <w:lang w:val="en-US" w:eastAsia="zh-CN"/>
              </w:rPr>
            </w:pPr>
            <w:r>
              <w:rPr>
                <w:rFonts w:hint="eastAsia"/>
                <w:color w:val="auto"/>
                <w:u w:val="none" w:color="auto"/>
                <w:lang w:val="en-US" w:eastAsia="zh-CN"/>
              </w:rPr>
              <w:t>/</w:t>
            </w:r>
          </w:p>
        </w:tc>
      </w:tr>
      <w:tr w14:paraId="74A972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5FDC7053">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4DA236AB">
            <w:pPr>
              <w:pStyle w:val="24"/>
              <w:rPr>
                <w:rFonts w:hint="default" w:ascii="Times New Roman" w:hAnsi="Times New Roman" w:cs="Times New Roman"/>
                <w:color w:val="auto"/>
                <w:u w:val="none" w:color="auto"/>
              </w:rPr>
            </w:pPr>
            <w:r>
              <w:rPr>
                <w:rFonts w:hint="eastAsia" w:ascii="Times New Roman" w:hAnsi="Times New Roman" w:eastAsia="宋体" w:cs="Times New Roman"/>
                <w:color w:val="auto"/>
                <w:kern w:val="2"/>
                <w:sz w:val="21"/>
                <w:szCs w:val="21"/>
                <w:u w:val="none" w:color="auto"/>
                <w:lang w:val="en-US" w:eastAsia="zh-CN"/>
              </w:rPr>
              <w:t>最大浓度占标率（%）</w:t>
            </w:r>
          </w:p>
        </w:tc>
        <w:tc>
          <w:tcPr>
            <w:tcW w:w="2334" w:type="pct"/>
            <w:tcBorders>
              <w:tl2br w:val="nil"/>
              <w:tr2bl w:val="nil"/>
            </w:tcBorders>
            <w:noWrap w:val="0"/>
            <w:tcMar>
              <w:top w:w="15" w:type="dxa"/>
              <w:left w:w="15" w:type="dxa"/>
              <w:right w:w="15" w:type="dxa"/>
            </w:tcMar>
            <w:vAlign w:val="center"/>
          </w:tcPr>
          <w:p w14:paraId="17D47E3E">
            <w:pPr>
              <w:pStyle w:val="24"/>
              <w:bidi w:val="0"/>
              <w:rPr>
                <w:rFonts w:hint="default"/>
                <w:color w:val="auto"/>
                <w:u w:val="none" w:color="auto"/>
                <w:lang w:val="en-US" w:eastAsia="zh-CN"/>
              </w:rPr>
            </w:pPr>
            <w:r>
              <w:rPr>
                <w:rFonts w:hint="eastAsia"/>
                <w:color w:val="auto"/>
                <w:u w:val="none" w:color="auto"/>
                <w:lang w:val="en-US" w:eastAsia="zh-CN"/>
              </w:rPr>
              <w:t>/</w:t>
            </w:r>
          </w:p>
        </w:tc>
      </w:tr>
      <w:tr w14:paraId="3A5C04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55" w:type="pct"/>
            <w:vMerge w:val="continue"/>
            <w:tcBorders>
              <w:tl2br w:val="nil"/>
              <w:tr2bl w:val="nil"/>
            </w:tcBorders>
            <w:noWrap w:val="0"/>
            <w:tcMar>
              <w:top w:w="15" w:type="dxa"/>
              <w:left w:w="15" w:type="dxa"/>
              <w:right w:w="15" w:type="dxa"/>
            </w:tcMar>
            <w:vAlign w:val="center"/>
          </w:tcPr>
          <w:p w14:paraId="6741B380">
            <w:pPr>
              <w:pStyle w:val="24"/>
              <w:bidi w:val="0"/>
              <w:rPr>
                <w:rFonts w:hint="default"/>
                <w:color w:val="auto"/>
                <w:u w:val="none" w:color="auto"/>
              </w:rPr>
            </w:pPr>
          </w:p>
        </w:tc>
        <w:tc>
          <w:tcPr>
            <w:tcW w:w="1810" w:type="pct"/>
            <w:tcBorders>
              <w:tl2br w:val="nil"/>
              <w:tr2bl w:val="nil"/>
            </w:tcBorders>
            <w:noWrap w:val="0"/>
            <w:tcMar>
              <w:top w:w="15" w:type="dxa"/>
              <w:left w:w="15" w:type="dxa"/>
              <w:right w:w="15" w:type="dxa"/>
            </w:tcMar>
            <w:vAlign w:val="center"/>
          </w:tcPr>
          <w:p w14:paraId="3B0B14D6">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超标率（%）</w:t>
            </w:r>
          </w:p>
        </w:tc>
        <w:tc>
          <w:tcPr>
            <w:tcW w:w="2334" w:type="pct"/>
            <w:tcBorders>
              <w:tl2br w:val="nil"/>
              <w:tr2bl w:val="nil"/>
            </w:tcBorders>
            <w:noWrap w:val="0"/>
            <w:tcMar>
              <w:top w:w="15" w:type="dxa"/>
              <w:left w:w="15" w:type="dxa"/>
              <w:right w:w="15" w:type="dxa"/>
            </w:tcMar>
            <w:vAlign w:val="center"/>
          </w:tcPr>
          <w:p w14:paraId="7BA8FA7F">
            <w:pPr>
              <w:pStyle w:val="24"/>
              <w:bidi w:val="0"/>
              <w:rPr>
                <w:rFonts w:hint="default"/>
                <w:color w:val="auto"/>
                <w:u w:val="none" w:color="auto"/>
                <w:lang w:val="en-US" w:eastAsia="zh-CN"/>
              </w:rPr>
            </w:pPr>
            <w:r>
              <w:rPr>
                <w:rFonts w:hint="eastAsia"/>
                <w:color w:val="auto"/>
                <w:u w:val="none" w:color="auto"/>
                <w:lang w:val="en-US" w:eastAsia="zh-CN"/>
              </w:rPr>
              <w:t>/</w:t>
            </w:r>
          </w:p>
        </w:tc>
      </w:tr>
    </w:tbl>
    <w:p w14:paraId="7BA0B76D">
      <w:pPr>
        <w:pStyle w:val="20"/>
        <w:bidi w:val="0"/>
        <w:rPr>
          <w:rFonts w:hint="default"/>
          <w:color w:val="auto"/>
          <w:u w:val="none" w:color="auto"/>
          <w:lang w:eastAsia="zh-CN"/>
        </w:rPr>
      </w:pPr>
      <w:r>
        <w:rPr>
          <w:color w:val="auto"/>
          <w:u w:val="none" w:color="auto"/>
        </w:rPr>
        <w:t>根据表</w:t>
      </w:r>
      <w:r>
        <w:rPr>
          <w:rFonts w:hint="eastAsia"/>
          <w:color w:val="auto"/>
          <w:u w:val="none" w:color="auto"/>
          <w:lang w:val="en-US" w:eastAsia="zh-CN"/>
        </w:rPr>
        <w:t>5</w:t>
      </w:r>
      <w:r>
        <w:rPr>
          <w:color w:val="auto"/>
          <w:u w:val="none" w:color="auto"/>
        </w:rPr>
        <w:t>.3-2的监测结果表明，TSP满足《环境空气质量标准》（GB3095-2012）二级标准；TVOC</w:t>
      </w:r>
      <w:r>
        <w:rPr>
          <w:rFonts w:hint="eastAsia"/>
          <w:color w:val="auto"/>
          <w:u w:val="none" w:color="auto"/>
          <w:lang w:eastAsia="zh-CN"/>
        </w:rPr>
        <w:t>、</w:t>
      </w:r>
      <w:r>
        <w:rPr>
          <w:rFonts w:hint="eastAsia"/>
          <w:color w:val="auto"/>
          <w:u w:val="none" w:color="auto"/>
          <w:lang w:val="en-US" w:eastAsia="zh-CN"/>
        </w:rPr>
        <w:t>二甲苯、氯化氢</w:t>
      </w:r>
      <w:r>
        <w:rPr>
          <w:color w:val="auto"/>
          <w:u w:val="none" w:color="auto"/>
        </w:rPr>
        <w:t>能满足《环境影响评价技术导则 大气环境》(HJ2.2-2018)中的附录D标准中的相应的标准</w:t>
      </w:r>
      <w:r>
        <w:rPr>
          <w:rFonts w:hint="eastAsia"/>
          <w:color w:val="auto"/>
          <w:u w:val="none" w:color="auto"/>
          <w:lang w:eastAsia="zh-CN"/>
        </w:rPr>
        <w:t>；</w:t>
      </w:r>
      <w:r>
        <w:rPr>
          <w:rFonts w:hint="default" w:ascii="Times New Roman" w:hAnsi="Times New Roman" w:eastAsia="宋体" w:cs="Times New Roman"/>
          <w:color w:val="auto"/>
          <w:u w:val="none" w:color="auto"/>
        </w:rPr>
        <w:t>非甲烷总烃满足《大气污染物综合排放标准详解》中的环境质量标准一次浓度2mg/m</w:t>
      </w:r>
      <w:r>
        <w:rPr>
          <w:rFonts w:hint="default" w:ascii="Times New Roman" w:hAnsi="Times New Roman" w:eastAsia="宋体" w:cs="Times New Roman"/>
          <w:color w:val="auto"/>
          <w:u w:val="none" w:color="auto"/>
          <w:vertAlign w:val="superscript"/>
        </w:rPr>
        <w:t>3</w:t>
      </w:r>
      <w:r>
        <w:rPr>
          <w:color w:val="auto"/>
          <w:u w:val="none" w:color="auto"/>
        </w:rPr>
        <w:t>。</w:t>
      </w:r>
    </w:p>
    <w:p w14:paraId="5876313E">
      <w:pPr>
        <w:pStyle w:val="4"/>
        <w:rPr>
          <w:rFonts w:hint="default" w:ascii="Times New Roman" w:hAnsi="Times New Roman" w:cs="Times New Roman"/>
          <w:color w:val="auto"/>
          <w:u w:val="none" w:color="auto"/>
        </w:rPr>
      </w:pPr>
      <w:bookmarkStart w:id="905" w:name="_Toc18209"/>
      <w:bookmarkStart w:id="906" w:name="_Toc32501"/>
      <w:bookmarkStart w:id="907" w:name="_Toc8741"/>
      <w:bookmarkStart w:id="908" w:name="_Toc22534"/>
      <w:bookmarkStart w:id="909" w:name="_Toc4932"/>
      <w:bookmarkStart w:id="910" w:name="_Toc28329"/>
      <w:bookmarkStart w:id="911" w:name="_Toc17035"/>
      <w:bookmarkStart w:id="912" w:name="_Toc8413"/>
      <w:bookmarkStart w:id="913" w:name="_Toc27759"/>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t>.2地表水环境现状监测与评价</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p>
    <w:p w14:paraId="6886C6FB">
      <w:pPr>
        <w:pStyle w:val="20"/>
        <w:bidi w:val="0"/>
        <w:rPr>
          <w:rFonts w:hint="default"/>
          <w:color w:val="auto"/>
          <w:u w:val="none" w:color="auto"/>
        </w:rPr>
      </w:pPr>
      <w:bookmarkStart w:id="914" w:name="_Toc641"/>
      <w:bookmarkStart w:id="915" w:name="_Toc17874"/>
      <w:bookmarkStart w:id="916" w:name="_Toc2689"/>
      <w:bookmarkStart w:id="917" w:name="_Toc14636"/>
      <w:r>
        <w:rPr>
          <w:rFonts w:hint="default"/>
          <w:color w:val="auto"/>
          <w:u w:val="none" w:color="auto"/>
        </w:rPr>
        <w:t>本项目区域的主要地表水体为汨罗江。本次评价引用岳阳市汨罗生态环境监测站对汨罗江的常规监测断面监测数据以及《汨罗高新技术产业开发区扩区规划环境影响报告书》中的地表水环境质量补充监测结果进行分析和评价。</w:t>
      </w:r>
    </w:p>
    <w:p w14:paraId="3846D845">
      <w:pPr>
        <w:pStyle w:val="20"/>
        <w:bidi w:val="0"/>
        <w:rPr>
          <w:rFonts w:hint="default"/>
          <w:color w:val="auto"/>
          <w:u w:val="none" w:color="auto"/>
        </w:rPr>
      </w:pPr>
      <w:r>
        <w:rPr>
          <w:rFonts w:hint="default"/>
          <w:color w:val="auto"/>
          <w:u w:val="none" w:color="auto"/>
        </w:rPr>
        <w:t>1、区域环境质量报告数据</w:t>
      </w:r>
    </w:p>
    <w:p w14:paraId="2C946C3F">
      <w:pPr>
        <w:pStyle w:val="20"/>
        <w:bidi w:val="0"/>
        <w:rPr>
          <w:rFonts w:hint="default"/>
          <w:color w:val="auto"/>
          <w:u w:val="none" w:color="auto"/>
        </w:rPr>
      </w:pPr>
      <w:r>
        <w:rPr>
          <w:rFonts w:hint="default"/>
          <w:color w:val="auto"/>
          <w:u w:val="none" w:color="auto"/>
        </w:rPr>
        <w:t>汨罗江汨罗市区域共有2个常规水质监测断面，为新市断面和南渡断面，其中新市为省控断面，南渡为国控断面。根据岳阳市汨罗生态环境监测站发布的202</w:t>
      </w:r>
      <w:r>
        <w:rPr>
          <w:rFonts w:hint="eastAsia"/>
          <w:color w:val="auto"/>
          <w:u w:val="none" w:color="auto"/>
          <w:lang w:val="en-US" w:eastAsia="zh-CN"/>
        </w:rPr>
        <w:t>2</w:t>
      </w:r>
      <w:r>
        <w:rPr>
          <w:rFonts w:hint="default"/>
          <w:color w:val="auto"/>
          <w:u w:val="none" w:color="auto"/>
        </w:rPr>
        <w:t>年1月至202</w:t>
      </w:r>
      <w:r>
        <w:rPr>
          <w:rFonts w:hint="eastAsia"/>
          <w:color w:val="auto"/>
          <w:u w:val="none" w:color="auto"/>
          <w:lang w:val="en-US" w:eastAsia="zh-CN"/>
        </w:rPr>
        <w:t>4</w:t>
      </w:r>
      <w:r>
        <w:rPr>
          <w:rFonts w:hint="default"/>
          <w:color w:val="auto"/>
          <w:u w:val="none" w:color="auto"/>
        </w:rPr>
        <w:t>年12月上述国省控断面水质监测情况如下：</w:t>
      </w:r>
    </w:p>
    <w:p w14:paraId="392FFF00">
      <w:pPr>
        <w:pStyle w:val="38"/>
        <w:bidi w:val="0"/>
        <w:rPr>
          <w:rFonts w:hint="eastAsia"/>
          <w:color w:val="auto"/>
          <w:u w:val="none" w:color="auto"/>
          <w:lang w:val="en-US" w:eastAsia="zh-CN"/>
        </w:rPr>
      </w:pPr>
      <w:r>
        <w:rPr>
          <w:rFonts w:hint="eastAsia"/>
          <w:color w:val="auto"/>
          <w:u w:val="none" w:color="auto"/>
          <w:lang w:val="en-US" w:eastAsia="zh-CN"/>
        </w:rPr>
        <w:t>表5.3-3  2022年至2024年汨罗江新市、南渡监测断面水质评价结果表</w:t>
      </w:r>
    </w:p>
    <w:tbl>
      <w:tblPr>
        <w:tblStyle w:val="16"/>
        <w:tblW w:w="50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1312"/>
        <w:gridCol w:w="677"/>
        <w:gridCol w:w="678"/>
        <w:gridCol w:w="1255"/>
        <w:gridCol w:w="831"/>
        <w:gridCol w:w="832"/>
        <w:gridCol w:w="1232"/>
        <w:gridCol w:w="843"/>
        <w:gridCol w:w="844"/>
      </w:tblGrid>
      <w:tr w14:paraId="2AFA2F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vMerge w:val="restart"/>
            <w:tcBorders>
              <w:tl2br w:val="nil"/>
              <w:tr2bl w:val="nil"/>
            </w:tcBorders>
            <w:noWrap w:val="0"/>
            <w:vAlign w:val="center"/>
          </w:tcPr>
          <w:p w14:paraId="2C602A97">
            <w:pPr>
              <w:pStyle w:val="31"/>
              <w:bidi w:val="0"/>
              <w:rPr>
                <w:rFonts w:hint="eastAsia" w:eastAsia="宋体"/>
                <w:color w:val="auto"/>
                <w:u w:val="none" w:color="auto"/>
                <w:lang w:eastAsia="zh-CN"/>
              </w:rPr>
            </w:pPr>
            <w:r>
              <w:rPr>
                <w:rFonts w:hint="eastAsia"/>
                <w:color w:val="auto"/>
                <w:u w:val="none" w:color="auto"/>
                <w:lang w:val="en-US" w:eastAsia="zh-CN"/>
              </w:rPr>
              <w:t>时间</w:t>
            </w:r>
          </w:p>
        </w:tc>
        <w:tc>
          <w:tcPr>
            <w:tcW w:w="796" w:type="pct"/>
            <w:gridSpan w:val="2"/>
            <w:tcBorders>
              <w:tl2br w:val="nil"/>
              <w:tr2bl w:val="nil"/>
            </w:tcBorders>
            <w:noWrap w:val="0"/>
            <w:vAlign w:val="center"/>
          </w:tcPr>
          <w:p w14:paraId="65FAE87B">
            <w:pPr>
              <w:pStyle w:val="31"/>
              <w:bidi w:val="0"/>
              <w:rPr>
                <w:rFonts w:hint="eastAsia"/>
                <w:color w:val="auto"/>
                <w:u w:val="none" w:color="auto"/>
                <w:lang w:val="en-US" w:eastAsia="zh-CN"/>
              </w:rPr>
            </w:pPr>
            <w:r>
              <w:rPr>
                <w:rFonts w:hint="eastAsia"/>
                <w:color w:val="auto"/>
                <w:u w:val="none" w:color="auto"/>
                <w:lang w:val="en-US" w:eastAsia="zh-CN"/>
              </w:rPr>
              <w:t>断面</w:t>
            </w:r>
          </w:p>
        </w:tc>
        <w:tc>
          <w:tcPr>
            <w:tcW w:w="737" w:type="pct"/>
            <w:vMerge w:val="restart"/>
            <w:tcBorders>
              <w:tl2br w:val="nil"/>
              <w:tr2bl w:val="nil"/>
            </w:tcBorders>
            <w:noWrap w:val="0"/>
            <w:vAlign w:val="center"/>
          </w:tcPr>
          <w:p w14:paraId="6A76F2F5">
            <w:pPr>
              <w:pStyle w:val="31"/>
              <w:bidi w:val="0"/>
              <w:rPr>
                <w:rFonts w:hint="eastAsia"/>
                <w:color w:val="auto"/>
                <w:u w:val="none" w:color="auto"/>
                <w:lang w:val="en-US" w:eastAsia="zh-CN"/>
              </w:rPr>
            </w:pPr>
            <w:r>
              <w:rPr>
                <w:rFonts w:hint="eastAsia"/>
                <w:color w:val="auto"/>
                <w:u w:val="none" w:color="auto"/>
                <w:lang w:val="en-US" w:eastAsia="zh-CN"/>
              </w:rPr>
              <w:t>时间</w:t>
            </w:r>
          </w:p>
        </w:tc>
        <w:tc>
          <w:tcPr>
            <w:tcW w:w="977" w:type="pct"/>
            <w:gridSpan w:val="2"/>
            <w:tcBorders>
              <w:tl2br w:val="nil"/>
              <w:tr2bl w:val="nil"/>
            </w:tcBorders>
            <w:noWrap w:val="0"/>
            <w:vAlign w:val="center"/>
          </w:tcPr>
          <w:p w14:paraId="2E2A39FA">
            <w:pPr>
              <w:pStyle w:val="31"/>
              <w:bidi w:val="0"/>
              <w:rPr>
                <w:rFonts w:hint="eastAsia"/>
                <w:color w:val="auto"/>
                <w:u w:val="none" w:color="auto"/>
                <w:lang w:val="en-US" w:eastAsia="zh-CN"/>
              </w:rPr>
            </w:pPr>
            <w:r>
              <w:rPr>
                <w:rFonts w:hint="eastAsia"/>
                <w:color w:val="auto"/>
                <w:u w:val="none" w:color="auto"/>
                <w:lang w:val="en-US" w:eastAsia="zh-CN"/>
              </w:rPr>
              <w:t>断面</w:t>
            </w:r>
          </w:p>
        </w:tc>
        <w:tc>
          <w:tcPr>
            <w:tcW w:w="724" w:type="pct"/>
            <w:vMerge w:val="restart"/>
            <w:tcBorders>
              <w:tl2br w:val="nil"/>
              <w:tr2bl w:val="nil"/>
            </w:tcBorders>
            <w:noWrap w:val="0"/>
            <w:vAlign w:val="center"/>
          </w:tcPr>
          <w:p w14:paraId="32933321">
            <w:pPr>
              <w:pStyle w:val="31"/>
              <w:bidi w:val="0"/>
              <w:rPr>
                <w:rFonts w:hint="eastAsia"/>
                <w:color w:val="auto"/>
                <w:u w:val="none" w:color="auto"/>
                <w:lang w:val="en-US" w:eastAsia="zh-CN"/>
              </w:rPr>
            </w:pPr>
            <w:r>
              <w:rPr>
                <w:rFonts w:hint="eastAsia"/>
                <w:color w:val="auto"/>
                <w:u w:val="none" w:color="auto"/>
                <w:lang w:val="en-US" w:eastAsia="zh-CN"/>
              </w:rPr>
              <w:t>时间</w:t>
            </w:r>
          </w:p>
        </w:tc>
        <w:tc>
          <w:tcPr>
            <w:tcW w:w="991" w:type="pct"/>
            <w:gridSpan w:val="2"/>
            <w:tcBorders>
              <w:tl2br w:val="nil"/>
              <w:tr2bl w:val="nil"/>
            </w:tcBorders>
            <w:noWrap w:val="0"/>
            <w:vAlign w:val="center"/>
          </w:tcPr>
          <w:p w14:paraId="2AEEA620">
            <w:pPr>
              <w:pStyle w:val="31"/>
              <w:bidi w:val="0"/>
              <w:rPr>
                <w:rFonts w:hint="eastAsia"/>
                <w:color w:val="auto"/>
                <w:u w:val="none" w:color="auto"/>
                <w:lang w:val="en-US" w:eastAsia="zh-CN"/>
              </w:rPr>
            </w:pPr>
            <w:r>
              <w:rPr>
                <w:rFonts w:hint="eastAsia"/>
                <w:color w:val="auto"/>
                <w:u w:val="none" w:color="auto"/>
                <w:lang w:val="en-US" w:eastAsia="zh-CN"/>
              </w:rPr>
              <w:t>断面</w:t>
            </w:r>
          </w:p>
        </w:tc>
      </w:tr>
      <w:tr w14:paraId="40E9D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vMerge w:val="continue"/>
            <w:tcBorders>
              <w:tl2br w:val="nil"/>
              <w:tr2bl w:val="nil"/>
            </w:tcBorders>
            <w:noWrap w:val="0"/>
            <w:vAlign w:val="center"/>
          </w:tcPr>
          <w:p w14:paraId="692B98FA">
            <w:pPr>
              <w:pStyle w:val="31"/>
              <w:bidi w:val="0"/>
              <w:rPr>
                <w:color w:val="auto"/>
                <w:u w:val="none" w:color="auto"/>
              </w:rPr>
            </w:pPr>
          </w:p>
        </w:tc>
        <w:tc>
          <w:tcPr>
            <w:tcW w:w="398" w:type="pct"/>
            <w:tcBorders>
              <w:tl2br w:val="nil"/>
              <w:tr2bl w:val="nil"/>
            </w:tcBorders>
            <w:noWrap w:val="0"/>
            <w:vAlign w:val="center"/>
          </w:tcPr>
          <w:p w14:paraId="74201A83">
            <w:pPr>
              <w:pStyle w:val="31"/>
              <w:bidi w:val="0"/>
              <w:rPr>
                <w:rFonts w:hint="eastAsia" w:eastAsia="宋体"/>
                <w:color w:val="auto"/>
                <w:u w:val="none" w:color="auto"/>
                <w:lang w:val="en-US" w:eastAsia="zh-CN"/>
              </w:rPr>
            </w:pPr>
            <w:r>
              <w:rPr>
                <w:rFonts w:hint="eastAsia"/>
                <w:color w:val="auto"/>
                <w:u w:val="none" w:color="auto"/>
                <w:lang w:val="en-US" w:eastAsia="zh-CN"/>
              </w:rPr>
              <w:t>新市</w:t>
            </w:r>
          </w:p>
        </w:tc>
        <w:tc>
          <w:tcPr>
            <w:tcW w:w="398" w:type="pct"/>
            <w:tcBorders>
              <w:tl2br w:val="nil"/>
              <w:tr2bl w:val="nil"/>
            </w:tcBorders>
            <w:noWrap w:val="0"/>
            <w:vAlign w:val="center"/>
          </w:tcPr>
          <w:p w14:paraId="2669F633">
            <w:pPr>
              <w:pStyle w:val="31"/>
              <w:bidi w:val="0"/>
              <w:rPr>
                <w:rFonts w:hint="eastAsia" w:eastAsia="宋体"/>
                <w:color w:val="auto"/>
                <w:u w:val="none" w:color="auto"/>
                <w:lang w:val="en-US" w:eastAsia="zh-CN"/>
              </w:rPr>
            </w:pPr>
            <w:r>
              <w:rPr>
                <w:rFonts w:hint="eastAsia"/>
                <w:color w:val="auto"/>
                <w:u w:val="none" w:color="auto"/>
                <w:lang w:val="en-US" w:eastAsia="zh-CN"/>
              </w:rPr>
              <w:t>南渡</w:t>
            </w:r>
          </w:p>
        </w:tc>
        <w:tc>
          <w:tcPr>
            <w:tcW w:w="737" w:type="pct"/>
            <w:vMerge w:val="continue"/>
            <w:tcBorders>
              <w:tl2br w:val="nil"/>
              <w:tr2bl w:val="nil"/>
            </w:tcBorders>
            <w:noWrap w:val="0"/>
            <w:vAlign w:val="center"/>
          </w:tcPr>
          <w:p w14:paraId="623FC1BC">
            <w:pPr>
              <w:pStyle w:val="31"/>
              <w:bidi w:val="0"/>
              <w:rPr>
                <w:color w:val="auto"/>
                <w:u w:val="none" w:color="auto"/>
              </w:rPr>
            </w:pPr>
          </w:p>
        </w:tc>
        <w:tc>
          <w:tcPr>
            <w:tcW w:w="488" w:type="pct"/>
            <w:tcBorders>
              <w:tl2br w:val="nil"/>
              <w:tr2bl w:val="nil"/>
            </w:tcBorders>
            <w:noWrap w:val="0"/>
            <w:vAlign w:val="center"/>
          </w:tcPr>
          <w:p w14:paraId="55CD41C2">
            <w:pPr>
              <w:pStyle w:val="31"/>
              <w:bidi w:val="0"/>
              <w:rPr>
                <w:color w:val="auto"/>
                <w:u w:val="none" w:color="auto"/>
              </w:rPr>
            </w:pPr>
            <w:r>
              <w:rPr>
                <w:rFonts w:hint="eastAsia"/>
                <w:color w:val="auto"/>
                <w:u w:val="none" w:color="auto"/>
                <w:lang w:val="en-US" w:eastAsia="zh-CN"/>
              </w:rPr>
              <w:t>新市</w:t>
            </w:r>
          </w:p>
        </w:tc>
        <w:tc>
          <w:tcPr>
            <w:tcW w:w="489" w:type="pct"/>
            <w:tcBorders>
              <w:tl2br w:val="nil"/>
              <w:tr2bl w:val="nil"/>
            </w:tcBorders>
            <w:noWrap w:val="0"/>
            <w:vAlign w:val="center"/>
          </w:tcPr>
          <w:p w14:paraId="2E5C3E6E">
            <w:pPr>
              <w:pStyle w:val="31"/>
              <w:bidi w:val="0"/>
              <w:rPr>
                <w:color w:val="auto"/>
                <w:u w:val="none" w:color="auto"/>
              </w:rPr>
            </w:pPr>
            <w:r>
              <w:rPr>
                <w:rFonts w:hint="eastAsia"/>
                <w:color w:val="auto"/>
                <w:u w:val="none" w:color="auto"/>
                <w:lang w:val="en-US" w:eastAsia="zh-CN"/>
              </w:rPr>
              <w:t>南渡</w:t>
            </w:r>
          </w:p>
        </w:tc>
        <w:tc>
          <w:tcPr>
            <w:tcW w:w="724" w:type="pct"/>
            <w:vMerge w:val="continue"/>
            <w:tcBorders>
              <w:tl2br w:val="nil"/>
              <w:tr2bl w:val="nil"/>
            </w:tcBorders>
            <w:noWrap w:val="0"/>
            <w:vAlign w:val="center"/>
          </w:tcPr>
          <w:p w14:paraId="450CCE4F">
            <w:pPr>
              <w:pStyle w:val="31"/>
              <w:bidi w:val="0"/>
              <w:rPr>
                <w:color w:val="auto"/>
                <w:u w:val="none" w:color="auto"/>
              </w:rPr>
            </w:pPr>
          </w:p>
        </w:tc>
        <w:tc>
          <w:tcPr>
            <w:tcW w:w="495" w:type="pct"/>
            <w:tcBorders>
              <w:tl2br w:val="nil"/>
              <w:tr2bl w:val="nil"/>
            </w:tcBorders>
            <w:noWrap w:val="0"/>
            <w:vAlign w:val="center"/>
          </w:tcPr>
          <w:p w14:paraId="784D654D">
            <w:pPr>
              <w:pStyle w:val="31"/>
              <w:bidi w:val="0"/>
              <w:rPr>
                <w:color w:val="auto"/>
                <w:u w:val="none" w:color="auto"/>
              </w:rPr>
            </w:pPr>
            <w:r>
              <w:rPr>
                <w:rFonts w:hint="eastAsia"/>
                <w:color w:val="auto"/>
                <w:u w:val="none" w:color="auto"/>
                <w:lang w:val="en-US" w:eastAsia="zh-CN"/>
              </w:rPr>
              <w:t>新市</w:t>
            </w:r>
          </w:p>
        </w:tc>
        <w:tc>
          <w:tcPr>
            <w:tcW w:w="496" w:type="pct"/>
            <w:tcBorders>
              <w:tl2br w:val="nil"/>
              <w:tr2bl w:val="nil"/>
            </w:tcBorders>
            <w:noWrap w:val="0"/>
            <w:vAlign w:val="center"/>
          </w:tcPr>
          <w:p w14:paraId="2117DE9E">
            <w:pPr>
              <w:pStyle w:val="31"/>
              <w:bidi w:val="0"/>
              <w:rPr>
                <w:color w:val="auto"/>
                <w:u w:val="none" w:color="auto"/>
              </w:rPr>
            </w:pPr>
            <w:r>
              <w:rPr>
                <w:rFonts w:hint="eastAsia"/>
                <w:color w:val="auto"/>
                <w:u w:val="none" w:color="auto"/>
                <w:lang w:val="en-US" w:eastAsia="zh-CN"/>
              </w:rPr>
              <w:t>南渡</w:t>
            </w:r>
          </w:p>
        </w:tc>
      </w:tr>
      <w:tr w14:paraId="65909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128D4B8B">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2022年1月</w:t>
            </w:r>
          </w:p>
        </w:tc>
        <w:tc>
          <w:tcPr>
            <w:tcW w:w="398" w:type="pct"/>
            <w:tcBorders>
              <w:tl2br w:val="nil"/>
              <w:tr2bl w:val="nil"/>
            </w:tcBorders>
            <w:noWrap w:val="0"/>
            <w:vAlign w:val="center"/>
          </w:tcPr>
          <w:p w14:paraId="0E570389">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398" w:type="pct"/>
            <w:tcBorders>
              <w:tl2br w:val="nil"/>
              <w:tr2bl w:val="nil"/>
            </w:tcBorders>
            <w:noWrap w:val="0"/>
            <w:vAlign w:val="center"/>
          </w:tcPr>
          <w:p w14:paraId="2B3EC2C4">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37" w:type="pct"/>
            <w:tcBorders>
              <w:tl2br w:val="nil"/>
              <w:tr2bl w:val="nil"/>
            </w:tcBorders>
            <w:noWrap w:val="0"/>
            <w:vAlign w:val="center"/>
          </w:tcPr>
          <w:p w14:paraId="51F33C11">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2023年1月</w:t>
            </w:r>
          </w:p>
        </w:tc>
        <w:tc>
          <w:tcPr>
            <w:tcW w:w="488" w:type="pct"/>
            <w:tcBorders>
              <w:tl2br w:val="nil"/>
              <w:tr2bl w:val="nil"/>
            </w:tcBorders>
            <w:noWrap w:val="0"/>
            <w:vAlign w:val="center"/>
          </w:tcPr>
          <w:p w14:paraId="03DB06DB">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489" w:type="pct"/>
            <w:tcBorders>
              <w:tl2br w:val="nil"/>
              <w:tr2bl w:val="nil"/>
            </w:tcBorders>
            <w:noWrap w:val="0"/>
            <w:vAlign w:val="center"/>
          </w:tcPr>
          <w:p w14:paraId="36549A17">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24" w:type="pct"/>
            <w:tcBorders>
              <w:tl2br w:val="nil"/>
              <w:tr2bl w:val="nil"/>
            </w:tcBorders>
            <w:noWrap w:val="0"/>
            <w:vAlign w:val="center"/>
          </w:tcPr>
          <w:p w14:paraId="0F082F66">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2024年1月</w:t>
            </w:r>
          </w:p>
        </w:tc>
        <w:tc>
          <w:tcPr>
            <w:tcW w:w="495" w:type="pct"/>
            <w:tcBorders>
              <w:tl2br w:val="nil"/>
              <w:tr2bl w:val="nil"/>
            </w:tcBorders>
            <w:noWrap w:val="0"/>
            <w:vAlign w:val="center"/>
          </w:tcPr>
          <w:p w14:paraId="3DA44472">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3A215967">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r>
      <w:tr w14:paraId="56010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1A9F60EF">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2022年2月</w:t>
            </w:r>
          </w:p>
        </w:tc>
        <w:tc>
          <w:tcPr>
            <w:tcW w:w="398" w:type="pct"/>
            <w:tcBorders>
              <w:tl2br w:val="nil"/>
              <w:tr2bl w:val="nil"/>
            </w:tcBorders>
            <w:noWrap w:val="0"/>
            <w:vAlign w:val="center"/>
          </w:tcPr>
          <w:p w14:paraId="1E9BCC1D">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398" w:type="pct"/>
            <w:tcBorders>
              <w:tl2br w:val="nil"/>
              <w:tr2bl w:val="nil"/>
            </w:tcBorders>
            <w:noWrap w:val="0"/>
            <w:vAlign w:val="center"/>
          </w:tcPr>
          <w:p w14:paraId="6320133F">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737" w:type="pct"/>
            <w:tcBorders>
              <w:tl2br w:val="nil"/>
              <w:tr2bl w:val="nil"/>
            </w:tcBorders>
            <w:noWrap w:val="0"/>
            <w:vAlign w:val="center"/>
          </w:tcPr>
          <w:p w14:paraId="4F89BC6C">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2023年2月</w:t>
            </w:r>
          </w:p>
        </w:tc>
        <w:tc>
          <w:tcPr>
            <w:tcW w:w="488" w:type="pct"/>
            <w:tcBorders>
              <w:tl2br w:val="nil"/>
              <w:tr2bl w:val="nil"/>
            </w:tcBorders>
            <w:noWrap w:val="0"/>
            <w:vAlign w:val="center"/>
          </w:tcPr>
          <w:p w14:paraId="63DF461F">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5C66DFCF">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724" w:type="pct"/>
            <w:tcBorders>
              <w:tl2br w:val="nil"/>
              <w:tr2bl w:val="nil"/>
            </w:tcBorders>
            <w:noWrap w:val="0"/>
            <w:vAlign w:val="center"/>
          </w:tcPr>
          <w:p w14:paraId="6E6C2347">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2024年2月</w:t>
            </w:r>
          </w:p>
        </w:tc>
        <w:tc>
          <w:tcPr>
            <w:tcW w:w="495" w:type="pct"/>
            <w:tcBorders>
              <w:tl2br w:val="nil"/>
              <w:tr2bl w:val="nil"/>
            </w:tcBorders>
            <w:noWrap w:val="0"/>
            <w:vAlign w:val="center"/>
          </w:tcPr>
          <w:p w14:paraId="6AFBD03D">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2C105CB2">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r>
      <w:tr w14:paraId="18C56E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4EFEA6B6">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2022年3月</w:t>
            </w:r>
          </w:p>
        </w:tc>
        <w:tc>
          <w:tcPr>
            <w:tcW w:w="398" w:type="pct"/>
            <w:tcBorders>
              <w:tl2br w:val="nil"/>
              <w:tr2bl w:val="nil"/>
            </w:tcBorders>
            <w:noWrap w:val="0"/>
            <w:vAlign w:val="center"/>
          </w:tcPr>
          <w:p w14:paraId="644BBF9D">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398" w:type="pct"/>
            <w:tcBorders>
              <w:tl2br w:val="nil"/>
              <w:tr2bl w:val="nil"/>
            </w:tcBorders>
            <w:noWrap w:val="0"/>
            <w:vAlign w:val="center"/>
          </w:tcPr>
          <w:p w14:paraId="4A460EDC">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737" w:type="pct"/>
            <w:tcBorders>
              <w:tl2br w:val="nil"/>
              <w:tr2bl w:val="nil"/>
            </w:tcBorders>
            <w:noWrap w:val="0"/>
            <w:vAlign w:val="center"/>
          </w:tcPr>
          <w:p w14:paraId="5730EBC4">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2023年3月</w:t>
            </w:r>
          </w:p>
        </w:tc>
        <w:tc>
          <w:tcPr>
            <w:tcW w:w="488" w:type="pct"/>
            <w:tcBorders>
              <w:tl2br w:val="nil"/>
              <w:tr2bl w:val="nil"/>
            </w:tcBorders>
            <w:noWrap w:val="0"/>
            <w:vAlign w:val="center"/>
          </w:tcPr>
          <w:p w14:paraId="497727EF">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5C6373C7">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724" w:type="pct"/>
            <w:tcBorders>
              <w:tl2br w:val="nil"/>
              <w:tr2bl w:val="nil"/>
            </w:tcBorders>
            <w:noWrap w:val="0"/>
            <w:vAlign w:val="center"/>
          </w:tcPr>
          <w:p w14:paraId="167CA8D8">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2024年3月</w:t>
            </w:r>
          </w:p>
        </w:tc>
        <w:tc>
          <w:tcPr>
            <w:tcW w:w="495" w:type="pct"/>
            <w:tcBorders>
              <w:tl2br w:val="nil"/>
              <w:tr2bl w:val="nil"/>
            </w:tcBorders>
            <w:noWrap w:val="0"/>
            <w:vAlign w:val="center"/>
          </w:tcPr>
          <w:p w14:paraId="27382C64">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6DE54183">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r>
      <w:tr w14:paraId="614F56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0D58A2F6">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2022年4月</w:t>
            </w:r>
          </w:p>
        </w:tc>
        <w:tc>
          <w:tcPr>
            <w:tcW w:w="398" w:type="pct"/>
            <w:tcBorders>
              <w:tl2br w:val="nil"/>
              <w:tr2bl w:val="nil"/>
            </w:tcBorders>
            <w:noWrap w:val="0"/>
            <w:vAlign w:val="center"/>
          </w:tcPr>
          <w:p w14:paraId="048B30C8">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398" w:type="pct"/>
            <w:tcBorders>
              <w:tl2br w:val="nil"/>
              <w:tr2bl w:val="nil"/>
            </w:tcBorders>
            <w:noWrap w:val="0"/>
            <w:vAlign w:val="center"/>
          </w:tcPr>
          <w:p w14:paraId="70B808CE">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737" w:type="pct"/>
            <w:tcBorders>
              <w:tl2br w:val="nil"/>
              <w:tr2bl w:val="nil"/>
            </w:tcBorders>
            <w:noWrap w:val="0"/>
            <w:vAlign w:val="center"/>
          </w:tcPr>
          <w:p w14:paraId="54034102">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2023年4月</w:t>
            </w:r>
          </w:p>
        </w:tc>
        <w:tc>
          <w:tcPr>
            <w:tcW w:w="488" w:type="pct"/>
            <w:tcBorders>
              <w:tl2br w:val="nil"/>
              <w:tr2bl w:val="nil"/>
            </w:tcBorders>
            <w:noWrap w:val="0"/>
            <w:vAlign w:val="center"/>
          </w:tcPr>
          <w:p w14:paraId="5F93DD7C">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710F61BE">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724" w:type="pct"/>
            <w:tcBorders>
              <w:tl2br w:val="nil"/>
              <w:tr2bl w:val="nil"/>
            </w:tcBorders>
            <w:noWrap w:val="0"/>
            <w:vAlign w:val="center"/>
          </w:tcPr>
          <w:p w14:paraId="02B807C9">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2024年4月</w:t>
            </w:r>
          </w:p>
        </w:tc>
        <w:tc>
          <w:tcPr>
            <w:tcW w:w="495" w:type="pct"/>
            <w:tcBorders>
              <w:tl2br w:val="nil"/>
              <w:tr2bl w:val="nil"/>
            </w:tcBorders>
            <w:noWrap w:val="0"/>
            <w:vAlign w:val="center"/>
          </w:tcPr>
          <w:p w14:paraId="0602DFFD">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3916727B">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r>
      <w:tr w14:paraId="1727C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6A6C36EC">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2022年5月</w:t>
            </w:r>
          </w:p>
        </w:tc>
        <w:tc>
          <w:tcPr>
            <w:tcW w:w="398" w:type="pct"/>
            <w:tcBorders>
              <w:tl2br w:val="nil"/>
              <w:tr2bl w:val="nil"/>
            </w:tcBorders>
            <w:noWrap w:val="0"/>
            <w:vAlign w:val="center"/>
          </w:tcPr>
          <w:p w14:paraId="636ACD55">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398" w:type="pct"/>
            <w:tcBorders>
              <w:tl2br w:val="nil"/>
              <w:tr2bl w:val="nil"/>
            </w:tcBorders>
            <w:noWrap w:val="0"/>
            <w:vAlign w:val="center"/>
          </w:tcPr>
          <w:p w14:paraId="3A5237A1">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37" w:type="pct"/>
            <w:tcBorders>
              <w:tl2br w:val="nil"/>
              <w:tr2bl w:val="nil"/>
            </w:tcBorders>
            <w:noWrap w:val="0"/>
            <w:vAlign w:val="center"/>
          </w:tcPr>
          <w:p w14:paraId="3CF1B298">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2023年5月</w:t>
            </w:r>
          </w:p>
        </w:tc>
        <w:tc>
          <w:tcPr>
            <w:tcW w:w="488" w:type="pct"/>
            <w:tcBorders>
              <w:tl2br w:val="nil"/>
              <w:tr2bl w:val="nil"/>
            </w:tcBorders>
            <w:noWrap w:val="0"/>
            <w:vAlign w:val="center"/>
          </w:tcPr>
          <w:p w14:paraId="30CF321E">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61BDCD6C">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724" w:type="pct"/>
            <w:tcBorders>
              <w:tl2br w:val="nil"/>
              <w:tr2bl w:val="nil"/>
            </w:tcBorders>
            <w:noWrap w:val="0"/>
            <w:vAlign w:val="center"/>
          </w:tcPr>
          <w:p w14:paraId="40B9A52A">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2024年5月</w:t>
            </w:r>
          </w:p>
        </w:tc>
        <w:tc>
          <w:tcPr>
            <w:tcW w:w="495" w:type="pct"/>
            <w:tcBorders>
              <w:tl2br w:val="nil"/>
              <w:tr2bl w:val="nil"/>
            </w:tcBorders>
            <w:noWrap w:val="0"/>
            <w:vAlign w:val="center"/>
          </w:tcPr>
          <w:p w14:paraId="6CDCC4E4">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1B87BC3C">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r>
      <w:tr w14:paraId="5123DB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4F90B533">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2022年6月</w:t>
            </w:r>
          </w:p>
        </w:tc>
        <w:tc>
          <w:tcPr>
            <w:tcW w:w="398" w:type="pct"/>
            <w:tcBorders>
              <w:tl2br w:val="nil"/>
              <w:tr2bl w:val="nil"/>
            </w:tcBorders>
            <w:noWrap w:val="0"/>
            <w:vAlign w:val="center"/>
          </w:tcPr>
          <w:p w14:paraId="17CD5426">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398" w:type="pct"/>
            <w:tcBorders>
              <w:tl2br w:val="nil"/>
              <w:tr2bl w:val="nil"/>
            </w:tcBorders>
            <w:noWrap w:val="0"/>
            <w:vAlign w:val="center"/>
          </w:tcPr>
          <w:p w14:paraId="1CDAFDFC">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37" w:type="pct"/>
            <w:tcBorders>
              <w:tl2br w:val="nil"/>
              <w:tr2bl w:val="nil"/>
            </w:tcBorders>
            <w:noWrap w:val="0"/>
            <w:vAlign w:val="center"/>
          </w:tcPr>
          <w:p w14:paraId="25F9ECEA">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2023年6月</w:t>
            </w:r>
          </w:p>
        </w:tc>
        <w:tc>
          <w:tcPr>
            <w:tcW w:w="488" w:type="pct"/>
            <w:tcBorders>
              <w:tl2br w:val="nil"/>
              <w:tr2bl w:val="nil"/>
            </w:tcBorders>
            <w:noWrap w:val="0"/>
            <w:vAlign w:val="center"/>
          </w:tcPr>
          <w:p w14:paraId="1A74356B">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5A9B1DB8">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24" w:type="pct"/>
            <w:tcBorders>
              <w:tl2br w:val="nil"/>
              <w:tr2bl w:val="nil"/>
            </w:tcBorders>
            <w:noWrap w:val="0"/>
            <w:vAlign w:val="center"/>
          </w:tcPr>
          <w:p w14:paraId="40F8D479">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2024年6月</w:t>
            </w:r>
          </w:p>
        </w:tc>
        <w:tc>
          <w:tcPr>
            <w:tcW w:w="495" w:type="pct"/>
            <w:tcBorders>
              <w:tl2br w:val="nil"/>
              <w:tr2bl w:val="nil"/>
            </w:tcBorders>
            <w:noWrap w:val="0"/>
            <w:vAlign w:val="center"/>
          </w:tcPr>
          <w:p w14:paraId="705D2033">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7CE6D1DF">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r>
      <w:tr w14:paraId="66483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4D0AD97D">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2022年7月</w:t>
            </w:r>
          </w:p>
        </w:tc>
        <w:tc>
          <w:tcPr>
            <w:tcW w:w="398" w:type="pct"/>
            <w:tcBorders>
              <w:tl2br w:val="nil"/>
              <w:tr2bl w:val="nil"/>
            </w:tcBorders>
            <w:noWrap w:val="0"/>
            <w:vAlign w:val="center"/>
          </w:tcPr>
          <w:p w14:paraId="20390481">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398" w:type="pct"/>
            <w:tcBorders>
              <w:tl2br w:val="nil"/>
              <w:tr2bl w:val="nil"/>
            </w:tcBorders>
            <w:noWrap w:val="0"/>
            <w:vAlign w:val="center"/>
          </w:tcPr>
          <w:p w14:paraId="2F7F1902">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37" w:type="pct"/>
            <w:tcBorders>
              <w:tl2br w:val="nil"/>
              <w:tr2bl w:val="nil"/>
            </w:tcBorders>
            <w:noWrap w:val="0"/>
            <w:vAlign w:val="center"/>
          </w:tcPr>
          <w:p w14:paraId="5346FFE8">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2023年7月</w:t>
            </w:r>
          </w:p>
        </w:tc>
        <w:tc>
          <w:tcPr>
            <w:tcW w:w="488" w:type="pct"/>
            <w:tcBorders>
              <w:tl2br w:val="nil"/>
              <w:tr2bl w:val="nil"/>
            </w:tcBorders>
            <w:noWrap w:val="0"/>
            <w:vAlign w:val="center"/>
          </w:tcPr>
          <w:p w14:paraId="2483BCF4">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55C0B910">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24" w:type="pct"/>
            <w:tcBorders>
              <w:tl2br w:val="nil"/>
              <w:tr2bl w:val="nil"/>
            </w:tcBorders>
            <w:noWrap w:val="0"/>
            <w:vAlign w:val="center"/>
          </w:tcPr>
          <w:p w14:paraId="0426F079">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2024年7月</w:t>
            </w:r>
          </w:p>
        </w:tc>
        <w:tc>
          <w:tcPr>
            <w:tcW w:w="495" w:type="pct"/>
            <w:tcBorders>
              <w:tl2br w:val="nil"/>
              <w:tr2bl w:val="nil"/>
            </w:tcBorders>
            <w:noWrap w:val="0"/>
            <w:vAlign w:val="center"/>
          </w:tcPr>
          <w:p w14:paraId="06943294">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48AFF7DA">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r>
      <w:tr w14:paraId="545DD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4B92B896">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2022年8月</w:t>
            </w:r>
          </w:p>
        </w:tc>
        <w:tc>
          <w:tcPr>
            <w:tcW w:w="398" w:type="pct"/>
            <w:tcBorders>
              <w:tl2br w:val="nil"/>
              <w:tr2bl w:val="nil"/>
            </w:tcBorders>
            <w:noWrap w:val="0"/>
            <w:vAlign w:val="center"/>
          </w:tcPr>
          <w:p w14:paraId="68DFFC3C">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398" w:type="pct"/>
            <w:tcBorders>
              <w:tl2br w:val="nil"/>
              <w:tr2bl w:val="nil"/>
            </w:tcBorders>
            <w:noWrap w:val="0"/>
            <w:vAlign w:val="center"/>
          </w:tcPr>
          <w:p w14:paraId="7C25C184">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37" w:type="pct"/>
            <w:tcBorders>
              <w:tl2br w:val="nil"/>
              <w:tr2bl w:val="nil"/>
            </w:tcBorders>
            <w:noWrap w:val="0"/>
            <w:vAlign w:val="center"/>
          </w:tcPr>
          <w:p w14:paraId="68CE8629">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2023年8月</w:t>
            </w:r>
          </w:p>
        </w:tc>
        <w:tc>
          <w:tcPr>
            <w:tcW w:w="488" w:type="pct"/>
            <w:tcBorders>
              <w:tl2br w:val="nil"/>
              <w:tr2bl w:val="nil"/>
            </w:tcBorders>
            <w:noWrap w:val="0"/>
            <w:vAlign w:val="center"/>
          </w:tcPr>
          <w:p w14:paraId="603BA73F">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198CDC8F">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24" w:type="pct"/>
            <w:tcBorders>
              <w:tl2br w:val="nil"/>
              <w:tr2bl w:val="nil"/>
            </w:tcBorders>
            <w:noWrap w:val="0"/>
            <w:vAlign w:val="center"/>
          </w:tcPr>
          <w:p w14:paraId="5CEC6E44">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2024年8月</w:t>
            </w:r>
          </w:p>
        </w:tc>
        <w:tc>
          <w:tcPr>
            <w:tcW w:w="495" w:type="pct"/>
            <w:tcBorders>
              <w:tl2br w:val="nil"/>
              <w:tr2bl w:val="nil"/>
            </w:tcBorders>
            <w:noWrap w:val="0"/>
            <w:vAlign w:val="center"/>
          </w:tcPr>
          <w:p w14:paraId="2DCCE2C3">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6867153C">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r>
      <w:tr w14:paraId="641A92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2E691B6E">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2022年9月</w:t>
            </w:r>
          </w:p>
        </w:tc>
        <w:tc>
          <w:tcPr>
            <w:tcW w:w="398" w:type="pct"/>
            <w:tcBorders>
              <w:tl2br w:val="nil"/>
              <w:tr2bl w:val="nil"/>
            </w:tcBorders>
            <w:noWrap w:val="0"/>
            <w:vAlign w:val="center"/>
          </w:tcPr>
          <w:p w14:paraId="0C013579">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398" w:type="pct"/>
            <w:tcBorders>
              <w:tl2br w:val="nil"/>
              <w:tr2bl w:val="nil"/>
            </w:tcBorders>
            <w:noWrap w:val="0"/>
            <w:vAlign w:val="center"/>
          </w:tcPr>
          <w:p w14:paraId="6CE8E476">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737" w:type="pct"/>
            <w:tcBorders>
              <w:tl2br w:val="nil"/>
              <w:tr2bl w:val="nil"/>
            </w:tcBorders>
            <w:noWrap w:val="0"/>
            <w:vAlign w:val="center"/>
          </w:tcPr>
          <w:p w14:paraId="6D5309EB">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2023年9月</w:t>
            </w:r>
          </w:p>
        </w:tc>
        <w:tc>
          <w:tcPr>
            <w:tcW w:w="488" w:type="pct"/>
            <w:tcBorders>
              <w:tl2br w:val="nil"/>
              <w:tr2bl w:val="nil"/>
            </w:tcBorders>
            <w:noWrap w:val="0"/>
            <w:vAlign w:val="center"/>
          </w:tcPr>
          <w:p w14:paraId="54F83F88">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004DD00D">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24" w:type="pct"/>
            <w:tcBorders>
              <w:tl2br w:val="nil"/>
              <w:tr2bl w:val="nil"/>
            </w:tcBorders>
            <w:noWrap w:val="0"/>
            <w:vAlign w:val="center"/>
          </w:tcPr>
          <w:p w14:paraId="20270169">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2024年9月</w:t>
            </w:r>
          </w:p>
        </w:tc>
        <w:tc>
          <w:tcPr>
            <w:tcW w:w="495" w:type="pct"/>
            <w:tcBorders>
              <w:tl2br w:val="nil"/>
              <w:tr2bl w:val="nil"/>
            </w:tcBorders>
            <w:noWrap w:val="0"/>
            <w:vAlign w:val="center"/>
          </w:tcPr>
          <w:p w14:paraId="464E9D7E">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13B8DDBE">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r>
      <w:tr w14:paraId="6E24EF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247814F0">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2022年10月</w:t>
            </w:r>
          </w:p>
        </w:tc>
        <w:tc>
          <w:tcPr>
            <w:tcW w:w="398" w:type="pct"/>
            <w:tcBorders>
              <w:tl2br w:val="nil"/>
              <w:tr2bl w:val="nil"/>
            </w:tcBorders>
            <w:noWrap w:val="0"/>
            <w:vAlign w:val="center"/>
          </w:tcPr>
          <w:p w14:paraId="46010D7F">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398" w:type="pct"/>
            <w:tcBorders>
              <w:tl2br w:val="nil"/>
              <w:tr2bl w:val="nil"/>
            </w:tcBorders>
            <w:noWrap w:val="0"/>
            <w:vAlign w:val="center"/>
          </w:tcPr>
          <w:p w14:paraId="07033A1E">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c>
          <w:tcPr>
            <w:tcW w:w="737" w:type="pct"/>
            <w:tcBorders>
              <w:tl2br w:val="nil"/>
              <w:tr2bl w:val="nil"/>
            </w:tcBorders>
            <w:noWrap w:val="0"/>
            <w:vAlign w:val="center"/>
          </w:tcPr>
          <w:p w14:paraId="7AEB06F0">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2023年10月</w:t>
            </w:r>
          </w:p>
        </w:tc>
        <w:tc>
          <w:tcPr>
            <w:tcW w:w="488" w:type="pct"/>
            <w:tcBorders>
              <w:tl2br w:val="nil"/>
              <w:tr2bl w:val="nil"/>
            </w:tcBorders>
            <w:noWrap w:val="0"/>
            <w:vAlign w:val="center"/>
          </w:tcPr>
          <w:p w14:paraId="4B343C90">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7BA87C72">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24" w:type="pct"/>
            <w:tcBorders>
              <w:tl2br w:val="nil"/>
              <w:tr2bl w:val="nil"/>
            </w:tcBorders>
            <w:noWrap w:val="0"/>
            <w:vAlign w:val="center"/>
          </w:tcPr>
          <w:p w14:paraId="77FEB56C">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2024年10月</w:t>
            </w:r>
          </w:p>
        </w:tc>
        <w:tc>
          <w:tcPr>
            <w:tcW w:w="495" w:type="pct"/>
            <w:tcBorders>
              <w:tl2br w:val="nil"/>
              <w:tr2bl w:val="nil"/>
            </w:tcBorders>
            <w:noWrap w:val="0"/>
            <w:vAlign w:val="center"/>
          </w:tcPr>
          <w:p w14:paraId="161556E3">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27584A62">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r>
      <w:tr w14:paraId="6C4731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78B31D02">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2022年11月</w:t>
            </w:r>
          </w:p>
        </w:tc>
        <w:tc>
          <w:tcPr>
            <w:tcW w:w="398" w:type="pct"/>
            <w:tcBorders>
              <w:tl2br w:val="nil"/>
              <w:tr2bl w:val="nil"/>
            </w:tcBorders>
            <w:noWrap w:val="0"/>
            <w:vAlign w:val="center"/>
          </w:tcPr>
          <w:p w14:paraId="487E4288">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398" w:type="pct"/>
            <w:tcBorders>
              <w:tl2br w:val="nil"/>
              <w:tr2bl w:val="nil"/>
            </w:tcBorders>
            <w:noWrap w:val="0"/>
            <w:vAlign w:val="center"/>
          </w:tcPr>
          <w:p w14:paraId="4EC00FEB">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37" w:type="pct"/>
            <w:tcBorders>
              <w:tl2br w:val="nil"/>
              <w:tr2bl w:val="nil"/>
            </w:tcBorders>
            <w:noWrap w:val="0"/>
            <w:vAlign w:val="center"/>
          </w:tcPr>
          <w:p w14:paraId="66B8B3D4">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2023年11月</w:t>
            </w:r>
          </w:p>
        </w:tc>
        <w:tc>
          <w:tcPr>
            <w:tcW w:w="488" w:type="pct"/>
            <w:tcBorders>
              <w:tl2br w:val="nil"/>
              <w:tr2bl w:val="nil"/>
            </w:tcBorders>
            <w:noWrap w:val="0"/>
            <w:vAlign w:val="center"/>
          </w:tcPr>
          <w:p w14:paraId="39A84E08">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62434355">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24" w:type="pct"/>
            <w:tcBorders>
              <w:tl2br w:val="nil"/>
              <w:tr2bl w:val="nil"/>
            </w:tcBorders>
            <w:noWrap w:val="0"/>
            <w:vAlign w:val="center"/>
          </w:tcPr>
          <w:p w14:paraId="66A0529C">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2024年11月</w:t>
            </w:r>
          </w:p>
        </w:tc>
        <w:tc>
          <w:tcPr>
            <w:tcW w:w="495" w:type="pct"/>
            <w:tcBorders>
              <w:tl2br w:val="nil"/>
              <w:tr2bl w:val="nil"/>
            </w:tcBorders>
            <w:noWrap w:val="0"/>
            <w:vAlign w:val="center"/>
          </w:tcPr>
          <w:p w14:paraId="1E82DCE5">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1F5D7666">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r>
      <w:tr w14:paraId="2BE42F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771" w:type="pct"/>
            <w:tcBorders>
              <w:tl2br w:val="nil"/>
              <w:tr2bl w:val="nil"/>
            </w:tcBorders>
            <w:noWrap w:val="0"/>
            <w:vAlign w:val="center"/>
          </w:tcPr>
          <w:p w14:paraId="764813F5">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2022年12月</w:t>
            </w:r>
          </w:p>
        </w:tc>
        <w:tc>
          <w:tcPr>
            <w:tcW w:w="398" w:type="pct"/>
            <w:tcBorders>
              <w:tl2br w:val="nil"/>
              <w:tr2bl w:val="nil"/>
            </w:tcBorders>
            <w:noWrap w:val="0"/>
            <w:vAlign w:val="center"/>
          </w:tcPr>
          <w:p w14:paraId="36FDF266">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398" w:type="pct"/>
            <w:tcBorders>
              <w:tl2br w:val="nil"/>
              <w:tr2bl w:val="nil"/>
            </w:tcBorders>
            <w:noWrap w:val="0"/>
            <w:vAlign w:val="center"/>
          </w:tcPr>
          <w:p w14:paraId="48917806">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37" w:type="pct"/>
            <w:tcBorders>
              <w:tl2br w:val="nil"/>
              <w:tr2bl w:val="nil"/>
            </w:tcBorders>
            <w:noWrap w:val="0"/>
            <w:vAlign w:val="center"/>
          </w:tcPr>
          <w:p w14:paraId="32AA02F2">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2023年12月</w:t>
            </w:r>
          </w:p>
        </w:tc>
        <w:tc>
          <w:tcPr>
            <w:tcW w:w="488" w:type="pct"/>
            <w:tcBorders>
              <w:tl2br w:val="nil"/>
              <w:tr2bl w:val="nil"/>
            </w:tcBorders>
            <w:noWrap w:val="0"/>
            <w:vAlign w:val="center"/>
          </w:tcPr>
          <w:p w14:paraId="0BE95F41">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89" w:type="pct"/>
            <w:tcBorders>
              <w:tl2br w:val="nil"/>
              <w:tr2bl w:val="nil"/>
            </w:tcBorders>
            <w:noWrap w:val="0"/>
            <w:vAlign w:val="center"/>
          </w:tcPr>
          <w:p w14:paraId="6AADFD97">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724" w:type="pct"/>
            <w:tcBorders>
              <w:tl2br w:val="nil"/>
              <w:tr2bl w:val="nil"/>
            </w:tcBorders>
            <w:noWrap w:val="0"/>
            <w:vAlign w:val="center"/>
          </w:tcPr>
          <w:p w14:paraId="644D91C1">
            <w:pPr>
              <w:pStyle w:val="31"/>
              <w:bidi w:val="0"/>
              <w:rPr>
                <w:rFonts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2024年12月</w:t>
            </w:r>
          </w:p>
        </w:tc>
        <w:tc>
          <w:tcPr>
            <w:tcW w:w="495" w:type="pct"/>
            <w:tcBorders>
              <w:tl2br w:val="nil"/>
              <w:tr2bl w:val="nil"/>
            </w:tcBorders>
            <w:noWrap w:val="0"/>
            <w:vAlign w:val="center"/>
          </w:tcPr>
          <w:p w14:paraId="5201F222">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c>
          <w:tcPr>
            <w:tcW w:w="496" w:type="pct"/>
            <w:tcBorders>
              <w:tl2br w:val="nil"/>
              <w:tr2bl w:val="nil"/>
            </w:tcBorders>
            <w:noWrap w:val="0"/>
            <w:vAlign w:val="center"/>
          </w:tcPr>
          <w:p w14:paraId="1452C036">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Ⅱ</w:t>
            </w:r>
          </w:p>
        </w:tc>
      </w:tr>
    </w:tbl>
    <w:p w14:paraId="377A9641">
      <w:pPr>
        <w:pStyle w:val="20"/>
        <w:bidi w:val="0"/>
        <w:rPr>
          <w:rFonts w:hint="default"/>
          <w:color w:val="auto"/>
          <w:u w:val="none" w:color="auto"/>
          <w:lang w:val="en-US" w:eastAsia="zh-CN"/>
        </w:rPr>
      </w:pPr>
      <w:r>
        <w:rPr>
          <w:rFonts w:hint="default"/>
          <w:color w:val="auto"/>
          <w:u w:val="none" w:color="auto"/>
          <w:lang w:val="en-US" w:eastAsia="zh-CN"/>
        </w:rPr>
        <w:t>从历年各断面的监测数据来看，汨罗江新市断面、南渡断面水质均满足《地表水环境质量标准》（GB3838-2002）Ⅲ类标准，区域地表水环境质量现状良好。</w:t>
      </w:r>
    </w:p>
    <w:p w14:paraId="56A0655B">
      <w:pPr>
        <w:pStyle w:val="20"/>
        <w:bidi w:val="0"/>
        <w:rPr>
          <w:rFonts w:hint="default"/>
          <w:color w:val="auto"/>
          <w:u w:val="none" w:color="auto"/>
          <w:lang w:val="en-US" w:eastAsia="zh-CN"/>
        </w:rPr>
      </w:pPr>
      <w:r>
        <w:rPr>
          <w:rFonts w:hint="default"/>
          <w:color w:val="auto"/>
          <w:u w:val="none" w:color="auto"/>
          <w:lang w:val="en-US" w:eastAsia="zh-CN"/>
        </w:rPr>
        <w:t>2、现状监测情况数据</w:t>
      </w:r>
    </w:p>
    <w:p w14:paraId="3C4E671B">
      <w:pPr>
        <w:pStyle w:val="20"/>
        <w:bidi w:val="0"/>
        <w:rPr>
          <w:rFonts w:hint="default"/>
          <w:color w:val="auto"/>
          <w:u w:val="none" w:color="auto"/>
          <w:lang w:val="en-US" w:eastAsia="zh-CN"/>
        </w:rPr>
      </w:pPr>
      <w:r>
        <w:rPr>
          <w:rFonts w:hint="default"/>
          <w:color w:val="auto"/>
          <w:u w:val="none" w:color="auto"/>
          <w:lang w:val="en-US" w:eastAsia="zh-CN"/>
        </w:rPr>
        <w:t>本次环评引用《汨罗高新技术产业开发区扩区规划环境影响报告书》中对区域地表水环境质量的补充监测结果。湖南桓泓检测技术有限公司于2023年5月24日至26日对区域地表水监测断面进行了连续3天监测，每天一次进行采样。</w:t>
      </w:r>
    </w:p>
    <w:p w14:paraId="7364D52B">
      <w:pPr>
        <w:pStyle w:val="20"/>
        <w:bidi w:val="0"/>
        <w:rPr>
          <w:rFonts w:hint="default"/>
          <w:color w:val="auto"/>
          <w:u w:val="none" w:color="auto"/>
          <w:lang w:val="en-US" w:eastAsia="zh-CN"/>
        </w:rPr>
      </w:pPr>
      <w:r>
        <w:rPr>
          <w:rFonts w:hint="default"/>
          <w:color w:val="auto"/>
          <w:u w:val="none" w:color="auto"/>
          <w:lang w:val="en-US" w:eastAsia="zh-CN"/>
        </w:rPr>
        <w:t>引用的补充监测断面、监测因子等基本情况详见下表。</w:t>
      </w:r>
    </w:p>
    <w:p w14:paraId="0DD5F393">
      <w:pPr>
        <w:pStyle w:val="38"/>
        <w:bidi w:val="0"/>
        <w:rPr>
          <w:rFonts w:hint="eastAsia"/>
          <w:color w:val="auto"/>
          <w:u w:val="none" w:color="auto"/>
          <w:lang w:val="en-US" w:eastAsia="zh-CN"/>
        </w:rPr>
      </w:pPr>
      <w:r>
        <w:rPr>
          <w:rFonts w:hint="eastAsia"/>
          <w:color w:val="auto"/>
          <w:u w:val="none" w:color="auto"/>
          <w:lang w:val="en-US" w:eastAsia="zh-CN"/>
        </w:rPr>
        <w:t>表5.3-4 引用地表水现状补充监测点位表</w:t>
      </w:r>
    </w:p>
    <w:tbl>
      <w:tblPr>
        <w:tblStyle w:val="16"/>
        <w:tblW w:w="505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1012"/>
        <w:gridCol w:w="2280"/>
        <w:gridCol w:w="1305"/>
        <w:gridCol w:w="2670"/>
        <w:gridCol w:w="1236"/>
      </w:tblGrid>
      <w:tr w14:paraId="462CD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95" w:type="pct"/>
            <w:tcBorders>
              <w:tl2br w:val="nil"/>
              <w:tr2bl w:val="nil"/>
            </w:tcBorders>
            <w:noWrap w:val="0"/>
            <w:vAlign w:val="center"/>
          </w:tcPr>
          <w:p w14:paraId="75040BA2">
            <w:pPr>
              <w:pStyle w:val="31"/>
              <w:bidi w:val="0"/>
              <w:rPr>
                <w:rFonts w:hint="default" w:eastAsia="宋体"/>
                <w:color w:val="auto"/>
                <w:u w:val="none" w:color="auto"/>
                <w:lang w:val="en-US" w:eastAsia="zh-CN"/>
              </w:rPr>
            </w:pPr>
            <w:r>
              <w:rPr>
                <w:rFonts w:hint="eastAsia"/>
                <w:color w:val="auto"/>
                <w:u w:val="none" w:color="auto"/>
                <w:lang w:val="en-US" w:eastAsia="zh-CN"/>
              </w:rPr>
              <w:t>编号</w:t>
            </w:r>
          </w:p>
        </w:tc>
        <w:tc>
          <w:tcPr>
            <w:tcW w:w="1340" w:type="pct"/>
            <w:tcBorders>
              <w:tl2br w:val="nil"/>
              <w:tr2bl w:val="nil"/>
            </w:tcBorders>
            <w:noWrap w:val="0"/>
            <w:vAlign w:val="center"/>
          </w:tcPr>
          <w:p w14:paraId="079BD90E">
            <w:pPr>
              <w:pStyle w:val="31"/>
              <w:bidi w:val="0"/>
              <w:rPr>
                <w:rFonts w:hint="default" w:eastAsia="宋体"/>
                <w:color w:val="auto"/>
                <w:u w:val="none" w:color="auto"/>
                <w:lang w:val="en-US" w:eastAsia="zh-CN"/>
              </w:rPr>
            </w:pPr>
            <w:r>
              <w:rPr>
                <w:rFonts w:hint="eastAsia" w:ascii="Times New Roman" w:hAnsi="Times New Roman" w:cs="Times New Roman"/>
                <w:color w:val="auto"/>
                <w:u w:val="none" w:color="auto"/>
                <w:lang w:val="en-US" w:eastAsia="zh-CN"/>
              </w:rPr>
              <w:t>引用点位名称</w:t>
            </w:r>
          </w:p>
        </w:tc>
        <w:tc>
          <w:tcPr>
            <w:tcW w:w="767" w:type="pct"/>
            <w:tcBorders>
              <w:tl2br w:val="nil"/>
              <w:tr2bl w:val="nil"/>
            </w:tcBorders>
            <w:noWrap w:val="0"/>
            <w:vAlign w:val="center"/>
          </w:tcPr>
          <w:p w14:paraId="5C074F3A">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水体</w:t>
            </w:r>
          </w:p>
        </w:tc>
        <w:tc>
          <w:tcPr>
            <w:tcW w:w="1570" w:type="pct"/>
            <w:tcBorders>
              <w:tl2br w:val="nil"/>
              <w:tr2bl w:val="nil"/>
            </w:tcBorders>
            <w:noWrap w:val="0"/>
            <w:vAlign w:val="center"/>
          </w:tcPr>
          <w:p w14:paraId="5DCAF0C4">
            <w:pPr>
              <w:pStyle w:val="31"/>
              <w:bidi w:val="0"/>
              <w:rPr>
                <w:rFonts w:hint="default" w:eastAsia="宋体"/>
                <w:color w:val="auto"/>
                <w:u w:val="none" w:color="auto"/>
                <w:lang w:val="en-US" w:eastAsia="zh-CN"/>
              </w:rPr>
            </w:pPr>
            <w:r>
              <w:rPr>
                <w:rFonts w:hint="eastAsia"/>
                <w:color w:val="auto"/>
                <w:u w:val="none" w:color="auto"/>
                <w:lang w:val="en-US" w:eastAsia="zh-CN"/>
              </w:rPr>
              <w:t>监测因子</w:t>
            </w:r>
          </w:p>
        </w:tc>
        <w:tc>
          <w:tcPr>
            <w:tcW w:w="726" w:type="pct"/>
            <w:tcBorders>
              <w:tl2br w:val="nil"/>
              <w:tr2bl w:val="nil"/>
            </w:tcBorders>
            <w:noWrap w:val="0"/>
            <w:vAlign w:val="center"/>
          </w:tcPr>
          <w:p w14:paraId="7E456F76">
            <w:pPr>
              <w:pStyle w:val="31"/>
              <w:bidi w:val="0"/>
              <w:rPr>
                <w:rFonts w:hint="default"/>
                <w:color w:val="auto"/>
                <w:u w:val="none" w:color="auto"/>
                <w:lang w:val="en-US"/>
              </w:rPr>
            </w:pPr>
            <w:r>
              <w:rPr>
                <w:rFonts w:hint="eastAsia" w:ascii="Times New Roman" w:hAnsi="Times New Roman" w:cs="Times New Roman"/>
                <w:color w:val="auto"/>
                <w:u w:val="none" w:color="auto"/>
                <w:lang w:val="en-US" w:eastAsia="zh-CN"/>
              </w:rPr>
              <w:t>水功能区划</w:t>
            </w:r>
          </w:p>
        </w:tc>
      </w:tr>
      <w:tr w14:paraId="4D736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95" w:type="pct"/>
            <w:tcBorders>
              <w:tl2br w:val="nil"/>
              <w:tr2bl w:val="nil"/>
            </w:tcBorders>
            <w:noWrap w:val="0"/>
            <w:vAlign w:val="center"/>
          </w:tcPr>
          <w:p w14:paraId="1E2BB1E2">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W3</w:t>
            </w:r>
          </w:p>
        </w:tc>
        <w:tc>
          <w:tcPr>
            <w:tcW w:w="1340" w:type="pct"/>
            <w:tcBorders>
              <w:tl2br w:val="nil"/>
              <w:tr2bl w:val="nil"/>
            </w:tcBorders>
            <w:noWrap w:val="0"/>
            <w:vAlign w:val="center"/>
          </w:tcPr>
          <w:p w14:paraId="53444652">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汨罗市城市污水处理厂排污口上游500m</w:t>
            </w:r>
          </w:p>
        </w:tc>
        <w:tc>
          <w:tcPr>
            <w:tcW w:w="767" w:type="pct"/>
            <w:tcBorders>
              <w:tl2br w:val="nil"/>
              <w:tr2bl w:val="nil"/>
            </w:tcBorders>
            <w:noWrap w:val="0"/>
            <w:vAlign w:val="center"/>
          </w:tcPr>
          <w:p w14:paraId="14A71A33">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汨罗江</w:t>
            </w:r>
          </w:p>
        </w:tc>
        <w:tc>
          <w:tcPr>
            <w:tcW w:w="1570" w:type="pct"/>
            <w:vMerge w:val="restart"/>
            <w:tcBorders>
              <w:tl2br w:val="nil"/>
              <w:tr2bl w:val="nil"/>
            </w:tcBorders>
            <w:noWrap w:val="0"/>
            <w:vAlign w:val="center"/>
          </w:tcPr>
          <w:p w14:paraId="1EE0471C">
            <w:pPr>
              <w:pStyle w:val="31"/>
              <w:bidi w:val="0"/>
              <w:rPr>
                <w:color w:val="auto"/>
                <w:u w:val="none" w:color="auto"/>
              </w:rPr>
            </w:pPr>
            <w:r>
              <w:rPr>
                <w:rFonts w:hint="eastAsia"/>
                <w:color w:val="auto"/>
                <w:u w:val="none" w:color="auto"/>
              </w:rPr>
              <w:t>pH、SS、溶解氧、高锰酸盐指数、CODcr、BOD</w:t>
            </w:r>
            <w:r>
              <w:rPr>
                <w:rFonts w:hint="eastAsia"/>
                <w:color w:val="auto"/>
                <w:u w:val="none" w:color="auto"/>
                <w:vertAlign w:val="subscript"/>
              </w:rPr>
              <w:t>5</w:t>
            </w:r>
            <w:r>
              <w:rPr>
                <w:rFonts w:hint="eastAsia"/>
                <w:color w:val="auto"/>
                <w:u w:val="none" w:color="auto"/>
              </w:rPr>
              <w:t>、NH</w:t>
            </w:r>
            <w:r>
              <w:rPr>
                <w:rFonts w:hint="eastAsia"/>
                <w:color w:val="auto"/>
                <w:u w:val="none" w:color="auto"/>
                <w:vertAlign w:val="subscript"/>
              </w:rPr>
              <w:t>3</w:t>
            </w:r>
            <w:r>
              <w:rPr>
                <w:rFonts w:hint="eastAsia"/>
                <w:color w:val="auto"/>
                <w:u w:val="none" w:color="auto"/>
              </w:rPr>
              <w:t>-N、总磷、总氮、总铜、总锌、挥发酚、石油类、氟化物、氰化物、铅、镉、汞、砷、六价铬、镍、钴、锰、锑、铊、粪大肠菌群、硫化物</w:t>
            </w:r>
          </w:p>
        </w:tc>
        <w:tc>
          <w:tcPr>
            <w:tcW w:w="726" w:type="pct"/>
            <w:tcBorders>
              <w:tl2br w:val="nil"/>
              <w:tr2bl w:val="nil"/>
            </w:tcBorders>
            <w:noWrap w:val="0"/>
            <w:vAlign w:val="center"/>
          </w:tcPr>
          <w:p w14:paraId="6234A09B">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r>
      <w:tr w14:paraId="13E24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95" w:type="pct"/>
            <w:tcBorders>
              <w:tl2br w:val="nil"/>
              <w:tr2bl w:val="nil"/>
            </w:tcBorders>
            <w:noWrap w:val="0"/>
            <w:vAlign w:val="center"/>
          </w:tcPr>
          <w:p w14:paraId="1C2C1FBB">
            <w:pPr>
              <w:pStyle w:val="31"/>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W4</w:t>
            </w:r>
          </w:p>
        </w:tc>
        <w:tc>
          <w:tcPr>
            <w:tcW w:w="1340" w:type="pct"/>
            <w:tcBorders>
              <w:tl2br w:val="nil"/>
              <w:tr2bl w:val="nil"/>
            </w:tcBorders>
            <w:noWrap w:val="0"/>
            <w:vAlign w:val="center"/>
          </w:tcPr>
          <w:p w14:paraId="5BF3C10B">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汨罗市城市污水处理厂排污口下游1500m</w:t>
            </w:r>
          </w:p>
        </w:tc>
        <w:tc>
          <w:tcPr>
            <w:tcW w:w="767" w:type="pct"/>
            <w:tcBorders>
              <w:tl2br w:val="nil"/>
              <w:tr2bl w:val="nil"/>
            </w:tcBorders>
            <w:noWrap w:val="0"/>
            <w:vAlign w:val="center"/>
          </w:tcPr>
          <w:p w14:paraId="3FD51CCF">
            <w:pPr>
              <w:pStyle w:val="31"/>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汨罗江</w:t>
            </w:r>
          </w:p>
        </w:tc>
        <w:tc>
          <w:tcPr>
            <w:tcW w:w="1570" w:type="pct"/>
            <w:vMerge w:val="continue"/>
            <w:tcBorders>
              <w:tl2br w:val="nil"/>
              <w:tr2bl w:val="nil"/>
            </w:tcBorders>
            <w:noWrap w:val="0"/>
            <w:vAlign w:val="center"/>
          </w:tcPr>
          <w:p w14:paraId="0E71CAA3">
            <w:pPr>
              <w:pStyle w:val="31"/>
              <w:bidi w:val="0"/>
              <w:rPr>
                <w:color w:val="auto"/>
                <w:u w:val="none" w:color="auto"/>
              </w:rPr>
            </w:pPr>
          </w:p>
        </w:tc>
        <w:tc>
          <w:tcPr>
            <w:tcW w:w="726" w:type="pct"/>
            <w:tcBorders>
              <w:tl2br w:val="nil"/>
              <w:tr2bl w:val="nil"/>
            </w:tcBorders>
            <w:noWrap w:val="0"/>
            <w:vAlign w:val="center"/>
          </w:tcPr>
          <w:p w14:paraId="45EE82B5">
            <w:pPr>
              <w:pStyle w:val="31"/>
              <w:bidi w:val="0"/>
              <w:rPr>
                <w:rFonts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Ⅲ</w:t>
            </w:r>
          </w:p>
        </w:tc>
      </w:tr>
    </w:tbl>
    <w:p w14:paraId="2F60A69C">
      <w:pPr>
        <w:pStyle w:val="20"/>
        <w:bidi w:val="0"/>
        <w:rPr>
          <w:rFonts w:hint="default"/>
          <w:color w:val="auto"/>
          <w:u w:val="none" w:color="auto"/>
          <w:lang w:val="en-US" w:eastAsia="zh-CN"/>
        </w:rPr>
      </w:pPr>
      <w:r>
        <w:rPr>
          <w:rFonts w:hint="default"/>
          <w:color w:val="auto"/>
          <w:u w:val="none" w:color="auto"/>
          <w:lang w:val="en-US" w:eastAsia="zh-CN"/>
        </w:rPr>
        <w:t>汨罗江各补充监测断面均执行《地表水环境质量标准》（GB3838-2002）Ⅲ类标准限值。本次引用的地表水现状质量补充检测结果如下表所示。</w:t>
      </w:r>
    </w:p>
    <w:p w14:paraId="6A31A270">
      <w:pPr>
        <w:pStyle w:val="22"/>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b/>
          <w:color w:val="auto"/>
          <w:kern w:val="2"/>
          <w:sz w:val="21"/>
          <w:szCs w:val="24"/>
          <w:u w:val="none" w:color="auto"/>
          <w:lang w:val="en-US" w:eastAsia="zh-CN" w:bidi="ar-SA"/>
        </w:rPr>
        <w:t>表</w:t>
      </w:r>
      <w:r>
        <w:rPr>
          <w:rFonts w:hint="eastAsia" w:ascii="Times New Roman" w:hAnsi="Times New Roman" w:eastAsia="宋体" w:cs="Times New Roman"/>
          <w:b/>
          <w:color w:val="auto"/>
          <w:kern w:val="2"/>
          <w:sz w:val="21"/>
          <w:szCs w:val="24"/>
          <w:u w:val="none" w:color="auto"/>
          <w:lang w:val="en-US" w:eastAsia="zh-CN" w:bidi="ar-SA"/>
        </w:rPr>
        <w:t>5</w:t>
      </w:r>
      <w:r>
        <w:rPr>
          <w:rFonts w:hint="default" w:ascii="Times New Roman" w:hAnsi="Times New Roman" w:cs="Times New Roman"/>
          <w:b/>
          <w:color w:val="auto"/>
          <w:kern w:val="2"/>
          <w:sz w:val="21"/>
          <w:szCs w:val="24"/>
          <w:u w:val="none" w:color="auto"/>
          <w:lang w:val="en-US" w:eastAsia="zh-CN" w:bidi="ar-SA"/>
        </w:rPr>
        <w:t>.</w:t>
      </w:r>
      <w:r>
        <w:rPr>
          <w:rFonts w:hint="eastAsia" w:cs="Times New Roman"/>
          <w:b/>
          <w:color w:val="auto"/>
          <w:kern w:val="2"/>
          <w:sz w:val="21"/>
          <w:szCs w:val="24"/>
          <w:u w:val="none" w:color="auto"/>
          <w:lang w:val="en-US" w:eastAsia="zh-CN" w:bidi="ar-SA"/>
        </w:rPr>
        <w:t>3</w:t>
      </w:r>
      <w:r>
        <w:rPr>
          <w:rFonts w:hint="default" w:ascii="Times New Roman" w:hAnsi="Times New Roman" w:eastAsia="宋体" w:cs="Times New Roman"/>
          <w:b/>
          <w:color w:val="auto"/>
          <w:kern w:val="2"/>
          <w:sz w:val="21"/>
          <w:szCs w:val="24"/>
          <w:u w:val="none" w:color="auto"/>
          <w:lang w:val="en-US" w:eastAsia="zh-CN" w:bidi="ar-SA"/>
        </w:rPr>
        <w:t>-</w:t>
      </w:r>
      <w:r>
        <w:rPr>
          <w:rFonts w:hint="eastAsia" w:ascii="Times New Roman" w:hAnsi="Times New Roman" w:cs="Times New Roman"/>
          <w:b/>
          <w:color w:val="auto"/>
          <w:kern w:val="2"/>
          <w:sz w:val="21"/>
          <w:szCs w:val="24"/>
          <w:u w:val="none" w:color="auto"/>
          <w:lang w:val="en-US" w:eastAsia="zh-CN" w:bidi="ar-SA"/>
        </w:rPr>
        <w:t>5</w:t>
      </w:r>
      <w:r>
        <w:rPr>
          <w:rFonts w:hint="default" w:ascii="Times New Roman" w:hAnsi="Times New Roman" w:cs="Times New Roman"/>
          <w:b/>
          <w:color w:val="auto"/>
          <w:kern w:val="2"/>
          <w:sz w:val="21"/>
          <w:szCs w:val="24"/>
          <w:u w:val="none" w:color="auto"/>
          <w:lang w:val="en-US" w:eastAsia="zh-CN" w:bidi="ar-SA"/>
        </w:rPr>
        <w:t xml:space="preserve">  </w:t>
      </w:r>
      <w:r>
        <w:rPr>
          <w:rFonts w:hint="eastAsia" w:ascii="Times New Roman" w:hAnsi="Times New Roman" w:cs="Times New Roman"/>
          <w:color w:val="auto"/>
          <w:u w:val="none" w:color="auto"/>
          <w:lang w:val="en-US" w:eastAsia="zh-CN"/>
        </w:rPr>
        <w:t>地表水现状补充监测结果评价一览表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769"/>
        <w:gridCol w:w="921"/>
        <w:gridCol w:w="1495"/>
        <w:gridCol w:w="1199"/>
        <w:gridCol w:w="1921"/>
        <w:gridCol w:w="1199"/>
      </w:tblGrid>
      <w:tr w14:paraId="7D2B4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937F373">
            <w:pPr>
              <w:widowControl/>
              <w:spacing w:line="240" w:lineRule="auto"/>
              <w:ind w:firstLine="0" w:firstLineChars="0"/>
              <w:jc w:val="center"/>
              <w:rPr>
                <w:rFonts w:cs="Times New Roman"/>
                <w:b/>
                <w:color w:val="auto"/>
                <w:sz w:val="21"/>
                <w:u w:val="none" w:color="auto"/>
              </w:rPr>
            </w:pPr>
            <w:r>
              <w:rPr>
                <w:rFonts w:cs="Times New Roman"/>
                <w:b/>
                <w:color w:val="auto"/>
                <w:sz w:val="21"/>
                <w:u w:val="none" w:color="auto"/>
              </w:rPr>
              <w:t>因子</w:t>
            </w:r>
          </w:p>
        </w:tc>
        <w:tc>
          <w:tcPr>
            <w:tcW w:w="921" w:type="dxa"/>
            <w:tcBorders>
              <w:tl2br w:val="nil"/>
              <w:tr2bl w:val="nil"/>
            </w:tcBorders>
            <w:noWrap/>
            <w:tcMar>
              <w:top w:w="15" w:type="dxa"/>
              <w:left w:w="15" w:type="dxa"/>
              <w:right w:w="15" w:type="dxa"/>
            </w:tcMar>
            <w:vAlign w:val="center"/>
          </w:tcPr>
          <w:p w14:paraId="26C583B1">
            <w:pPr>
              <w:widowControl/>
              <w:spacing w:line="240" w:lineRule="auto"/>
              <w:ind w:firstLine="0" w:firstLineChars="0"/>
              <w:jc w:val="center"/>
              <w:textAlignment w:val="center"/>
              <w:rPr>
                <w:rFonts w:cs="Times New Roman"/>
                <w:b/>
                <w:color w:val="auto"/>
                <w:sz w:val="21"/>
                <w:u w:val="none" w:color="auto"/>
                <w:lang w:bidi="ar"/>
              </w:rPr>
            </w:pPr>
            <w:r>
              <w:rPr>
                <w:rFonts w:cs="Times New Roman"/>
                <w:b/>
                <w:color w:val="auto"/>
                <w:sz w:val="21"/>
                <w:u w:val="none" w:color="auto"/>
                <w:lang w:bidi="ar"/>
              </w:rPr>
              <w:t>单位</w:t>
            </w:r>
          </w:p>
        </w:tc>
        <w:tc>
          <w:tcPr>
            <w:tcW w:w="1495" w:type="dxa"/>
            <w:tcBorders>
              <w:tl2br w:val="nil"/>
              <w:tr2bl w:val="nil"/>
            </w:tcBorders>
            <w:noWrap/>
            <w:tcMar>
              <w:top w:w="15" w:type="dxa"/>
              <w:left w:w="15" w:type="dxa"/>
              <w:right w:w="15" w:type="dxa"/>
            </w:tcMar>
            <w:vAlign w:val="center"/>
          </w:tcPr>
          <w:p w14:paraId="0FE6F2AA">
            <w:pPr>
              <w:widowControl/>
              <w:spacing w:line="240" w:lineRule="auto"/>
              <w:ind w:firstLine="0" w:firstLineChars="0"/>
              <w:jc w:val="center"/>
              <w:textAlignment w:val="center"/>
              <w:rPr>
                <w:rFonts w:cs="Times New Roman"/>
                <w:b/>
                <w:color w:val="auto"/>
                <w:sz w:val="21"/>
                <w:u w:val="none" w:color="auto"/>
              </w:rPr>
            </w:pPr>
            <w:r>
              <w:rPr>
                <w:rFonts w:cs="Times New Roman"/>
                <w:b/>
                <w:color w:val="auto"/>
                <w:sz w:val="21"/>
                <w:u w:val="none" w:color="auto"/>
                <w:lang w:bidi="ar"/>
              </w:rPr>
              <w:t>检测值范围</w:t>
            </w:r>
          </w:p>
        </w:tc>
        <w:tc>
          <w:tcPr>
            <w:tcW w:w="1199" w:type="dxa"/>
            <w:tcBorders>
              <w:tl2br w:val="nil"/>
              <w:tr2bl w:val="nil"/>
            </w:tcBorders>
            <w:noWrap/>
            <w:tcMar>
              <w:top w:w="15" w:type="dxa"/>
              <w:left w:w="15" w:type="dxa"/>
              <w:right w:w="15" w:type="dxa"/>
            </w:tcMar>
            <w:vAlign w:val="center"/>
          </w:tcPr>
          <w:p w14:paraId="4436123D">
            <w:pPr>
              <w:widowControl/>
              <w:spacing w:line="240" w:lineRule="auto"/>
              <w:ind w:firstLine="0" w:firstLineChars="0"/>
              <w:jc w:val="center"/>
              <w:textAlignment w:val="center"/>
              <w:rPr>
                <w:rFonts w:cs="Times New Roman"/>
                <w:b/>
                <w:color w:val="auto"/>
                <w:sz w:val="21"/>
                <w:u w:val="none" w:color="auto"/>
              </w:rPr>
            </w:pPr>
            <w:r>
              <w:rPr>
                <w:rFonts w:cs="Times New Roman"/>
                <w:b/>
                <w:color w:val="auto"/>
                <w:sz w:val="21"/>
                <w:u w:val="none" w:color="auto"/>
                <w:lang w:bidi="ar"/>
              </w:rPr>
              <w:t>标准限值</w:t>
            </w:r>
          </w:p>
        </w:tc>
        <w:tc>
          <w:tcPr>
            <w:tcW w:w="1921" w:type="dxa"/>
            <w:tcBorders>
              <w:tl2br w:val="nil"/>
              <w:tr2bl w:val="nil"/>
            </w:tcBorders>
            <w:noWrap/>
            <w:tcMar>
              <w:top w:w="15" w:type="dxa"/>
              <w:left w:w="15" w:type="dxa"/>
              <w:right w:w="15" w:type="dxa"/>
            </w:tcMar>
            <w:vAlign w:val="center"/>
          </w:tcPr>
          <w:p w14:paraId="4050D0F0">
            <w:pPr>
              <w:widowControl/>
              <w:spacing w:line="240" w:lineRule="auto"/>
              <w:ind w:firstLine="0" w:firstLineChars="0"/>
              <w:jc w:val="center"/>
              <w:textAlignment w:val="center"/>
              <w:rPr>
                <w:rFonts w:cs="Times New Roman"/>
                <w:b/>
                <w:color w:val="auto"/>
                <w:sz w:val="21"/>
                <w:u w:val="none" w:color="auto"/>
              </w:rPr>
            </w:pPr>
            <w:r>
              <w:rPr>
                <w:rFonts w:cs="Times New Roman"/>
                <w:b/>
                <w:color w:val="auto"/>
                <w:sz w:val="21"/>
                <w:u w:val="none" w:color="auto"/>
                <w:lang w:bidi="ar"/>
              </w:rPr>
              <w:t>标准指数范围*</w:t>
            </w:r>
          </w:p>
        </w:tc>
        <w:tc>
          <w:tcPr>
            <w:tcW w:w="1199" w:type="dxa"/>
            <w:tcBorders>
              <w:tl2br w:val="nil"/>
              <w:tr2bl w:val="nil"/>
            </w:tcBorders>
            <w:noWrap/>
            <w:tcMar>
              <w:top w:w="15" w:type="dxa"/>
              <w:left w:w="15" w:type="dxa"/>
              <w:right w:w="15" w:type="dxa"/>
            </w:tcMar>
            <w:vAlign w:val="center"/>
          </w:tcPr>
          <w:p w14:paraId="7F17DD75">
            <w:pPr>
              <w:widowControl/>
              <w:spacing w:line="240" w:lineRule="auto"/>
              <w:ind w:firstLine="0" w:firstLineChars="0"/>
              <w:jc w:val="center"/>
              <w:textAlignment w:val="center"/>
              <w:rPr>
                <w:rFonts w:cs="Times New Roman"/>
                <w:b/>
                <w:color w:val="auto"/>
                <w:sz w:val="21"/>
                <w:u w:val="none" w:color="auto"/>
              </w:rPr>
            </w:pPr>
            <w:r>
              <w:rPr>
                <w:rFonts w:cs="Times New Roman"/>
                <w:b/>
                <w:color w:val="auto"/>
                <w:sz w:val="21"/>
                <w:u w:val="none" w:color="auto"/>
                <w:lang w:bidi="ar"/>
              </w:rPr>
              <w:t>达标情况</w:t>
            </w:r>
          </w:p>
        </w:tc>
      </w:tr>
      <w:tr w14:paraId="1F95A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8504" w:type="dxa"/>
            <w:gridSpan w:val="6"/>
            <w:tcBorders>
              <w:tl2br w:val="nil"/>
              <w:tr2bl w:val="nil"/>
            </w:tcBorders>
            <w:noWrap/>
            <w:tcMar>
              <w:top w:w="15" w:type="dxa"/>
              <w:left w:w="15" w:type="dxa"/>
              <w:right w:w="15" w:type="dxa"/>
            </w:tcMar>
            <w:vAlign w:val="center"/>
          </w:tcPr>
          <w:p w14:paraId="7256C64B">
            <w:pPr>
              <w:widowControl/>
              <w:spacing w:line="240" w:lineRule="auto"/>
              <w:ind w:firstLine="0" w:firstLineChars="0"/>
              <w:jc w:val="center"/>
              <w:textAlignment w:val="center"/>
              <w:rPr>
                <w:rFonts w:cs="Times New Roman"/>
                <w:b/>
                <w:color w:val="auto"/>
                <w:sz w:val="21"/>
                <w:u w:val="none" w:color="auto"/>
                <w:lang w:bidi="ar"/>
              </w:rPr>
            </w:pPr>
            <w:r>
              <w:rPr>
                <w:rFonts w:cs="Times New Roman"/>
                <w:b/>
                <w:color w:val="auto"/>
                <w:sz w:val="21"/>
                <w:u w:val="none" w:color="auto"/>
              </w:rPr>
              <w:t xml:space="preserve">W3 </w:t>
            </w:r>
            <w:r>
              <w:rPr>
                <w:rFonts w:hint="eastAsia" w:cs="Times New Roman"/>
                <w:b/>
                <w:color w:val="auto"/>
                <w:sz w:val="21"/>
                <w:u w:val="none" w:color="auto"/>
                <w:lang w:eastAsia="zh-CN"/>
              </w:rPr>
              <w:t>汨</w:t>
            </w:r>
            <w:r>
              <w:rPr>
                <w:rFonts w:cs="Times New Roman"/>
                <w:b/>
                <w:color w:val="auto"/>
                <w:sz w:val="21"/>
                <w:u w:val="none" w:color="auto"/>
              </w:rPr>
              <w:t>罗江-</w:t>
            </w:r>
            <w:r>
              <w:rPr>
                <w:rFonts w:hint="eastAsia" w:cs="Times New Roman"/>
                <w:b/>
                <w:color w:val="auto"/>
                <w:sz w:val="21"/>
                <w:u w:val="none" w:color="auto"/>
                <w:lang w:eastAsia="zh-CN"/>
              </w:rPr>
              <w:t>汨</w:t>
            </w:r>
            <w:r>
              <w:rPr>
                <w:rFonts w:cs="Times New Roman"/>
                <w:b/>
                <w:color w:val="auto"/>
                <w:sz w:val="21"/>
                <w:u w:val="none" w:color="auto"/>
              </w:rPr>
              <w:t>罗城市污水处理厂排污口上游500m</w:t>
            </w:r>
          </w:p>
        </w:tc>
      </w:tr>
      <w:tr w14:paraId="692FC9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697B19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水温</w:t>
            </w:r>
          </w:p>
        </w:tc>
        <w:tc>
          <w:tcPr>
            <w:tcW w:w="921" w:type="dxa"/>
            <w:tcBorders>
              <w:tl2br w:val="nil"/>
              <w:tr2bl w:val="nil"/>
            </w:tcBorders>
            <w:noWrap/>
            <w:tcMar>
              <w:top w:w="15" w:type="dxa"/>
              <w:left w:w="15" w:type="dxa"/>
              <w:right w:w="15" w:type="dxa"/>
            </w:tcMar>
            <w:vAlign w:val="center"/>
          </w:tcPr>
          <w:p w14:paraId="5D3DEA8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495" w:type="dxa"/>
            <w:tcBorders>
              <w:tl2br w:val="nil"/>
              <w:tr2bl w:val="nil"/>
            </w:tcBorders>
            <w:noWrap/>
            <w:tcMar>
              <w:top w:w="15" w:type="dxa"/>
              <w:left w:w="15" w:type="dxa"/>
              <w:right w:w="15" w:type="dxa"/>
            </w:tcMar>
            <w:vAlign w:val="center"/>
          </w:tcPr>
          <w:p w14:paraId="4481FB9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23.8~26.1</w:t>
            </w:r>
          </w:p>
        </w:tc>
        <w:tc>
          <w:tcPr>
            <w:tcW w:w="1199" w:type="dxa"/>
            <w:tcBorders>
              <w:tl2br w:val="nil"/>
              <w:tr2bl w:val="nil"/>
            </w:tcBorders>
            <w:noWrap/>
            <w:tcMar>
              <w:top w:w="15" w:type="dxa"/>
              <w:left w:w="15" w:type="dxa"/>
              <w:right w:w="15" w:type="dxa"/>
            </w:tcMar>
            <w:vAlign w:val="center"/>
          </w:tcPr>
          <w:p w14:paraId="130E629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921" w:type="dxa"/>
            <w:tcBorders>
              <w:tl2br w:val="nil"/>
              <w:tr2bl w:val="nil"/>
            </w:tcBorders>
            <w:noWrap/>
            <w:tcMar>
              <w:top w:w="15" w:type="dxa"/>
              <w:left w:w="15" w:type="dxa"/>
              <w:right w:w="15" w:type="dxa"/>
            </w:tcMar>
            <w:vAlign w:val="center"/>
          </w:tcPr>
          <w:p w14:paraId="0FC1EF4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0471C5DA">
            <w:pPr>
              <w:widowControl/>
              <w:spacing w:line="240" w:lineRule="auto"/>
              <w:ind w:firstLine="0" w:firstLineChars="0"/>
              <w:jc w:val="center"/>
              <w:rPr>
                <w:rFonts w:cs="Times New Roman"/>
                <w:color w:val="auto"/>
                <w:sz w:val="21"/>
                <w:u w:val="none" w:color="auto"/>
              </w:rPr>
            </w:pPr>
            <w:r>
              <w:rPr>
                <w:rFonts w:cs="Times New Roman"/>
                <w:color w:val="auto"/>
                <w:sz w:val="21"/>
                <w:u w:val="none" w:color="auto"/>
              </w:rPr>
              <w:t>/</w:t>
            </w:r>
          </w:p>
        </w:tc>
      </w:tr>
      <w:tr w14:paraId="7F379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2BD04C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pH</w:t>
            </w:r>
          </w:p>
        </w:tc>
        <w:tc>
          <w:tcPr>
            <w:tcW w:w="921" w:type="dxa"/>
            <w:tcBorders>
              <w:tl2br w:val="nil"/>
              <w:tr2bl w:val="nil"/>
            </w:tcBorders>
            <w:noWrap/>
            <w:tcMar>
              <w:top w:w="15" w:type="dxa"/>
              <w:left w:w="15" w:type="dxa"/>
              <w:right w:w="15" w:type="dxa"/>
            </w:tcMar>
            <w:vAlign w:val="center"/>
          </w:tcPr>
          <w:p w14:paraId="3FAFE03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无量纲</w:t>
            </w:r>
          </w:p>
        </w:tc>
        <w:tc>
          <w:tcPr>
            <w:tcW w:w="1495" w:type="dxa"/>
            <w:tcBorders>
              <w:tl2br w:val="nil"/>
              <w:tr2bl w:val="nil"/>
            </w:tcBorders>
            <w:noWrap/>
            <w:tcMar>
              <w:top w:w="15" w:type="dxa"/>
              <w:left w:w="15" w:type="dxa"/>
              <w:right w:w="15" w:type="dxa"/>
            </w:tcMar>
            <w:vAlign w:val="center"/>
          </w:tcPr>
          <w:p w14:paraId="55B9D0C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7.9~8.0</w:t>
            </w:r>
          </w:p>
        </w:tc>
        <w:tc>
          <w:tcPr>
            <w:tcW w:w="1199" w:type="dxa"/>
            <w:tcBorders>
              <w:tl2br w:val="nil"/>
              <w:tr2bl w:val="nil"/>
            </w:tcBorders>
            <w:noWrap/>
            <w:tcMar>
              <w:top w:w="15" w:type="dxa"/>
              <w:left w:w="15" w:type="dxa"/>
              <w:right w:w="15" w:type="dxa"/>
            </w:tcMar>
            <w:vAlign w:val="center"/>
          </w:tcPr>
          <w:p w14:paraId="16FCF08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6~9</w:t>
            </w:r>
          </w:p>
        </w:tc>
        <w:tc>
          <w:tcPr>
            <w:tcW w:w="1921" w:type="dxa"/>
            <w:tcBorders>
              <w:tl2br w:val="nil"/>
              <w:tr2bl w:val="nil"/>
            </w:tcBorders>
            <w:noWrap/>
            <w:tcMar>
              <w:top w:w="15" w:type="dxa"/>
              <w:left w:w="15" w:type="dxa"/>
              <w:right w:w="15" w:type="dxa"/>
            </w:tcMar>
            <w:vAlign w:val="center"/>
          </w:tcPr>
          <w:p w14:paraId="57CB0DC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0.45~0.50</w:t>
            </w:r>
          </w:p>
        </w:tc>
        <w:tc>
          <w:tcPr>
            <w:tcW w:w="1199" w:type="dxa"/>
            <w:tcBorders>
              <w:tl2br w:val="nil"/>
              <w:tr2bl w:val="nil"/>
            </w:tcBorders>
            <w:noWrap/>
            <w:tcMar>
              <w:top w:w="15" w:type="dxa"/>
              <w:left w:w="15" w:type="dxa"/>
              <w:right w:w="15" w:type="dxa"/>
            </w:tcMar>
            <w:vAlign w:val="center"/>
          </w:tcPr>
          <w:p w14:paraId="6C03941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0F426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8B1B20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SS</w:t>
            </w:r>
          </w:p>
        </w:tc>
        <w:tc>
          <w:tcPr>
            <w:tcW w:w="921" w:type="dxa"/>
            <w:tcBorders>
              <w:tl2br w:val="nil"/>
              <w:tr2bl w:val="nil"/>
            </w:tcBorders>
            <w:noWrap/>
            <w:tcMar>
              <w:top w:w="15" w:type="dxa"/>
              <w:left w:w="15" w:type="dxa"/>
              <w:right w:w="15" w:type="dxa"/>
            </w:tcMar>
            <w:vAlign w:val="center"/>
          </w:tcPr>
          <w:p w14:paraId="58E97F9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1044CB5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18~19</w:t>
            </w:r>
          </w:p>
        </w:tc>
        <w:tc>
          <w:tcPr>
            <w:tcW w:w="1199" w:type="dxa"/>
            <w:tcBorders>
              <w:tl2br w:val="nil"/>
              <w:tr2bl w:val="nil"/>
            </w:tcBorders>
            <w:noWrap/>
            <w:tcMar>
              <w:top w:w="15" w:type="dxa"/>
              <w:left w:w="15" w:type="dxa"/>
              <w:right w:w="15" w:type="dxa"/>
            </w:tcMar>
            <w:vAlign w:val="center"/>
          </w:tcPr>
          <w:p w14:paraId="3F86192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921" w:type="dxa"/>
            <w:tcBorders>
              <w:tl2br w:val="nil"/>
              <w:tr2bl w:val="nil"/>
            </w:tcBorders>
            <w:noWrap/>
            <w:tcMar>
              <w:top w:w="15" w:type="dxa"/>
              <w:left w:w="15" w:type="dxa"/>
              <w:right w:w="15" w:type="dxa"/>
            </w:tcMar>
            <w:vAlign w:val="center"/>
          </w:tcPr>
          <w:p w14:paraId="7FA5C98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256E2D86">
            <w:pPr>
              <w:widowControl/>
              <w:spacing w:line="240" w:lineRule="auto"/>
              <w:ind w:firstLine="0" w:firstLineChars="0"/>
              <w:jc w:val="center"/>
              <w:rPr>
                <w:rFonts w:cs="Times New Roman"/>
                <w:color w:val="auto"/>
                <w:sz w:val="21"/>
                <w:u w:val="none" w:color="auto"/>
              </w:rPr>
            </w:pPr>
            <w:r>
              <w:rPr>
                <w:rFonts w:cs="Times New Roman"/>
                <w:color w:val="auto"/>
                <w:sz w:val="21"/>
                <w:u w:val="none" w:color="auto"/>
              </w:rPr>
              <w:t>/</w:t>
            </w:r>
          </w:p>
        </w:tc>
      </w:tr>
      <w:tr w14:paraId="3F655A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4EB9DB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DO</w:t>
            </w:r>
          </w:p>
        </w:tc>
        <w:tc>
          <w:tcPr>
            <w:tcW w:w="921" w:type="dxa"/>
            <w:tcBorders>
              <w:tl2br w:val="nil"/>
              <w:tr2bl w:val="nil"/>
            </w:tcBorders>
            <w:noWrap/>
            <w:tcMar>
              <w:top w:w="15" w:type="dxa"/>
              <w:left w:w="15" w:type="dxa"/>
              <w:right w:w="15" w:type="dxa"/>
            </w:tcMar>
            <w:vAlign w:val="center"/>
          </w:tcPr>
          <w:p w14:paraId="3746EC9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4F3961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6.5~7.5</w:t>
            </w:r>
          </w:p>
        </w:tc>
        <w:tc>
          <w:tcPr>
            <w:tcW w:w="1199" w:type="dxa"/>
            <w:tcBorders>
              <w:tl2br w:val="nil"/>
              <w:tr2bl w:val="nil"/>
            </w:tcBorders>
            <w:noWrap/>
            <w:tcMar>
              <w:top w:w="15" w:type="dxa"/>
              <w:left w:w="15" w:type="dxa"/>
              <w:right w:w="15" w:type="dxa"/>
            </w:tcMar>
            <w:vAlign w:val="center"/>
          </w:tcPr>
          <w:p w14:paraId="374F78F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≥5</w:t>
            </w:r>
          </w:p>
        </w:tc>
        <w:tc>
          <w:tcPr>
            <w:tcW w:w="1921" w:type="dxa"/>
            <w:tcBorders>
              <w:tl2br w:val="nil"/>
              <w:tr2bl w:val="nil"/>
            </w:tcBorders>
            <w:noWrap/>
            <w:tcMar>
              <w:top w:w="15" w:type="dxa"/>
              <w:left w:w="15" w:type="dxa"/>
              <w:right w:w="15" w:type="dxa"/>
            </w:tcMar>
            <w:vAlign w:val="center"/>
          </w:tcPr>
          <w:p w14:paraId="1A2DAD8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0.27~0.52</w:t>
            </w:r>
          </w:p>
        </w:tc>
        <w:tc>
          <w:tcPr>
            <w:tcW w:w="1199" w:type="dxa"/>
            <w:tcBorders>
              <w:tl2br w:val="nil"/>
              <w:tr2bl w:val="nil"/>
            </w:tcBorders>
            <w:noWrap/>
            <w:tcMar>
              <w:top w:w="15" w:type="dxa"/>
              <w:left w:w="15" w:type="dxa"/>
              <w:right w:w="15" w:type="dxa"/>
            </w:tcMar>
            <w:vAlign w:val="center"/>
          </w:tcPr>
          <w:p w14:paraId="08E6FC5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458CCF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F146D9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高锰酸盐指数</w:t>
            </w:r>
          </w:p>
        </w:tc>
        <w:tc>
          <w:tcPr>
            <w:tcW w:w="921" w:type="dxa"/>
            <w:tcBorders>
              <w:tl2br w:val="nil"/>
              <w:tr2bl w:val="nil"/>
            </w:tcBorders>
            <w:noWrap/>
            <w:tcMar>
              <w:top w:w="15" w:type="dxa"/>
              <w:left w:w="15" w:type="dxa"/>
              <w:right w:w="15" w:type="dxa"/>
            </w:tcMar>
            <w:vAlign w:val="center"/>
          </w:tcPr>
          <w:p w14:paraId="25CC85E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5DE3E0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1.3~1.4</w:t>
            </w:r>
          </w:p>
        </w:tc>
        <w:tc>
          <w:tcPr>
            <w:tcW w:w="1199" w:type="dxa"/>
            <w:tcBorders>
              <w:tl2br w:val="nil"/>
              <w:tr2bl w:val="nil"/>
            </w:tcBorders>
            <w:noWrap/>
            <w:tcMar>
              <w:top w:w="15" w:type="dxa"/>
              <w:left w:w="15" w:type="dxa"/>
              <w:right w:w="15" w:type="dxa"/>
            </w:tcMar>
            <w:vAlign w:val="center"/>
          </w:tcPr>
          <w:p w14:paraId="4F62E5D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≤6</w:t>
            </w:r>
          </w:p>
        </w:tc>
        <w:tc>
          <w:tcPr>
            <w:tcW w:w="1921" w:type="dxa"/>
            <w:tcBorders>
              <w:tl2br w:val="nil"/>
              <w:tr2bl w:val="nil"/>
            </w:tcBorders>
            <w:noWrap/>
            <w:tcMar>
              <w:top w:w="15" w:type="dxa"/>
              <w:left w:w="15" w:type="dxa"/>
              <w:right w:w="15" w:type="dxa"/>
            </w:tcMar>
            <w:vAlign w:val="center"/>
          </w:tcPr>
          <w:p w14:paraId="78DBDB3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0.22~0.23</w:t>
            </w:r>
          </w:p>
        </w:tc>
        <w:tc>
          <w:tcPr>
            <w:tcW w:w="1199" w:type="dxa"/>
            <w:tcBorders>
              <w:tl2br w:val="nil"/>
              <w:tr2bl w:val="nil"/>
            </w:tcBorders>
            <w:noWrap/>
            <w:tcMar>
              <w:top w:w="15" w:type="dxa"/>
              <w:left w:w="15" w:type="dxa"/>
              <w:right w:w="15" w:type="dxa"/>
            </w:tcMar>
            <w:vAlign w:val="center"/>
          </w:tcPr>
          <w:p w14:paraId="64D832E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0ADAD3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5E3B1B9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COD</w:t>
            </w:r>
            <w:r>
              <w:rPr>
                <w:rFonts w:cs="Times New Roman"/>
                <w:color w:val="auto"/>
                <w:sz w:val="21"/>
                <w:u w:val="none" w:color="auto"/>
                <w:vertAlign w:val="subscript"/>
                <w:lang w:bidi="ar"/>
              </w:rPr>
              <w:t>Cr</w:t>
            </w:r>
          </w:p>
        </w:tc>
        <w:tc>
          <w:tcPr>
            <w:tcW w:w="921" w:type="dxa"/>
            <w:tcBorders>
              <w:tl2br w:val="nil"/>
              <w:tr2bl w:val="nil"/>
            </w:tcBorders>
            <w:noWrap/>
            <w:tcMar>
              <w:top w:w="15" w:type="dxa"/>
              <w:left w:w="15" w:type="dxa"/>
              <w:right w:w="15" w:type="dxa"/>
            </w:tcMar>
            <w:vAlign w:val="center"/>
          </w:tcPr>
          <w:p w14:paraId="1EC6655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2C2682D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12~13</w:t>
            </w:r>
          </w:p>
        </w:tc>
        <w:tc>
          <w:tcPr>
            <w:tcW w:w="1199" w:type="dxa"/>
            <w:tcBorders>
              <w:tl2br w:val="nil"/>
              <w:tr2bl w:val="nil"/>
            </w:tcBorders>
            <w:noWrap/>
            <w:tcMar>
              <w:top w:w="15" w:type="dxa"/>
              <w:left w:w="15" w:type="dxa"/>
              <w:right w:w="15" w:type="dxa"/>
            </w:tcMar>
            <w:vAlign w:val="center"/>
          </w:tcPr>
          <w:p w14:paraId="4317C4B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≤20</w:t>
            </w:r>
          </w:p>
        </w:tc>
        <w:tc>
          <w:tcPr>
            <w:tcW w:w="1921" w:type="dxa"/>
            <w:tcBorders>
              <w:tl2br w:val="nil"/>
              <w:tr2bl w:val="nil"/>
            </w:tcBorders>
            <w:noWrap/>
            <w:tcMar>
              <w:top w:w="15" w:type="dxa"/>
              <w:left w:w="15" w:type="dxa"/>
              <w:right w:w="15" w:type="dxa"/>
            </w:tcMar>
            <w:vAlign w:val="center"/>
          </w:tcPr>
          <w:p w14:paraId="56F8D66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0.60~0.65</w:t>
            </w:r>
          </w:p>
        </w:tc>
        <w:tc>
          <w:tcPr>
            <w:tcW w:w="1199" w:type="dxa"/>
            <w:tcBorders>
              <w:tl2br w:val="nil"/>
              <w:tr2bl w:val="nil"/>
            </w:tcBorders>
            <w:noWrap/>
            <w:tcMar>
              <w:top w:w="15" w:type="dxa"/>
              <w:left w:w="15" w:type="dxa"/>
              <w:right w:w="15" w:type="dxa"/>
            </w:tcMar>
            <w:vAlign w:val="center"/>
          </w:tcPr>
          <w:p w14:paraId="259E13A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67D84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7AAE89D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BOD</w:t>
            </w:r>
            <w:r>
              <w:rPr>
                <w:rFonts w:cs="Times New Roman"/>
                <w:color w:val="auto"/>
                <w:sz w:val="21"/>
                <w:u w:val="none" w:color="auto"/>
                <w:vertAlign w:val="subscript"/>
                <w:lang w:bidi="ar"/>
              </w:rPr>
              <w:t>5</w:t>
            </w:r>
          </w:p>
        </w:tc>
        <w:tc>
          <w:tcPr>
            <w:tcW w:w="921" w:type="dxa"/>
            <w:tcBorders>
              <w:tl2br w:val="nil"/>
              <w:tr2bl w:val="nil"/>
            </w:tcBorders>
            <w:noWrap/>
            <w:tcMar>
              <w:top w:w="15" w:type="dxa"/>
              <w:left w:w="15" w:type="dxa"/>
              <w:right w:w="15" w:type="dxa"/>
            </w:tcMar>
            <w:vAlign w:val="center"/>
          </w:tcPr>
          <w:p w14:paraId="4627F9D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A6A295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2.6~2.8</w:t>
            </w:r>
          </w:p>
        </w:tc>
        <w:tc>
          <w:tcPr>
            <w:tcW w:w="1199" w:type="dxa"/>
            <w:tcBorders>
              <w:tl2br w:val="nil"/>
              <w:tr2bl w:val="nil"/>
            </w:tcBorders>
            <w:noWrap/>
            <w:tcMar>
              <w:top w:w="15" w:type="dxa"/>
              <w:left w:w="15" w:type="dxa"/>
              <w:right w:w="15" w:type="dxa"/>
            </w:tcMar>
            <w:vAlign w:val="center"/>
          </w:tcPr>
          <w:p w14:paraId="56FA579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≤4</w:t>
            </w:r>
          </w:p>
        </w:tc>
        <w:tc>
          <w:tcPr>
            <w:tcW w:w="1921" w:type="dxa"/>
            <w:tcBorders>
              <w:tl2br w:val="nil"/>
              <w:tr2bl w:val="nil"/>
            </w:tcBorders>
            <w:noWrap/>
            <w:tcMar>
              <w:top w:w="15" w:type="dxa"/>
              <w:left w:w="15" w:type="dxa"/>
              <w:right w:w="15" w:type="dxa"/>
            </w:tcMar>
            <w:vAlign w:val="center"/>
          </w:tcPr>
          <w:p w14:paraId="19ED112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0.65~0.70</w:t>
            </w:r>
          </w:p>
        </w:tc>
        <w:tc>
          <w:tcPr>
            <w:tcW w:w="1199" w:type="dxa"/>
            <w:tcBorders>
              <w:tl2br w:val="nil"/>
              <w:tr2bl w:val="nil"/>
            </w:tcBorders>
            <w:noWrap/>
            <w:tcMar>
              <w:top w:w="15" w:type="dxa"/>
              <w:left w:w="15" w:type="dxa"/>
              <w:right w:w="15" w:type="dxa"/>
            </w:tcMar>
            <w:vAlign w:val="center"/>
          </w:tcPr>
          <w:p w14:paraId="08F8534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78136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392477C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NH</w:t>
            </w:r>
            <w:r>
              <w:rPr>
                <w:rFonts w:cs="Times New Roman"/>
                <w:color w:val="auto"/>
                <w:sz w:val="21"/>
                <w:u w:val="none" w:color="auto"/>
                <w:vertAlign w:val="subscript"/>
                <w:lang w:bidi="ar"/>
              </w:rPr>
              <w:t>3</w:t>
            </w:r>
            <w:r>
              <w:rPr>
                <w:rStyle w:val="39"/>
                <w:rFonts w:hint="default" w:ascii="Times New Roman" w:hAnsi="Times New Roman" w:cs="Times New Roman"/>
                <w:color w:val="auto"/>
                <w:sz w:val="21"/>
                <w:szCs w:val="21"/>
                <w:u w:val="none" w:color="auto"/>
                <w:lang w:bidi="ar"/>
              </w:rPr>
              <w:t>-H</w:t>
            </w:r>
          </w:p>
        </w:tc>
        <w:tc>
          <w:tcPr>
            <w:tcW w:w="921" w:type="dxa"/>
            <w:tcBorders>
              <w:tl2br w:val="nil"/>
              <w:tr2bl w:val="nil"/>
            </w:tcBorders>
            <w:noWrap/>
            <w:tcMar>
              <w:top w:w="15" w:type="dxa"/>
              <w:left w:w="15" w:type="dxa"/>
              <w:right w:w="15" w:type="dxa"/>
            </w:tcMar>
            <w:vAlign w:val="center"/>
          </w:tcPr>
          <w:p w14:paraId="149638C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0B35237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0.511~0.519</w:t>
            </w:r>
          </w:p>
        </w:tc>
        <w:tc>
          <w:tcPr>
            <w:tcW w:w="1199" w:type="dxa"/>
            <w:tcBorders>
              <w:tl2br w:val="nil"/>
              <w:tr2bl w:val="nil"/>
            </w:tcBorders>
            <w:noWrap/>
            <w:tcMar>
              <w:top w:w="15" w:type="dxa"/>
              <w:left w:w="15" w:type="dxa"/>
              <w:right w:w="15" w:type="dxa"/>
            </w:tcMar>
            <w:vAlign w:val="center"/>
          </w:tcPr>
          <w:p w14:paraId="5C8322C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74A055F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0.51~0.52</w:t>
            </w:r>
          </w:p>
        </w:tc>
        <w:tc>
          <w:tcPr>
            <w:tcW w:w="1199" w:type="dxa"/>
            <w:tcBorders>
              <w:tl2br w:val="nil"/>
              <w:tr2bl w:val="nil"/>
            </w:tcBorders>
            <w:noWrap/>
            <w:tcMar>
              <w:top w:w="15" w:type="dxa"/>
              <w:left w:w="15" w:type="dxa"/>
              <w:right w:w="15" w:type="dxa"/>
            </w:tcMar>
            <w:vAlign w:val="center"/>
          </w:tcPr>
          <w:p w14:paraId="7DA57E4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7F346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79E503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总磷</w:t>
            </w:r>
          </w:p>
        </w:tc>
        <w:tc>
          <w:tcPr>
            <w:tcW w:w="921" w:type="dxa"/>
            <w:tcBorders>
              <w:tl2br w:val="nil"/>
              <w:tr2bl w:val="nil"/>
            </w:tcBorders>
            <w:noWrap/>
            <w:tcMar>
              <w:top w:w="15" w:type="dxa"/>
              <w:left w:w="15" w:type="dxa"/>
              <w:right w:w="15" w:type="dxa"/>
            </w:tcMar>
            <w:vAlign w:val="center"/>
          </w:tcPr>
          <w:p w14:paraId="017445E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CFA0B6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0.12~0.13</w:t>
            </w:r>
          </w:p>
        </w:tc>
        <w:tc>
          <w:tcPr>
            <w:tcW w:w="1199" w:type="dxa"/>
            <w:tcBorders>
              <w:tl2br w:val="nil"/>
              <w:tr2bl w:val="nil"/>
            </w:tcBorders>
            <w:noWrap/>
            <w:tcMar>
              <w:top w:w="15" w:type="dxa"/>
              <w:left w:w="15" w:type="dxa"/>
              <w:right w:w="15" w:type="dxa"/>
            </w:tcMar>
            <w:vAlign w:val="center"/>
          </w:tcPr>
          <w:p w14:paraId="3B52344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≤0.2</w:t>
            </w:r>
          </w:p>
        </w:tc>
        <w:tc>
          <w:tcPr>
            <w:tcW w:w="1921" w:type="dxa"/>
            <w:tcBorders>
              <w:tl2br w:val="nil"/>
              <w:tr2bl w:val="nil"/>
            </w:tcBorders>
            <w:noWrap/>
            <w:tcMar>
              <w:top w:w="15" w:type="dxa"/>
              <w:left w:w="15" w:type="dxa"/>
              <w:right w:w="15" w:type="dxa"/>
            </w:tcMar>
            <w:vAlign w:val="center"/>
          </w:tcPr>
          <w:p w14:paraId="76E9D0C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0.60~0.65</w:t>
            </w:r>
          </w:p>
        </w:tc>
        <w:tc>
          <w:tcPr>
            <w:tcW w:w="1199" w:type="dxa"/>
            <w:tcBorders>
              <w:tl2br w:val="nil"/>
              <w:tr2bl w:val="nil"/>
            </w:tcBorders>
            <w:noWrap/>
            <w:tcMar>
              <w:top w:w="15" w:type="dxa"/>
              <w:left w:w="15" w:type="dxa"/>
              <w:right w:w="15" w:type="dxa"/>
            </w:tcMar>
            <w:vAlign w:val="center"/>
          </w:tcPr>
          <w:p w14:paraId="7C3A95E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2AAEF7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FF4E32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总氮</w:t>
            </w:r>
          </w:p>
        </w:tc>
        <w:tc>
          <w:tcPr>
            <w:tcW w:w="921" w:type="dxa"/>
            <w:tcBorders>
              <w:tl2br w:val="nil"/>
              <w:tr2bl w:val="nil"/>
            </w:tcBorders>
            <w:noWrap/>
            <w:tcMar>
              <w:top w:w="15" w:type="dxa"/>
              <w:left w:w="15" w:type="dxa"/>
              <w:right w:w="15" w:type="dxa"/>
            </w:tcMar>
            <w:vAlign w:val="center"/>
          </w:tcPr>
          <w:p w14:paraId="59EDC32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65DE8F0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0.64~0.69</w:t>
            </w:r>
          </w:p>
        </w:tc>
        <w:tc>
          <w:tcPr>
            <w:tcW w:w="1199" w:type="dxa"/>
            <w:tcBorders>
              <w:tl2br w:val="nil"/>
              <w:tr2bl w:val="nil"/>
            </w:tcBorders>
            <w:noWrap/>
            <w:tcMar>
              <w:top w:w="15" w:type="dxa"/>
              <w:left w:w="15" w:type="dxa"/>
              <w:right w:w="15" w:type="dxa"/>
            </w:tcMar>
            <w:vAlign w:val="center"/>
          </w:tcPr>
          <w:p w14:paraId="6EE78ED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56A4BC7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0.64~0.69</w:t>
            </w:r>
          </w:p>
        </w:tc>
        <w:tc>
          <w:tcPr>
            <w:tcW w:w="1199" w:type="dxa"/>
            <w:tcBorders>
              <w:tl2br w:val="nil"/>
              <w:tr2bl w:val="nil"/>
            </w:tcBorders>
            <w:noWrap/>
            <w:tcMar>
              <w:top w:w="15" w:type="dxa"/>
              <w:left w:w="15" w:type="dxa"/>
              <w:right w:w="15" w:type="dxa"/>
            </w:tcMar>
            <w:vAlign w:val="center"/>
          </w:tcPr>
          <w:p w14:paraId="78D2A1C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63E0BF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2E04F8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铜</w:t>
            </w:r>
          </w:p>
        </w:tc>
        <w:tc>
          <w:tcPr>
            <w:tcW w:w="921" w:type="dxa"/>
            <w:tcBorders>
              <w:tl2br w:val="nil"/>
              <w:tr2bl w:val="nil"/>
            </w:tcBorders>
            <w:noWrap/>
            <w:tcMar>
              <w:top w:w="15" w:type="dxa"/>
              <w:left w:w="15" w:type="dxa"/>
              <w:right w:w="15" w:type="dxa"/>
            </w:tcMar>
            <w:vAlign w:val="center"/>
          </w:tcPr>
          <w:p w14:paraId="224E85C5">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34F0D8E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0.05L</w:t>
            </w:r>
          </w:p>
        </w:tc>
        <w:tc>
          <w:tcPr>
            <w:tcW w:w="1199" w:type="dxa"/>
            <w:tcBorders>
              <w:tl2br w:val="nil"/>
              <w:tr2bl w:val="nil"/>
            </w:tcBorders>
            <w:noWrap/>
            <w:tcMar>
              <w:top w:w="15" w:type="dxa"/>
              <w:left w:w="15" w:type="dxa"/>
              <w:right w:w="15" w:type="dxa"/>
            </w:tcMar>
            <w:vAlign w:val="center"/>
          </w:tcPr>
          <w:p w14:paraId="1FF2F69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6E28CB5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3B9B170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7FD1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1F3264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锌</w:t>
            </w:r>
          </w:p>
        </w:tc>
        <w:tc>
          <w:tcPr>
            <w:tcW w:w="921" w:type="dxa"/>
            <w:tcBorders>
              <w:tl2br w:val="nil"/>
              <w:tr2bl w:val="nil"/>
            </w:tcBorders>
            <w:noWrap/>
            <w:tcMar>
              <w:top w:w="15" w:type="dxa"/>
              <w:left w:w="15" w:type="dxa"/>
              <w:right w:w="15" w:type="dxa"/>
            </w:tcMar>
            <w:vAlign w:val="center"/>
          </w:tcPr>
          <w:p w14:paraId="12255594">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1BD071E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0.05L</w:t>
            </w:r>
          </w:p>
        </w:tc>
        <w:tc>
          <w:tcPr>
            <w:tcW w:w="1199" w:type="dxa"/>
            <w:tcBorders>
              <w:tl2br w:val="nil"/>
              <w:tr2bl w:val="nil"/>
            </w:tcBorders>
            <w:noWrap/>
            <w:tcMar>
              <w:top w:w="15" w:type="dxa"/>
              <w:left w:w="15" w:type="dxa"/>
              <w:right w:w="15" w:type="dxa"/>
            </w:tcMar>
            <w:vAlign w:val="center"/>
          </w:tcPr>
          <w:p w14:paraId="5F73347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6BF0829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39F733F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3E17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13A564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挥发酚</w:t>
            </w:r>
          </w:p>
        </w:tc>
        <w:tc>
          <w:tcPr>
            <w:tcW w:w="921" w:type="dxa"/>
            <w:tcBorders>
              <w:tl2br w:val="nil"/>
              <w:tr2bl w:val="nil"/>
            </w:tcBorders>
            <w:noWrap/>
            <w:tcMar>
              <w:top w:w="15" w:type="dxa"/>
              <w:left w:w="15" w:type="dxa"/>
              <w:right w:w="15" w:type="dxa"/>
            </w:tcMar>
            <w:vAlign w:val="center"/>
          </w:tcPr>
          <w:p w14:paraId="0DDBE6B1">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AB8AD3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0.0003L</w:t>
            </w:r>
          </w:p>
        </w:tc>
        <w:tc>
          <w:tcPr>
            <w:tcW w:w="1199" w:type="dxa"/>
            <w:tcBorders>
              <w:tl2br w:val="nil"/>
              <w:tr2bl w:val="nil"/>
            </w:tcBorders>
            <w:noWrap/>
            <w:tcMar>
              <w:top w:w="15" w:type="dxa"/>
              <w:left w:w="15" w:type="dxa"/>
              <w:right w:w="15" w:type="dxa"/>
            </w:tcMar>
            <w:vAlign w:val="center"/>
          </w:tcPr>
          <w:p w14:paraId="0AEC4B5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≤0.005</w:t>
            </w:r>
          </w:p>
        </w:tc>
        <w:tc>
          <w:tcPr>
            <w:tcW w:w="1921" w:type="dxa"/>
            <w:tcBorders>
              <w:tl2br w:val="nil"/>
              <w:tr2bl w:val="nil"/>
            </w:tcBorders>
            <w:noWrap/>
            <w:tcMar>
              <w:top w:w="15" w:type="dxa"/>
              <w:left w:w="15" w:type="dxa"/>
              <w:right w:w="15" w:type="dxa"/>
            </w:tcMar>
            <w:vAlign w:val="center"/>
          </w:tcPr>
          <w:p w14:paraId="136D562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37D5248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32944A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2624C9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石油类</w:t>
            </w:r>
          </w:p>
        </w:tc>
        <w:tc>
          <w:tcPr>
            <w:tcW w:w="921" w:type="dxa"/>
            <w:tcBorders>
              <w:tl2br w:val="nil"/>
              <w:tr2bl w:val="nil"/>
            </w:tcBorders>
            <w:noWrap/>
            <w:tcMar>
              <w:top w:w="15" w:type="dxa"/>
              <w:left w:w="15" w:type="dxa"/>
              <w:right w:w="15" w:type="dxa"/>
            </w:tcMar>
            <w:vAlign w:val="center"/>
          </w:tcPr>
          <w:p w14:paraId="6B8CCC2A">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06D5F4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0.02~0.03</w:t>
            </w:r>
          </w:p>
        </w:tc>
        <w:tc>
          <w:tcPr>
            <w:tcW w:w="1199" w:type="dxa"/>
            <w:tcBorders>
              <w:tl2br w:val="nil"/>
              <w:tr2bl w:val="nil"/>
            </w:tcBorders>
            <w:noWrap/>
            <w:tcMar>
              <w:top w:w="15" w:type="dxa"/>
              <w:left w:w="15" w:type="dxa"/>
              <w:right w:w="15" w:type="dxa"/>
            </w:tcMar>
            <w:vAlign w:val="center"/>
          </w:tcPr>
          <w:p w14:paraId="3AEAE55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w:t>
            </w:r>
          </w:p>
        </w:tc>
        <w:tc>
          <w:tcPr>
            <w:tcW w:w="1921" w:type="dxa"/>
            <w:tcBorders>
              <w:tl2br w:val="nil"/>
              <w:tr2bl w:val="nil"/>
            </w:tcBorders>
            <w:noWrap/>
            <w:tcMar>
              <w:top w:w="15" w:type="dxa"/>
              <w:left w:w="15" w:type="dxa"/>
              <w:right w:w="15" w:type="dxa"/>
            </w:tcMar>
            <w:vAlign w:val="center"/>
          </w:tcPr>
          <w:p w14:paraId="2A7AC0A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0.40~0.60</w:t>
            </w:r>
          </w:p>
        </w:tc>
        <w:tc>
          <w:tcPr>
            <w:tcW w:w="1199" w:type="dxa"/>
            <w:tcBorders>
              <w:tl2br w:val="nil"/>
              <w:tr2bl w:val="nil"/>
            </w:tcBorders>
            <w:noWrap/>
            <w:tcMar>
              <w:top w:w="15" w:type="dxa"/>
              <w:left w:w="15" w:type="dxa"/>
              <w:right w:w="15" w:type="dxa"/>
            </w:tcMar>
            <w:vAlign w:val="center"/>
          </w:tcPr>
          <w:p w14:paraId="17146A4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468B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6D4251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氟化物</w:t>
            </w:r>
          </w:p>
        </w:tc>
        <w:tc>
          <w:tcPr>
            <w:tcW w:w="921" w:type="dxa"/>
            <w:tcBorders>
              <w:tl2br w:val="nil"/>
              <w:tr2bl w:val="nil"/>
            </w:tcBorders>
            <w:noWrap/>
            <w:tcMar>
              <w:top w:w="15" w:type="dxa"/>
              <w:left w:w="15" w:type="dxa"/>
              <w:right w:w="15" w:type="dxa"/>
            </w:tcMar>
            <w:vAlign w:val="center"/>
          </w:tcPr>
          <w:p w14:paraId="0ED9F66E">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32EF0C3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0.262~0.264</w:t>
            </w:r>
          </w:p>
        </w:tc>
        <w:tc>
          <w:tcPr>
            <w:tcW w:w="1199" w:type="dxa"/>
            <w:tcBorders>
              <w:tl2br w:val="nil"/>
              <w:tr2bl w:val="nil"/>
            </w:tcBorders>
            <w:noWrap/>
            <w:tcMar>
              <w:top w:w="15" w:type="dxa"/>
              <w:left w:w="15" w:type="dxa"/>
              <w:right w:w="15" w:type="dxa"/>
            </w:tcMar>
            <w:vAlign w:val="center"/>
          </w:tcPr>
          <w:p w14:paraId="6155275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7940957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0.26~0.26</w:t>
            </w:r>
          </w:p>
        </w:tc>
        <w:tc>
          <w:tcPr>
            <w:tcW w:w="1199" w:type="dxa"/>
            <w:tcBorders>
              <w:tl2br w:val="nil"/>
              <w:tr2bl w:val="nil"/>
            </w:tcBorders>
            <w:noWrap/>
            <w:tcMar>
              <w:top w:w="15" w:type="dxa"/>
              <w:left w:w="15" w:type="dxa"/>
              <w:right w:w="15" w:type="dxa"/>
            </w:tcMar>
            <w:vAlign w:val="center"/>
          </w:tcPr>
          <w:p w14:paraId="330F4BA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1E785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99A7B6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氰化物</w:t>
            </w:r>
          </w:p>
        </w:tc>
        <w:tc>
          <w:tcPr>
            <w:tcW w:w="921" w:type="dxa"/>
            <w:tcBorders>
              <w:tl2br w:val="nil"/>
              <w:tr2bl w:val="nil"/>
            </w:tcBorders>
            <w:noWrap/>
            <w:tcMar>
              <w:top w:w="15" w:type="dxa"/>
              <w:left w:w="15" w:type="dxa"/>
              <w:right w:w="15" w:type="dxa"/>
            </w:tcMar>
            <w:vAlign w:val="center"/>
          </w:tcPr>
          <w:p w14:paraId="4D0D08E1">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D0B1C3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0.004L</w:t>
            </w:r>
          </w:p>
        </w:tc>
        <w:tc>
          <w:tcPr>
            <w:tcW w:w="1199" w:type="dxa"/>
            <w:tcBorders>
              <w:tl2br w:val="nil"/>
              <w:tr2bl w:val="nil"/>
            </w:tcBorders>
            <w:noWrap/>
            <w:tcMar>
              <w:top w:w="15" w:type="dxa"/>
              <w:left w:w="15" w:type="dxa"/>
              <w:right w:w="15" w:type="dxa"/>
            </w:tcMar>
            <w:vAlign w:val="center"/>
          </w:tcPr>
          <w:p w14:paraId="5A08986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≤0.2</w:t>
            </w:r>
          </w:p>
        </w:tc>
        <w:tc>
          <w:tcPr>
            <w:tcW w:w="1921" w:type="dxa"/>
            <w:tcBorders>
              <w:tl2br w:val="nil"/>
              <w:tr2bl w:val="nil"/>
            </w:tcBorders>
            <w:noWrap/>
            <w:tcMar>
              <w:top w:w="15" w:type="dxa"/>
              <w:left w:w="15" w:type="dxa"/>
              <w:right w:w="15" w:type="dxa"/>
            </w:tcMar>
            <w:vAlign w:val="center"/>
          </w:tcPr>
          <w:p w14:paraId="6A97221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7873A26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F2C43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77B074E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铅</w:t>
            </w:r>
          </w:p>
        </w:tc>
        <w:tc>
          <w:tcPr>
            <w:tcW w:w="921" w:type="dxa"/>
            <w:tcBorders>
              <w:tl2br w:val="nil"/>
              <w:tr2bl w:val="nil"/>
            </w:tcBorders>
            <w:noWrap/>
            <w:tcMar>
              <w:top w:w="15" w:type="dxa"/>
              <w:left w:w="15" w:type="dxa"/>
              <w:right w:w="15" w:type="dxa"/>
            </w:tcMar>
            <w:vAlign w:val="center"/>
          </w:tcPr>
          <w:p w14:paraId="386A9713">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4A41573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0.001L</w:t>
            </w:r>
          </w:p>
        </w:tc>
        <w:tc>
          <w:tcPr>
            <w:tcW w:w="1199" w:type="dxa"/>
            <w:tcBorders>
              <w:tl2br w:val="nil"/>
              <w:tr2bl w:val="nil"/>
            </w:tcBorders>
            <w:noWrap/>
            <w:tcMar>
              <w:top w:w="15" w:type="dxa"/>
              <w:left w:w="15" w:type="dxa"/>
              <w:right w:w="15" w:type="dxa"/>
            </w:tcMar>
            <w:vAlign w:val="center"/>
          </w:tcPr>
          <w:p w14:paraId="7B62C4D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w:t>
            </w:r>
          </w:p>
        </w:tc>
        <w:tc>
          <w:tcPr>
            <w:tcW w:w="1921" w:type="dxa"/>
            <w:tcBorders>
              <w:tl2br w:val="nil"/>
              <w:tr2bl w:val="nil"/>
            </w:tcBorders>
            <w:noWrap/>
            <w:tcMar>
              <w:top w:w="15" w:type="dxa"/>
              <w:left w:w="15" w:type="dxa"/>
              <w:right w:w="15" w:type="dxa"/>
            </w:tcMar>
            <w:vAlign w:val="center"/>
          </w:tcPr>
          <w:p w14:paraId="09C217A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4D8EA93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74C76D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B04BA6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镉</w:t>
            </w:r>
          </w:p>
        </w:tc>
        <w:tc>
          <w:tcPr>
            <w:tcW w:w="921" w:type="dxa"/>
            <w:tcBorders>
              <w:tl2br w:val="nil"/>
              <w:tr2bl w:val="nil"/>
            </w:tcBorders>
            <w:noWrap/>
            <w:tcMar>
              <w:top w:w="15" w:type="dxa"/>
              <w:left w:w="15" w:type="dxa"/>
              <w:right w:w="15" w:type="dxa"/>
            </w:tcMar>
            <w:vAlign w:val="center"/>
          </w:tcPr>
          <w:p w14:paraId="25FDEFDF">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81CD09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0.0001L</w:t>
            </w:r>
          </w:p>
        </w:tc>
        <w:tc>
          <w:tcPr>
            <w:tcW w:w="1199" w:type="dxa"/>
            <w:tcBorders>
              <w:tl2br w:val="nil"/>
              <w:tr2bl w:val="nil"/>
            </w:tcBorders>
            <w:noWrap/>
            <w:tcMar>
              <w:top w:w="15" w:type="dxa"/>
              <w:left w:w="15" w:type="dxa"/>
              <w:right w:w="15" w:type="dxa"/>
            </w:tcMar>
            <w:vAlign w:val="center"/>
          </w:tcPr>
          <w:p w14:paraId="28E0F3F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≤0.005</w:t>
            </w:r>
          </w:p>
        </w:tc>
        <w:tc>
          <w:tcPr>
            <w:tcW w:w="1921" w:type="dxa"/>
            <w:tcBorders>
              <w:tl2br w:val="nil"/>
              <w:tr2bl w:val="nil"/>
            </w:tcBorders>
            <w:noWrap/>
            <w:tcMar>
              <w:top w:w="15" w:type="dxa"/>
              <w:left w:w="15" w:type="dxa"/>
              <w:right w:w="15" w:type="dxa"/>
            </w:tcMar>
            <w:vAlign w:val="center"/>
          </w:tcPr>
          <w:p w14:paraId="24E1DEB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24630E7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19A5B7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726A93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汞</w:t>
            </w:r>
          </w:p>
        </w:tc>
        <w:tc>
          <w:tcPr>
            <w:tcW w:w="921" w:type="dxa"/>
            <w:tcBorders>
              <w:tl2br w:val="nil"/>
              <w:tr2bl w:val="nil"/>
            </w:tcBorders>
            <w:noWrap/>
            <w:tcMar>
              <w:top w:w="15" w:type="dxa"/>
              <w:left w:w="15" w:type="dxa"/>
              <w:right w:w="15" w:type="dxa"/>
            </w:tcMar>
            <w:vAlign w:val="center"/>
          </w:tcPr>
          <w:p w14:paraId="269C7BF3">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22CA12A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0.00004L</w:t>
            </w:r>
          </w:p>
        </w:tc>
        <w:tc>
          <w:tcPr>
            <w:tcW w:w="1199" w:type="dxa"/>
            <w:tcBorders>
              <w:tl2br w:val="nil"/>
              <w:tr2bl w:val="nil"/>
            </w:tcBorders>
            <w:noWrap/>
            <w:tcMar>
              <w:top w:w="15" w:type="dxa"/>
              <w:left w:w="15" w:type="dxa"/>
              <w:right w:w="15" w:type="dxa"/>
            </w:tcMar>
            <w:vAlign w:val="center"/>
          </w:tcPr>
          <w:p w14:paraId="696A4F9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≤0.0001</w:t>
            </w:r>
          </w:p>
        </w:tc>
        <w:tc>
          <w:tcPr>
            <w:tcW w:w="1921" w:type="dxa"/>
            <w:tcBorders>
              <w:tl2br w:val="nil"/>
              <w:tr2bl w:val="nil"/>
            </w:tcBorders>
            <w:noWrap/>
            <w:tcMar>
              <w:top w:w="15" w:type="dxa"/>
              <w:left w:w="15" w:type="dxa"/>
              <w:right w:w="15" w:type="dxa"/>
            </w:tcMar>
            <w:vAlign w:val="center"/>
          </w:tcPr>
          <w:p w14:paraId="3F10A4D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35C36AA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37ADA9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934DEC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砷</w:t>
            </w:r>
          </w:p>
        </w:tc>
        <w:tc>
          <w:tcPr>
            <w:tcW w:w="921" w:type="dxa"/>
            <w:tcBorders>
              <w:tl2br w:val="nil"/>
              <w:tr2bl w:val="nil"/>
            </w:tcBorders>
            <w:noWrap/>
            <w:tcMar>
              <w:top w:w="15" w:type="dxa"/>
              <w:left w:w="15" w:type="dxa"/>
              <w:right w:w="15" w:type="dxa"/>
            </w:tcMar>
            <w:vAlign w:val="center"/>
          </w:tcPr>
          <w:p w14:paraId="50FDBCA4">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B459FF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0.0003L</w:t>
            </w:r>
          </w:p>
        </w:tc>
        <w:tc>
          <w:tcPr>
            <w:tcW w:w="1199" w:type="dxa"/>
            <w:tcBorders>
              <w:tl2br w:val="nil"/>
              <w:tr2bl w:val="nil"/>
            </w:tcBorders>
            <w:noWrap/>
            <w:tcMar>
              <w:top w:w="15" w:type="dxa"/>
              <w:left w:w="15" w:type="dxa"/>
              <w:right w:w="15" w:type="dxa"/>
            </w:tcMar>
            <w:vAlign w:val="center"/>
          </w:tcPr>
          <w:p w14:paraId="7B57C82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w:t>
            </w:r>
          </w:p>
        </w:tc>
        <w:tc>
          <w:tcPr>
            <w:tcW w:w="1921" w:type="dxa"/>
            <w:tcBorders>
              <w:tl2br w:val="nil"/>
              <w:tr2bl w:val="nil"/>
            </w:tcBorders>
            <w:noWrap/>
            <w:tcMar>
              <w:top w:w="15" w:type="dxa"/>
              <w:left w:w="15" w:type="dxa"/>
              <w:right w:w="15" w:type="dxa"/>
            </w:tcMar>
            <w:vAlign w:val="center"/>
          </w:tcPr>
          <w:p w14:paraId="16D72B9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1E8782F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6BCA8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2483FB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六价铬</w:t>
            </w:r>
          </w:p>
        </w:tc>
        <w:tc>
          <w:tcPr>
            <w:tcW w:w="921" w:type="dxa"/>
            <w:tcBorders>
              <w:tl2br w:val="nil"/>
              <w:tr2bl w:val="nil"/>
            </w:tcBorders>
            <w:noWrap/>
            <w:tcMar>
              <w:top w:w="15" w:type="dxa"/>
              <w:left w:w="15" w:type="dxa"/>
              <w:right w:w="15" w:type="dxa"/>
            </w:tcMar>
            <w:vAlign w:val="center"/>
          </w:tcPr>
          <w:p w14:paraId="0B5EE14D">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369152E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0.004L</w:t>
            </w:r>
          </w:p>
        </w:tc>
        <w:tc>
          <w:tcPr>
            <w:tcW w:w="1199" w:type="dxa"/>
            <w:tcBorders>
              <w:tl2br w:val="nil"/>
              <w:tr2bl w:val="nil"/>
            </w:tcBorders>
            <w:noWrap/>
            <w:tcMar>
              <w:top w:w="15" w:type="dxa"/>
              <w:left w:w="15" w:type="dxa"/>
              <w:right w:w="15" w:type="dxa"/>
            </w:tcMar>
            <w:vAlign w:val="center"/>
          </w:tcPr>
          <w:p w14:paraId="75C9531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w:t>
            </w:r>
          </w:p>
        </w:tc>
        <w:tc>
          <w:tcPr>
            <w:tcW w:w="1921" w:type="dxa"/>
            <w:tcBorders>
              <w:tl2br w:val="nil"/>
              <w:tr2bl w:val="nil"/>
            </w:tcBorders>
            <w:noWrap/>
            <w:tcMar>
              <w:top w:w="15" w:type="dxa"/>
              <w:left w:w="15" w:type="dxa"/>
              <w:right w:w="15" w:type="dxa"/>
            </w:tcMar>
            <w:vAlign w:val="center"/>
          </w:tcPr>
          <w:p w14:paraId="03939BA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2CE8990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38E860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5B160C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镍</w:t>
            </w:r>
          </w:p>
        </w:tc>
        <w:tc>
          <w:tcPr>
            <w:tcW w:w="921" w:type="dxa"/>
            <w:tcBorders>
              <w:tl2br w:val="nil"/>
              <w:tr2bl w:val="nil"/>
            </w:tcBorders>
            <w:noWrap/>
            <w:tcMar>
              <w:top w:w="15" w:type="dxa"/>
              <w:left w:w="15" w:type="dxa"/>
              <w:right w:w="15" w:type="dxa"/>
            </w:tcMar>
            <w:vAlign w:val="center"/>
          </w:tcPr>
          <w:p w14:paraId="11AA78CA">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3B54DC9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0.005L</w:t>
            </w:r>
          </w:p>
        </w:tc>
        <w:tc>
          <w:tcPr>
            <w:tcW w:w="1199" w:type="dxa"/>
            <w:tcBorders>
              <w:tl2br w:val="nil"/>
              <w:tr2bl w:val="nil"/>
            </w:tcBorders>
            <w:noWrap/>
            <w:tcMar>
              <w:top w:w="15" w:type="dxa"/>
              <w:left w:w="15" w:type="dxa"/>
              <w:right w:w="15" w:type="dxa"/>
            </w:tcMar>
            <w:vAlign w:val="center"/>
          </w:tcPr>
          <w:p w14:paraId="16933B8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≤0.02</w:t>
            </w:r>
          </w:p>
        </w:tc>
        <w:tc>
          <w:tcPr>
            <w:tcW w:w="1921" w:type="dxa"/>
            <w:tcBorders>
              <w:tl2br w:val="nil"/>
              <w:tr2bl w:val="nil"/>
            </w:tcBorders>
            <w:noWrap/>
            <w:tcMar>
              <w:top w:w="15" w:type="dxa"/>
              <w:left w:w="15" w:type="dxa"/>
              <w:right w:w="15" w:type="dxa"/>
            </w:tcMar>
            <w:vAlign w:val="center"/>
          </w:tcPr>
          <w:p w14:paraId="51F8B32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1821DD6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16BAA2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272E03A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钴</w:t>
            </w:r>
          </w:p>
        </w:tc>
        <w:tc>
          <w:tcPr>
            <w:tcW w:w="921" w:type="dxa"/>
            <w:tcBorders>
              <w:tl2br w:val="nil"/>
              <w:tr2bl w:val="nil"/>
            </w:tcBorders>
            <w:noWrap/>
            <w:tcMar>
              <w:top w:w="15" w:type="dxa"/>
              <w:left w:w="15" w:type="dxa"/>
              <w:right w:w="15" w:type="dxa"/>
            </w:tcMar>
            <w:vAlign w:val="center"/>
          </w:tcPr>
          <w:p w14:paraId="6144DB4E">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60A34F0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0.002L</w:t>
            </w:r>
          </w:p>
        </w:tc>
        <w:tc>
          <w:tcPr>
            <w:tcW w:w="1199" w:type="dxa"/>
            <w:tcBorders>
              <w:tl2br w:val="nil"/>
              <w:tr2bl w:val="nil"/>
            </w:tcBorders>
            <w:noWrap/>
            <w:tcMar>
              <w:top w:w="15" w:type="dxa"/>
              <w:left w:w="15" w:type="dxa"/>
              <w:right w:w="15" w:type="dxa"/>
            </w:tcMar>
            <w:vAlign w:val="center"/>
          </w:tcPr>
          <w:p w14:paraId="580CB81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35CA7FC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59F93CD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1FE76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77E0CEC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锰</w:t>
            </w:r>
          </w:p>
        </w:tc>
        <w:tc>
          <w:tcPr>
            <w:tcW w:w="921" w:type="dxa"/>
            <w:tcBorders>
              <w:tl2br w:val="nil"/>
              <w:tr2bl w:val="nil"/>
            </w:tcBorders>
            <w:noWrap/>
            <w:tcMar>
              <w:top w:w="15" w:type="dxa"/>
              <w:left w:w="15" w:type="dxa"/>
              <w:right w:w="15" w:type="dxa"/>
            </w:tcMar>
            <w:vAlign w:val="center"/>
          </w:tcPr>
          <w:p w14:paraId="7167F1C3">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0416C6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0.01L</w:t>
            </w:r>
          </w:p>
        </w:tc>
        <w:tc>
          <w:tcPr>
            <w:tcW w:w="1199" w:type="dxa"/>
            <w:tcBorders>
              <w:tl2br w:val="nil"/>
              <w:tr2bl w:val="nil"/>
            </w:tcBorders>
            <w:noWrap/>
            <w:tcMar>
              <w:top w:w="15" w:type="dxa"/>
              <w:left w:w="15" w:type="dxa"/>
              <w:right w:w="15" w:type="dxa"/>
            </w:tcMar>
            <w:vAlign w:val="center"/>
          </w:tcPr>
          <w:p w14:paraId="586C6B8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≤0.1</w:t>
            </w:r>
          </w:p>
        </w:tc>
        <w:tc>
          <w:tcPr>
            <w:tcW w:w="1921" w:type="dxa"/>
            <w:tcBorders>
              <w:tl2br w:val="nil"/>
              <w:tr2bl w:val="nil"/>
            </w:tcBorders>
            <w:noWrap/>
            <w:tcMar>
              <w:top w:w="15" w:type="dxa"/>
              <w:left w:w="15" w:type="dxa"/>
              <w:right w:w="15" w:type="dxa"/>
            </w:tcMar>
            <w:vAlign w:val="center"/>
          </w:tcPr>
          <w:p w14:paraId="2B79A4E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5E94554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64E8C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40376A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锑</w:t>
            </w:r>
          </w:p>
        </w:tc>
        <w:tc>
          <w:tcPr>
            <w:tcW w:w="921" w:type="dxa"/>
            <w:tcBorders>
              <w:tl2br w:val="nil"/>
              <w:tr2bl w:val="nil"/>
            </w:tcBorders>
            <w:noWrap/>
            <w:tcMar>
              <w:top w:w="15" w:type="dxa"/>
              <w:left w:w="15" w:type="dxa"/>
              <w:right w:w="15" w:type="dxa"/>
            </w:tcMar>
            <w:vAlign w:val="center"/>
          </w:tcPr>
          <w:p w14:paraId="6432BACA">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1CC4B6E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0.0002L</w:t>
            </w:r>
          </w:p>
        </w:tc>
        <w:tc>
          <w:tcPr>
            <w:tcW w:w="1199" w:type="dxa"/>
            <w:tcBorders>
              <w:tl2br w:val="nil"/>
              <w:tr2bl w:val="nil"/>
            </w:tcBorders>
            <w:noWrap/>
            <w:tcMar>
              <w:top w:w="15" w:type="dxa"/>
              <w:left w:w="15" w:type="dxa"/>
              <w:right w:w="15" w:type="dxa"/>
            </w:tcMar>
            <w:vAlign w:val="center"/>
          </w:tcPr>
          <w:p w14:paraId="6C62873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≤0.005</w:t>
            </w:r>
          </w:p>
        </w:tc>
        <w:tc>
          <w:tcPr>
            <w:tcW w:w="1921" w:type="dxa"/>
            <w:tcBorders>
              <w:tl2br w:val="nil"/>
              <w:tr2bl w:val="nil"/>
            </w:tcBorders>
            <w:noWrap/>
            <w:tcMar>
              <w:top w:w="15" w:type="dxa"/>
              <w:left w:w="15" w:type="dxa"/>
              <w:right w:w="15" w:type="dxa"/>
            </w:tcMar>
            <w:vAlign w:val="center"/>
          </w:tcPr>
          <w:p w14:paraId="68F649F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7A9E502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71F4E2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7989F4C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铊</w:t>
            </w:r>
          </w:p>
        </w:tc>
        <w:tc>
          <w:tcPr>
            <w:tcW w:w="921" w:type="dxa"/>
            <w:tcBorders>
              <w:tl2br w:val="nil"/>
              <w:tr2bl w:val="nil"/>
            </w:tcBorders>
            <w:noWrap/>
            <w:tcMar>
              <w:top w:w="15" w:type="dxa"/>
              <w:left w:w="15" w:type="dxa"/>
              <w:right w:w="15" w:type="dxa"/>
            </w:tcMar>
            <w:vAlign w:val="center"/>
          </w:tcPr>
          <w:p w14:paraId="66111FB8">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0819B0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0.00003L</w:t>
            </w:r>
          </w:p>
        </w:tc>
        <w:tc>
          <w:tcPr>
            <w:tcW w:w="1199" w:type="dxa"/>
            <w:tcBorders>
              <w:tl2br w:val="nil"/>
              <w:tr2bl w:val="nil"/>
            </w:tcBorders>
            <w:noWrap/>
            <w:tcMar>
              <w:top w:w="15" w:type="dxa"/>
              <w:left w:w="15" w:type="dxa"/>
              <w:right w:w="15" w:type="dxa"/>
            </w:tcMar>
            <w:vAlign w:val="center"/>
          </w:tcPr>
          <w:p w14:paraId="064E2C6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≤0.0001</w:t>
            </w:r>
          </w:p>
        </w:tc>
        <w:tc>
          <w:tcPr>
            <w:tcW w:w="1921" w:type="dxa"/>
            <w:tcBorders>
              <w:tl2br w:val="nil"/>
              <w:tr2bl w:val="nil"/>
            </w:tcBorders>
            <w:noWrap/>
            <w:tcMar>
              <w:top w:w="15" w:type="dxa"/>
              <w:left w:w="15" w:type="dxa"/>
              <w:right w:w="15" w:type="dxa"/>
            </w:tcMar>
            <w:vAlign w:val="center"/>
          </w:tcPr>
          <w:p w14:paraId="249DA9E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6F40C29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042D7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790B95B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粪大肠菌群</w:t>
            </w:r>
          </w:p>
        </w:tc>
        <w:tc>
          <w:tcPr>
            <w:tcW w:w="921" w:type="dxa"/>
            <w:tcBorders>
              <w:tl2br w:val="nil"/>
              <w:tr2bl w:val="nil"/>
            </w:tcBorders>
            <w:noWrap/>
            <w:tcMar>
              <w:top w:w="15" w:type="dxa"/>
              <w:left w:w="15" w:type="dxa"/>
              <w:right w:w="15" w:type="dxa"/>
            </w:tcMar>
            <w:vAlign w:val="center"/>
          </w:tcPr>
          <w:p w14:paraId="10781351">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lang w:bidi="ar"/>
              </w:rPr>
              <w:t>MPN/L</w:t>
            </w:r>
          </w:p>
        </w:tc>
        <w:tc>
          <w:tcPr>
            <w:tcW w:w="1495" w:type="dxa"/>
            <w:tcBorders>
              <w:tl2br w:val="nil"/>
              <w:tr2bl w:val="nil"/>
            </w:tcBorders>
            <w:noWrap/>
            <w:tcMar>
              <w:top w:w="15" w:type="dxa"/>
              <w:left w:w="15" w:type="dxa"/>
              <w:right w:w="15" w:type="dxa"/>
            </w:tcMar>
            <w:vAlign w:val="center"/>
          </w:tcPr>
          <w:p w14:paraId="3D91742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700~810</w:t>
            </w:r>
          </w:p>
        </w:tc>
        <w:tc>
          <w:tcPr>
            <w:tcW w:w="1199" w:type="dxa"/>
            <w:tcBorders>
              <w:tl2br w:val="nil"/>
              <w:tr2bl w:val="nil"/>
            </w:tcBorders>
            <w:noWrap/>
            <w:tcMar>
              <w:top w:w="15" w:type="dxa"/>
              <w:left w:w="15" w:type="dxa"/>
              <w:right w:w="15" w:type="dxa"/>
            </w:tcMar>
            <w:vAlign w:val="center"/>
          </w:tcPr>
          <w:p w14:paraId="60BC320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≤10000</w:t>
            </w:r>
          </w:p>
        </w:tc>
        <w:tc>
          <w:tcPr>
            <w:tcW w:w="1921" w:type="dxa"/>
            <w:tcBorders>
              <w:tl2br w:val="nil"/>
              <w:tr2bl w:val="nil"/>
            </w:tcBorders>
            <w:noWrap/>
            <w:tcMar>
              <w:top w:w="15" w:type="dxa"/>
              <w:left w:w="15" w:type="dxa"/>
              <w:right w:w="15" w:type="dxa"/>
            </w:tcMar>
            <w:vAlign w:val="center"/>
          </w:tcPr>
          <w:p w14:paraId="059DF9E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0.07~0.08</w:t>
            </w:r>
          </w:p>
        </w:tc>
        <w:tc>
          <w:tcPr>
            <w:tcW w:w="1199" w:type="dxa"/>
            <w:tcBorders>
              <w:tl2br w:val="nil"/>
              <w:tr2bl w:val="nil"/>
            </w:tcBorders>
            <w:noWrap/>
            <w:tcMar>
              <w:top w:w="15" w:type="dxa"/>
              <w:left w:w="15" w:type="dxa"/>
              <w:right w:w="15" w:type="dxa"/>
            </w:tcMar>
            <w:vAlign w:val="center"/>
          </w:tcPr>
          <w:p w14:paraId="2C2BCE9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0885D3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058ED3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硫化物</w:t>
            </w:r>
          </w:p>
        </w:tc>
        <w:tc>
          <w:tcPr>
            <w:tcW w:w="921" w:type="dxa"/>
            <w:tcBorders>
              <w:tl2br w:val="nil"/>
              <w:tr2bl w:val="nil"/>
            </w:tcBorders>
            <w:noWrap/>
            <w:tcMar>
              <w:top w:w="15" w:type="dxa"/>
              <w:left w:w="15" w:type="dxa"/>
              <w:right w:w="15" w:type="dxa"/>
            </w:tcMar>
            <w:vAlign w:val="center"/>
          </w:tcPr>
          <w:p w14:paraId="00FEC918">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517D17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0.01L</w:t>
            </w:r>
          </w:p>
        </w:tc>
        <w:tc>
          <w:tcPr>
            <w:tcW w:w="1199" w:type="dxa"/>
            <w:tcBorders>
              <w:tl2br w:val="nil"/>
              <w:tr2bl w:val="nil"/>
            </w:tcBorders>
            <w:noWrap/>
            <w:tcMar>
              <w:top w:w="15" w:type="dxa"/>
              <w:left w:w="15" w:type="dxa"/>
              <w:right w:w="15" w:type="dxa"/>
            </w:tcMar>
            <w:vAlign w:val="center"/>
          </w:tcPr>
          <w:p w14:paraId="699760C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≤0.2</w:t>
            </w:r>
          </w:p>
        </w:tc>
        <w:tc>
          <w:tcPr>
            <w:tcW w:w="1921" w:type="dxa"/>
            <w:tcBorders>
              <w:tl2br w:val="nil"/>
              <w:tr2bl w:val="nil"/>
            </w:tcBorders>
            <w:noWrap/>
            <w:tcMar>
              <w:top w:w="15" w:type="dxa"/>
              <w:left w:w="15" w:type="dxa"/>
              <w:right w:w="15" w:type="dxa"/>
            </w:tcMar>
            <w:vAlign w:val="center"/>
          </w:tcPr>
          <w:p w14:paraId="1BEB963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6253DD1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4828B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8504" w:type="dxa"/>
            <w:gridSpan w:val="6"/>
            <w:tcBorders>
              <w:tl2br w:val="nil"/>
              <w:tr2bl w:val="nil"/>
            </w:tcBorders>
            <w:noWrap/>
            <w:tcMar>
              <w:top w:w="15" w:type="dxa"/>
              <w:left w:w="15" w:type="dxa"/>
              <w:right w:w="15" w:type="dxa"/>
            </w:tcMar>
            <w:vAlign w:val="center"/>
          </w:tcPr>
          <w:p w14:paraId="207904C0">
            <w:pPr>
              <w:widowControl/>
              <w:spacing w:line="240" w:lineRule="auto"/>
              <w:ind w:firstLine="0" w:firstLineChars="0"/>
              <w:jc w:val="center"/>
              <w:textAlignment w:val="center"/>
              <w:rPr>
                <w:rFonts w:cs="Times New Roman"/>
                <w:b/>
                <w:color w:val="auto"/>
                <w:sz w:val="21"/>
                <w:u w:val="none" w:color="auto"/>
                <w:lang w:bidi="ar"/>
              </w:rPr>
            </w:pPr>
            <w:r>
              <w:rPr>
                <w:rFonts w:cs="Times New Roman"/>
                <w:b/>
                <w:color w:val="auto"/>
                <w:sz w:val="21"/>
                <w:u w:val="none" w:color="auto"/>
              </w:rPr>
              <w:t xml:space="preserve">W4 </w:t>
            </w:r>
            <w:r>
              <w:rPr>
                <w:rFonts w:hint="eastAsia" w:cs="Times New Roman"/>
                <w:b/>
                <w:color w:val="auto"/>
                <w:sz w:val="21"/>
                <w:u w:val="none" w:color="auto"/>
                <w:lang w:eastAsia="zh-CN"/>
              </w:rPr>
              <w:t>汨</w:t>
            </w:r>
            <w:r>
              <w:rPr>
                <w:rFonts w:cs="Times New Roman"/>
                <w:b/>
                <w:color w:val="auto"/>
                <w:sz w:val="21"/>
                <w:u w:val="none" w:color="auto"/>
              </w:rPr>
              <w:t>罗江-</w:t>
            </w:r>
            <w:r>
              <w:rPr>
                <w:rFonts w:hint="eastAsia" w:cs="Times New Roman"/>
                <w:b/>
                <w:color w:val="auto"/>
                <w:sz w:val="21"/>
                <w:u w:val="none" w:color="auto"/>
                <w:lang w:eastAsia="zh-CN"/>
              </w:rPr>
              <w:t>汨</w:t>
            </w:r>
            <w:r>
              <w:rPr>
                <w:rFonts w:cs="Times New Roman"/>
                <w:b/>
                <w:color w:val="auto"/>
                <w:sz w:val="21"/>
                <w:u w:val="none" w:color="auto"/>
              </w:rPr>
              <w:t>罗城市污水处理厂排污口下游1500m</w:t>
            </w:r>
          </w:p>
        </w:tc>
      </w:tr>
      <w:tr w14:paraId="54457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59DBD7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水温</w:t>
            </w:r>
          </w:p>
        </w:tc>
        <w:tc>
          <w:tcPr>
            <w:tcW w:w="921" w:type="dxa"/>
            <w:tcBorders>
              <w:tl2br w:val="nil"/>
              <w:tr2bl w:val="nil"/>
            </w:tcBorders>
            <w:noWrap/>
            <w:tcMar>
              <w:top w:w="15" w:type="dxa"/>
              <w:left w:w="15" w:type="dxa"/>
              <w:right w:w="15" w:type="dxa"/>
            </w:tcMar>
            <w:vAlign w:val="center"/>
          </w:tcPr>
          <w:p w14:paraId="2A9356F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495" w:type="dxa"/>
            <w:tcBorders>
              <w:tl2br w:val="nil"/>
              <w:tr2bl w:val="nil"/>
            </w:tcBorders>
            <w:noWrap/>
            <w:tcMar>
              <w:top w:w="15" w:type="dxa"/>
              <w:left w:w="15" w:type="dxa"/>
              <w:right w:w="15" w:type="dxa"/>
            </w:tcMar>
            <w:vAlign w:val="center"/>
          </w:tcPr>
          <w:p w14:paraId="4364022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24.0~26.9</w:t>
            </w:r>
          </w:p>
        </w:tc>
        <w:tc>
          <w:tcPr>
            <w:tcW w:w="1199" w:type="dxa"/>
            <w:tcBorders>
              <w:tl2br w:val="nil"/>
              <w:tr2bl w:val="nil"/>
            </w:tcBorders>
            <w:noWrap/>
            <w:tcMar>
              <w:top w:w="15" w:type="dxa"/>
              <w:left w:w="15" w:type="dxa"/>
              <w:right w:w="15" w:type="dxa"/>
            </w:tcMar>
            <w:vAlign w:val="center"/>
          </w:tcPr>
          <w:p w14:paraId="55D9C91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921" w:type="dxa"/>
            <w:tcBorders>
              <w:tl2br w:val="nil"/>
              <w:tr2bl w:val="nil"/>
            </w:tcBorders>
            <w:noWrap/>
            <w:tcMar>
              <w:top w:w="15" w:type="dxa"/>
              <w:left w:w="15" w:type="dxa"/>
              <w:right w:w="15" w:type="dxa"/>
            </w:tcMar>
            <w:vAlign w:val="center"/>
          </w:tcPr>
          <w:p w14:paraId="49DEE81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17146F37">
            <w:pPr>
              <w:widowControl/>
              <w:spacing w:line="240" w:lineRule="auto"/>
              <w:ind w:firstLine="0" w:firstLineChars="0"/>
              <w:jc w:val="center"/>
              <w:rPr>
                <w:rFonts w:cs="Times New Roman"/>
                <w:color w:val="auto"/>
                <w:sz w:val="21"/>
                <w:u w:val="none" w:color="auto"/>
              </w:rPr>
            </w:pPr>
            <w:r>
              <w:rPr>
                <w:rFonts w:cs="Times New Roman"/>
                <w:color w:val="auto"/>
                <w:sz w:val="21"/>
                <w:u w:val="none" w:color="auto"/>
              </w:rPr>
              <w:t>/</w:t>
            </w:r>
          </w:p>
        </w:tc>
      </w:tr>
      <w:tr w14:paraId="78D67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DBD100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pH</w:t>
            </w:r>
          </w:p>
        </w:tc>
        <w:tc>
          <w:tcPr>
            <w:tcW w:w="921" w:type="dxa"/>
            <w:tcBorders>
              <w:tl2br w:val="nil"/>
              <w:tr2bl w:val="nil"/>
            </w:tcBorders>
            <w:noWrap/>
            <w:tcMar>
              <w:top w:w="15" w:type="dxa"/>
              <w:left w:w="15" w:type="dxa"/>
              <w:right w:w="15" w:type="dxa"/>
            </w:tcMar>
            <w:vAlign w:val="center"/>
          </w:tcPr>
          <w:p w14:paraId="0BB592E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无量纲</w:t>
            </w:r>
          </w:p>
        </w:tc>
        <w:tc>
          <w:tcPr>
            <w:tcW w:w="1495" w:type="dxa"/>
            <w:tcBorders>
              <w:tl2br w:val="nil"/>
              <w:tr2bl w:val="nil"/>
            </w:tcBorders>
            <w:noWrap/>
            <w:tcMar>
              <w:top w:w="15" w:type="dxa"/>
              <w:left w:w="15" w:type="dxa"/>
              <w:right w:w="15" w:type="dxa"/>
            </w:tcMar>
            <w:vAlign w:val="center"/>
          </w:tcPr>
          <w:p w14:paraId="7A64DE0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8.2~8.3</w:t>
            </w:r>
          </w:p>
        </w:tc>
        <w:tc>
          <w:tcPr>
            <w:tcW w:w="1199" w:type="dxa"/>
            <w:tcBorders>
              <w:tl2br w:val="nil"/>
              <w:tr2bl w:val="nil"/>
            </w:tcBorders>
            <w:noWrap/>
            <w:tcMar>
              <w:top w:w="15" w:type="dxa"/>
              <w:left w:w="15" w:type="dxa"/>
              <w:right w:w="15" w:type="dxa"/>
            </w:tcMar>
            <w:vAlign w:val="center"/>
          </w:tcPr>
          <w:p w14:paraId="4E50E31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6~9</w:t>
            </w:r>
          </w:p>
        </w:tc>
        <w:tc>
          <w:tcPr>
            <w:tcW w:w="1921" w:type="dxa"/>
            <w:tcBorders>
              <w:tl2br w:val="nil"/>
              <w:tr2bl w:val="nil"/>
            </w:tcBorders>
            <w:noWrap/>
            <w:tcMar>
              <w:top w:w="15" w:type="dxa"/>
              <w:left w:w="15" w:type="dxa"/>
              <w:right w:w="15" w:type="dxa"/>
            </w:tcMar>
            <w:vAlign w:val="center"/>
          </w:tcPr>
          <w:p w14:paraId="36C0987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0.60~0.65</w:t>
            </w:r>
          </w:p>
        </w:tc>
        <w:tc>
          <w:tcPr>
            <w:tcW w:w="1199" w:type="dxa"/>
            <w:tcBorders>
              <w:tl2br w:val="nil"/>
              <w:tr2bl w:val="nil"/>
            </w:tcBorders>
            <w:noWrap/>
            <w:tcMar>
              <w:top w:w="15" w:type="dxa"/>
              <w:left w:w="15" w:type="dxa"/>
              <w:right w:w="15" w:type="dxa"/>
            </w:tcMar>
            <w:vAlign w:val="center"/>
          </w:tcPr>
          <w:p w14:paraId="04457A0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1A597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7A7F4C9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SS</w:t>
            </w:r>
          </w:p>
        </w:tc>
        <w:tc>
          <w:tcPr>
            <w:tcW w:w="921" w:type="dxa"/>
            <w:tcBorders>
              <w:tl2br w:val="nil"/>
              <w:tr2bl w:val="nil"/>
            </w:tcBorders>
            <w:noWrap/>
            <w:tcMar>
              <w:top w:w="15" w:type="dxa"/>
              <w:left w:w="15" w:type="dxa"/>
              <w:right w:w="15" w:type="dxa"/>
            </w:tcMar>
            <w:vAlign w:val="center"/>
          </w:tcPr>
          <w:p w14:paraId="3D23EB7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4E5F162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16~17</w:t>
            </w:r>
          </w:p>
        </w:tc>
        <w:tc>
          <w:tcPr>
            <w:tcW w:w="1199" w:type="dxa"/>
            <w:tcBorders>
              <w:tl2br w:val="nil"/>
              <w:tr2bl w:val="nil"/>
            </w:tcBorders>
            <w:noWrap/>
            <w:tcMar>
              <w:top w:w="15" w:type="dxa"/>
              <w:left w:w="15" w:type="dxa"/>
              <w:right w:w="15" w:type="dxa"/>
            </w:tcMar>
            <w:vAlign w:val="center"/>
          </w:tcPr>
          <w:p w14:paraId="5AF82CF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921" w:type="dxa"/>
            <w:tcBorders>
              <w:tl2br w:val="nil"/>
              <w:tr2bl w:val="nil"/>
            </w:tcBorders>
            <w:noWrap/>
            <w:tcMar>
              <w:top w:w="15" w:type="dxa"/>
              <w:left w:w="15" w:type="dxa"/>
              <w:right w:w="15" w:type="dxa"/>
            </w:tcMar>
            <w:vAlign w:val="center"/>
          </w:tcPr>
          <w:p w14:paraId="6C5ACE0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72A9B967">
            <w:pPr>
              <w:widowControl/>
              <w:spacing w:line="240" w:lineRule="auto"/>
              <w:ind w:firstLine="0" w:firstLineChars="0"/>
              <w:jc w:val="center"/>
              <w:rPr>
                <w:rFonts w:cs="Times New Roman"/>
                <w:color w:val="auto"/>
                <w:sz w:val="21"/>
                <w:u w:val="none" w:color="auto"/>
              </w:rPr>
            </w:pPr>
            <w:r>
              <w:rPr>
                <w:rFonts w:cs="Times New Roman"/>
                <w:color w:val="auto"/>
                <w:sz w:val="21"/>
                <w:u w:val="none" w:color="auto"/>
              </w:rPr>
              <w:t>/</w:t>
            </w:r>
          </w:p>
        </w:tc>
      </w:tr>
      <w:tr w14:paraId="59945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2C1058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DO</w:t>
            </w:r>
          </w:p>
        </w:tc>
        <w:tc>
          <w:tcPr>
            <w:tcW w:w="921" w:type="dxa"/>
            <w:tcBorders>
              <w:tl2br w:val="nil"/>
              <w:tr2bl w:val="nil"/>
            </w:tcBorders>
            <w:noWrap/>
            <w:tcMar>
              <w:top w:w="15" w:type="dxa"/>
              <w:left w:w="15" w:type="dxa"/>
              <w:right w:w="15" w:type="dxa"/>
            </w:tcMar>
            <w:vAlign w:val="center"/>
          </w:tcPr>
          <w:p w14:paraId="5E97538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2A32F9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6.4~6.6</w:t>
            </w:r>
          </w:p>
        </w:tc>
        <w:tc>
          <w:tcPr>
            <w:tcW w:w="1199" w:type="dxa"/>
            <w:tcBorders>
              <w:tl2br w:val="nil"/>
              <w:tr2bl w:val="nil"/>
            </w:tcBorders>
            <w:noWrap/>
            <w:tcMar>
              <w:top w:w="15" w:type="dxa"/>
              <w:left w:w="15" w:type="dxa"/>
              <w:right w:w="15" w:type="dxa"/>
            </w:tcMar>
            <w:vAlign w:val="center"/>
          </w:tcPr>
          <w:p w14:paraId="73D86D4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≥5</w:t>
            </w:r>
          </w:p>
        </w:tc>
        <w:tc>
          <w:tcPr>
            <w:tcW w:w="1921" w:type="dxa"/>
            <w:tcBorders>
              <w:tl2br w:val="nil"/>
              <w:tr2bl w:val="nil"/>
            </w:tcBorders>
            <w:noWrap/>
            <w:tcMar>
              <w:top w:w="15" w:type="dxa"/>
              <w:left w:w="15" w:type="dxa"/>
              <w:right w:w="15" w:type="dxa"/>
            </w:tcMar>
            <w:vAlign w:val="center"/>
          </w:tcPr>
          <w:p w14:paraId="3F95588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0.50~0.54</w:t>
            </w:r>
          </w:p>
        </w:tc>
        <w:tc>
          <w:tcPr>
            <w:tcW w:w="1199" w:type="dxa"/>
            <w:tcBorders>
              <w:tl2br w:val="nil"/>
              <w:tr2bl w:val="nil"/>
            </w:tcBorders>
            <w:noWrap/>
            <w:tcMar>
              <w:top w:w="15" w:type="dxa"/>
              <w:left w:w="15" w:type="dxa"/>
              <w:right w:w="15" w:type="dxa"/>
            </w:tcMar>
            <w:vAlign w:val="center"/>
          </w:tcPr>
          <w:p w14:paraId="5B9467A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0D92EC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280FE57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高锰酸盐指数</w:t>
            </w:r>
          </w:p>
        </w:tc>
        <w:tc>
          <w:tcPr>
            <w:tcW w:w="921" w:type="dxa"/>
            <w:tcBorders>
              <w:tl2br w:val="nil"/>
              <w:tr2bl w:val="nil"/>
            </w:tcBorders>
            <w:noWrap/>
            <w:tcMar>
              <w:top w:w="15" w:type="dxa"/>
              <w:left w:w="15" w:type="dxa"/>
              <w:right w:w="15" w:type="dxa"/>
            </w:tcMar>
            <w:vAlign w:val="center"/>
          </w:tcPr>
          <w:p w14:paraId="1FFA6A9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6EC0E1D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1.3~1.5</w:t>
            </w:r>
          </w:p>
        </w:tc>
        <w:tc>
          <w:tcPr>
            <w:tcW w:w="1199" w:type="dxa"/>
            <w:tcBorders>
              <w:tl2br w:val="nil"/>
              <w:tr2bl w:val="nil"/>
            </w:tcBorders>
            <w:noWrap/>
            <w:tcMar>
              <w:top w:w="15" w:type="dxa"/>
              <w:left w:w="15" w:type="dxa"/>
              <w:right w:w="15" w:type="dxa"/>
            </w:tcMar>
            <w:vAlign w:val="center"/>
          </w:tcPr>
          <w:p w14:paraId="0DD8DA9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≤6</w:t>
            </w:r>
          </w:p>
        </w:tc>
        <w:tc>
          <w:tcPr>
            <w:tcW w:w="1921" w:type="dxa"/>
            <w:tcBorders>
              <w:tl2br w:val="nil"/>
              <w:tr2bl w:val="nil"/>
            </w:tcBorders>
            <w:noWrap/>
            <w:tcMar>
              <w:top w:w="15" w:type="dxa"/>
              <w:left w:w="15" w:type="dxa"/>
              <w:right w:w="15" w:type="dxa"/>
            </w:tcMar>
            <w:vAlign w:val="center"/>
          </w:tcPr>
          <w:p w14:paraId="5116057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0.22~0.25</w:t>
            </w:r>
          </w:p>
        </w:tc>
        <w:tc>
          <w:tcPr>
            <w:tcW w:w="1199" w:type="dxa"/>
            <w:tcBorders>
              <w:tl2br w:val="nil"/>
              <w:tr2bl w:val="nil"/>
            </w:tcBorders>
            <w:noWrap/>
            <w:tcMar>
              <w:top w:w="15" w:type="dxa"/>
              <w:left w:w="15" w:type="dxa"/>
              <w:right w:w="15" w:type="dxa"/>
            </w:tcMar>
            <w:vAlign w:val="center"/>
          </w:tcPr>
          <w:p w14:paraId="1976EDD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71407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203A66E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COD</w:t>
            </w:r>
            <w:r>
              <w:rPr>
                <w:rFonts w:cs="Times New Roman"/>
                <w:color w:val="auto"/>
                <w:sz w:val="21"/>
                <w:u w:val="none" w:color="auto"/>
                <w:vertAlign w:val="subscript"/>
                <w:lang w:bidi="ar"/>
              </w:rPr>
              <w:t>Cr</w:t>
            </w:r>
          </w:p>
        </w:tc>
        <w:tc>
          <w:tcPr>
            <w:tcW w:w="921" w:type="dxa"/>
            <w:tcBorders>
              <w:tl2br w:val="nil"/>
              <w:tr2bl w:val="nil"/>
            </w:tcBorders>
            <w:noWrap/>
            <w:tcMar>
              <w:top w:w="15" w:type="dxa"/>
              <w:left w:w="15" w:type="dxa"/>
              <w:right w:w="15" w:type="dxa"/>
            </w:tcMar>
            <w:vAlign w:val="center"/>
          </w:tcPr>
          <w:p w14:paraId="0F767BC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2F2594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14~15</w:t>
            </w:r>
          </w:p>
        </w:tc>
        <w:tc>
          <w:tcPr>
            <w:tcW w:w="1199" w:type="dxa"/>
            <w:tcBorders>
              <w:tl2br w:val="nil"/>
              <w:tr2bl w:val="nil"/>
            </w:tcBorders>
            <w:noWrap/>
            <w:tcMar>
              <w:top w:w="15" w:type="dxa"/>
              <w:left w:w="15" w:type="dxa"/>
              <w:right w:w="15" w:type="dxa"/>
            </w:tcMar>
            <w:vAlign w:val="center"/>
          </w:tcPr>
          <w:p w14:paraId="290B44A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≤20</w:t>
            </w:r>
          </w:p>
        </w:tc>
        <w:tc>
          <w:tcPr>
            <w:tcW w:w="1921" w:type="dxa"/>
            <w:tcBorders>
              <w:tl2br w:val="nil"/>
              <w:tr2bl w:val="nil"/>
            </w:tcBorders>
            <w:noWrap/>
            <w:tcMar>
              <w:top w:w="15" w:type="dxa"/>
              <w:left w:w="15" w:type="dxa"/>
              <w:right w:w="15" w:type="dxa"/>
            </w:tcMar>
            <w:vAlign w:val="center"/>
          </w:tcPr>
          <w:p w14:paraId="29E7D3B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0.70~0.75</w:t>
            </w:r>
          </w:p>
        </w:tc>
        <w:tc>
          <w:tcPr>
            <w:tcW w:w="1199" w:type="dxa"/>
            <w:tcBorders>
              <w:tl2br w:val="nil"/>
              <w:tr2bl w:val="nil"/>
            </w:tcBorders>
            <w:noWrap/>
            <w:tcMar>
              <w:top w:w="15" w:type="dxa"/>
              <w:left w:w="15" w:type="dxa"/>
              <w:right w:w="15" w:type="dxa"/>
            </w:tcMar>
            <w:vAlign w:val="center"/>
          </w:tcPr>
          <w:p w14:paraId="172E3D8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9607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7046151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BOD</w:t>
            </w:r>
            <w:r>
              <w:rPr>
                <w:rFonts w:cs="Times New Roman"/>
                <w:color w:val="auto"/>
                <w:sz w:val="21"/>
                <w:u w:val="none" w:color="auto"/>
                <w:vertAlign w:val="subscript"/>
                <w:lang w:bidi="ar"/>
              </w:rPr>
              <w:t>5</w:t>
            </w:r>
          </w:p>
        </w:tc>
        <w:tc>
          <w:tcPr>
            <w:tcW w:w="921" w:type="dxa"/>
            <w:tcBorders>
              <w:tl2br w:val="nil"/>
              <w:tr2bl w:val="nil"/>
            </w:tcBorders>
            <w:noWrap/>
            <w:tcMar>
              <w:top w:w="15" w:type="dxa"/>
              <w:left w:w="15" w:type="dxa"/>
              <w:right w:w="15" w:type="dxa"/>
            </w:tcMar>
            <w:vAlign w:val="center"/>
          </w:tcPr>
          <w:p w14:paraId="2C9F3F7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DAB27F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2.9~3.1</w:t>
            </w:r>
          </w:p>
        </w:tc>
        <w:tc>
          <w:tcPr>
            <w:tcW w:w="1199" w:type="dxa"/>
            <w:tcBorders>
              <w:tl2br w:val="nil"/>
              <w:tr2bl w:val="nil"/>
            </w:tcBorders>
            <w:noWrap/>
            <w:tcMar>
              <w:top w:w="15" w:type="dxa"/>
              <w:left w:w="15" w:type="dxa"/>
              <w:right w:w="15" w:type="dxa"/>
            </w:tcMar>
            <w:vAlign w:val="center"/>
          </w:tcPr>
          <w:p w14:paraId="05F35AC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≤4</w:t>
            </w:r>
          </w:p>
        </w:tc>
        <w:tc>
          <w:tcPr>
            <w:tcW w:w="1921" w:type="dxa"/>
            <w:tcBorders>
              <w:tl2br w:val="nil"/>
              <w:tr2bl w:val="nil"/>
            </w:tcBorders>
            <w:noWrap/>
            <w:tcMar>
              <w:top w:w="15" w:type="dxa"/>
              <w:left w:w="15" w:type="dxa"/>
              <w:right w:w="15" w:type="dxa"/>
            </w:tcMar>
            <w:vAlign w:val="center"/>
          </w:tcPr>
          <w:p w14:paraId="24A0A18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0.73~0.78</w:t>
            </w:r>
          </w:p>
        </w:tc>
        <w:tc>
          <w:tcPr>
            <w:tcW w:w="1199" w:type="dxa"/>
            <w:tcBorders>
              <w:tl2br w:val="nil"/>
              <w:tr2bl w:val="nil"/>
            </w:tcBorders>
            <w:noWrap/>
            <w:tcMar>
              <w:top w:w="15" w:type="dxa"/>
              <w:left w:w="15" w:type="dxa"/>
              <w:right w:w="15" w:type="dxa"/>
            </w:tcMar>
            <w:vAlign w:val="center"/>
          </w:tcPr>
          <w:p w14:paraId="3FF190C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411E1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0" w:hRule="atLeast"/>
          <w:tblHeader/>
          <w:jc w:val="center"/>
        </w:trPr>
        <w:tc>
          <w:tcPr>
            <w:tcW w:w="1769" w:type="dxa"/>
            <w:tcBorders>
              <w:tl2br w:val="nil"/>
              <w:tr2bl w:val="nil"/>
            </w:tcBorders>
            <w:noWrap/>
            <w:tcMar>
              <w:top w:w="15" w:type="dxa"/>
              <w:left w:w="15" w:type="dxa"/>
              <w:right w:w="15" w:type="dxa"/>
            </w:tcMar>
            <w:vAlign w:val="center"/>
          </w:tcPr>
          <w:p w14:paraId="0A8C940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NH</w:t>
            </w:r>
            <w:r>
              <w:rPr>
                <w:rFonts w:cs="Times New Roman"/>
                <w:color w:val="auto"/>
                <w:sz w:val="21"/>
                <w:u w:val="none" w:color="auto"/>
                <w:vertAlign w:val="subscript"/>
                <w:lang w:bidi="ar"/>
              </w:rPr>
              <w:t>3</w:t>
            </w:r>
            <w:r>
              <w:rPr>
                <w:rStyle w:val="39"/>
                <w:rFonts w:hint="default" w:ascii="Times New Roman" w:hAnsi="Times New Roman" w:cs="Times New Roman"/>
                <w:color w:val="auto"/>
                <w:sz w:val="21"/>
                <w:szCs w:val="21"/>
                <w:u w:val="none" w:color="auto"/>
                <w:lang w:bidi="ar"/>
              </w:rPr>
              <w:t>-H</w:t>
            </w:r>
          </w:p>
        </w:tc>
        <w:tc>
          <w:tcPr>
            <w:tcW w:w="921" w:type="dxa"/>
            <w:tcBorders>
              <w:tl2br w:val="nil"/>
              <w:tr2bl w:val="nil"/>
            </w:tcBorders>
            <w:noWrap/>
            <w:tcMar>
              <w:top w:w="15" w:type="dxa"/>
              <w:left w:w="15" w:type="dxa"/>
              <w:right w:w="15" w:type="dxa"/>
            </w:tcMar>
            <w:vAlign w:val="center"/>
          </w:tcPr>
          <w:p w14:paraId="5243A21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22C57EA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0.448~0.466</w:t>
            </w:r>
          </w:p>
        </w:tc>
        <w:tc>
          <w:tcPr>
            <w:tcW w:w="1199" w:type="dxa"/>
            <w:tcBorders>
              <w:tl2br w:val="nil"/>
              <w:tr2bl w:val="nil"/>
            </w:tcBorders>
            <w:noWrap/>
            <w:tcMar>
              <w:top w:w="15" w:type="dxa"/>
              <w:left w:w="15" w:type="dxa"/>
              <w:right w:w="15" w:type="dxa"/>
            </w:tcMar>
            <w:vAlign w:val="center"/>
          </w:tcPr>
          <w:p w14:paraId="12D7F1D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607AA5C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0.45~0.47</w:t>
            </w:r>
          </w:p>
        </w:tc>
        <w:tc>
          <w:tcPr>
            <w:tcW w:w="1199" w:type="dxa"/>
            <w:tcBorders>
              <w:tl2br w:val="nil"/>
              <w:tr2bl w:val="nil"/>
            </w:tcBorders>
            <w:noWrap/>
            <w:tcMar>
              <w:top w:w="15" w:type="dxa"/>
              <w:left w:w="15" w:type="dxa"/>
              <w:right w:w="15" w:type="dxa"/>
            </w:tcMar>
            <w:vAlign w:val="center"/>
          </w:tcPr>
          <w:p w14:paraId="595CC42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4A49E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346992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总磷</w:t>
            </w:r>
          </w:p>
        </w:tc>
        <w:tc>
          <w:tcPr>
            <w:tcW w:w="921" w:type="dxa"/>
            <w:tcBorders>
              <w:tl2br w:val="nil"/>
              <w:tr2bl w:val="nil"/>
            </w:tcBorders>
            <w:noWrap/>
            <w:tcMar>
              <w:top w:w="15" w:type="dxa"/>
              <w:left w:w="15" w:type="dxa"/>
              <w:right w:w="15" w:type="dxa"/>
            </w:tcMar>
            <w:vAlign w:val="center"/>
          </w:tcPr>
          <w:p w14:paraId="1AA1EE4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3CD268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0.11~0.12</w:t>
            </w:r>
          </w:p>
        </w:tc>
        <w:tc>
          <w:tcPr>
            <w:tcW w:w="1199" w:type="dxa"/>
            <w:tcBorders>
              <w:tl2br w:val="nil"/>
              <w:tr2bl w:val="nil"/>
            </w:tcBorders>
            <w:noWrap/>
            <w:tcMar>
              <w:top w:w="15" w:type="dxa"/>
              <w:left w:w="15" w:type="dxa"/>
              <w:right w:w="15" w:type="dxa"/>
            </w:tcMar>
            <w:vAlign w:val="center"/>
          </w:tcPr>
          <w:p w14:paraId="5017E4F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≤0.2</w:t>
            </w:r>
          </w:p>
        </w:tc>
        <w:tc>
          <w:tcPr>
            <w:tcW w:w="1921" w:type="dxa"/>
            <w:tcBorders>
              <w:tl2br w:val="nil"/>
              <w:tr2bl w:val="nil"/>
            </w:tcBorders>
            <w:noWrap/>
            <w:tcMar>
              <w:top w:w="15" w:type="dxa"/>
              <w:left w:w="15" w:type="dxa"/>
              <w:right w:w="15" w:type="dxa"/>
            </w:tcMar>
            <w:vAlign w:val="center"/>
          </w:tcPr>
          <w:p w14:paraId="6435FA4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0.55~0.60</w:t>
            </w:r>
          </w:p>
        </w:tc>
        <w:tc>
          <w:tcPr>
            <w:tcW w:w="1199" w:type="dxa"/>
            <w:tcBorders>
              <w:tl2br w:val="nil"/>
              <w:tr2bl w:val="nil"/>
            </w:tcBorders>
            <w:noWrap/>
            <w:tcMar>
              <w:top w:w="15" w:type="dxa"/>
              <w:left w:w="15" w:type="dxa"/>
              <w:right w:w="15" w:type="dxa"/>
            </w:tcMar>
            <w:vAlign w:val="center"/>
          </w:tcPr>
          <w:p w14:paraId="6BF1A36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2F4A6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0819B80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总氮</w:t>
            </w:r>
          </w:p>
        </w:tc>
        <w:tc>
          <w:tcPr>
            <w:tcW w:w="921" w:type="dxa"/>
            <w:tcBorders>
              <w:tl2br w:val="nil"/>
              <w:tr2bl w:val="nil"/>
            </w:tcBorders>
            <w:noWrap/>
            <w:tcMar>
              <w:top w:w="15" w:type="dxa"/>
              <w:left w:w="15" w:type="dxa"/>
              <w:right w:w="15" w:type="dxa"/>
            </w:tcMar>
            <w:vAlign w:val="center"/>
          </w:tcPr>
          <w:p w14:paraId="3D94C5D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0529EA6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0.53~0.58</w:t>
            </w:r>
          </w:p>
        </w:tc>
        <w:tc>
          <w:tcPr>
            <w:tcW w:w="1199" w:type="dxa"/>
            <w:tcBorders>
              <w:tl2br w:val="nil"/>
              <w:tr2bl w:val="nil"/>
            </w:tcBorders>
            <w:noWrap/>
            <w:tcMar>
              <w:top w:w="15" w:type="dxa"/>
              <w:left w:w="15" w:type="dxa"/>
              <w:right w:w="15" w:type="dxa"/>
            </w:tcMar>
            <w:vAlign w:val="center"/>
          </w:tcPr>
          <w:p w14:paraId="5329DDF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78F7995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0.53~0.58</w:t>
            </w:r>
          </w:p>
        </w:tc>
        <w:tc>
          <w:tcPr>
            <w:tcW w:w="1199" w:type="dxa"/>
            <w:tcBorders>
              <w:tl2br w:val="nil"/>
              <w:tr2bl w:val="nil"/>
            </w:tcBorders>
            <w:noWrap/>
            <w:tcMar>
              <w:top w:w="15" w:type="dxa"/>
              <w:left w:w="15" w:type="dxa"/>
              <w:right w:w="15" w:type="dxa"/>
            </w:tcMar>
            <w:vAlign w:val="center"/>
          </w:tcPr>
          <w:p w14:paraId="4B87A84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19E11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7D2C80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铜</w:t>
            </w:r>
          </w:p>
        </w:tc>
        <w:tc>
          <w:tcPr>
            <w:tcW w:w="921" w:type="dxa"/>
            <w:tcBorders>
              <w:tl2br w:val="nil"/>
              <w:tr2bl w:val="nil"/>
            </w:tcBorders>
            <w:noWrap/>
            <w:tcMar>
              <w:top w:w="15" w:type="dxa"/>
              <w:left w:w="15" w:type="dxa"/>
              <w:right w:w="15" w:type="dxa"/>
            </w:tcMar>
            <w:vAlign w:val="center"/>
          </w:tcPr>
          <w:p w14:paraId="5D9E596D">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40796F8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0.05L</w:t>
            </w:r>
          </w:p>
        </w:tc>
        <w:tc>
          <w:tcPr>
            <w:tcW w:w="1199" w:type="dxa"/>
            <w:tcBorders>
              <w:tl2br w:val="nil"/>
              <w:tr2bl w:val="nil"/>
            </w:tcBorders>
            <w:noWrap/>
            <w:tcMar>
              <w:top w:w="15" w:type="dxa"/>
              <w:left w:w="15" w:type="dxa"/>
              <w:right w:w="15" w:type="dxa"/>
            </w:tcMar>
            <w:vAlign w:val="center"/>
          </w:tcPr>
          <w:p w14:paraId="4730F33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418FB57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3D594F3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34EB3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90FE69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锌</w:t>
            </w:r>
          </w:p>
        </w:tc>
        <w:tc>
          <w:tcPr>
            <w:tcW w:w="921" w:type="dxa"/>
            <w:tcBorders>
              <w:tl2br w:val="nil"/>
              <w:tr2bl w:val="nil"/>
            </w:tcBorders>
            <w:noWrap/>
            <w:tcMar>
              <w:top w:w="15" w:type="dxa"/>
              <w:left w:w="15" w:type="dxa"/>
              <w:right w:w="15" w:type="dxa"/>
            </w:tcMar>
            <w:vAlign w:val="center"/>
          </w:tcPr>
          <w:p w14:paraId="437D3AAB">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3FE838B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0.05L</w:t>
            </w:r>
          </w:p>
        </w:tc>
        <w:tc>
          <w:tcPr>
            <w:tcW w:w="1199" w:type="dxa"/>
            <w:tcBorders>
              <w:tl2br w:val="nil"/>
              <w:tr2bl w:val="nil"/>
            </w:tcBorders>
            <w:noWrap/>
            <w:tcMar>
              <w:top w:w="15" w:type="dxa"/>
              <w:left w:w="15" w:type="dxa"/>
              <w:right w:w="15" w:type="dxa"/>
            </w:tcMar>
            <w:vAlign w:val="center"/>
          </w:tcPr>
          <w:p w14:paraId="5785C0C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7E634AA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292ACBC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1FD50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BFD261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挥发酚</w:t>
            </w:r>
          </w:p>
        </w:tc>
        <w:tc>
          <w:tcPr>
            <w:tcW w:w="921" w:type="dxa"/>
            <w:tcBorders>
              <w:tl2br w:val="nil"/>
              <w:tr2bl w:val="nil"/>
            </w:tcBorders>
            <w:noWrap/>
            <w:tcMar>
              <w:top w:w="15" w:type="dxa"/>
              <w:left w:w="15" w:type="dxa"/>
              <w:right w:w="15" w:type="dxa"/>
            </w:tcMar>
            <w:vAlign w:val="center"/>
          </w:tcPr>
          <w:p w14:paraId="6D4AE96B">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E81F7F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0.0003L</w:t>
            </w:r>
          </w:p>
        </w:tc>
        <w:tc>
          <w:tcPr>
            <w:tcW w:w="1199" w:type="dxa"/>
            <w:tcBorders>
              <w:tl2br w:val="nil"/>
              <w:tr2bl w:val="nil"/>
            </w:tcBorders>
            <w:noWrap/>
            <w:tcMar>
              <w:top w:w="15" w:type="dxa"/>
              <w:left w:w="15" w:type="dxa"/>
              <w:right w:w="15" w:type="dxa"/>
            </w:tcMar>
            <w:vAlign w:val="center"/>
          </w:tcPr>
          <w:p w14:paraId="6E9881F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≤0.005</w:t>
            </w:r>
          </w:p>
        </w:tc>
        <w:tc>
          <w:tcPr>
            <w:tcW w:w="1921" w:type="dxa"/>
            <w:tcBorders>
              <w:tl2br w:val="nil"/>
              <w:tr2bl w:val="nil"/>
            </w:tcBorders>
            <w:noWrap/>
            <w:tcMar>
              <w:top w:w="15" w:type="dxa"/>
              <w:left w:w="15" w:type="dxa"/>
              <w:right w:w="15" w:type="dxa"/>
            </w:tcMar>
            <w:vAlign w:val="center"/>
          </w:tcPr>
          <w:p w14:paraId="411CFD7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5E18843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AE44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2C252F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石油类</w:t>
            </w:r>
          </w:p>
        </w:tc>
        <w:tc>
          <w:tcPr>
            <w:tcW w:w="921" w:type="dxa"/>
            <w:tcBorders>
              <w:tl2br w:val="nil"/>
              <w:tr2bl w:val="nil"/>
            </w:tcBorders>
            <w:noWrap/>
            <w:tcMar>
              <w:top w:w="15" w:type="dxa"/>
              <w:left w:w="15" w:type="dxa"/>
              <w:right w:w="15" w:type="dxa"/>
            </w:tcMar>
            <w:vAlign w:val="center"/>
          </w:tcPr>
          <w:p w14:paraId="105ADC73">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3015EB8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0.03~0.04</w:t>
            </w:r>
          </w:p>
        </w:tc>
        <w:tc>
          <w:tcPr>
            <w:tcW w:w="1199" w:type="dxa"/>
            <w:tcBorders>
              <w:tl2br w:val="nil"/>
              <w:tr2bl w:val="nil"/>
            </w:tcBorders>
            <w:noWrap/>
            <w:tcMar>
              <w:top w:w="15" w:type="dxa"/>
              <w:left w:w="15" w:type="dxa"/>
              <w:right w:w="15" w:type="dxa"/>
            </w:tcMar>
            <w:vAlign w:val="center"/>
          </w:tcPr>
          <w:p w14:paraId="3C1BF72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w:t>
            </w:r>
          </w:p>
        </w:tc>
        <w:tc>
          <w:tcPr>
            <w:tcW w:w="1921" w:type="dxa"/>
            <w:tcBorders>
              <w:tl2br w:val="nil"/>
              <w:tr2bl w:val="nil"/>
            </w:tcBorders>
            <w:noWrap/>
            <w:tcMar>
              <w:top w:w="15" w:type="dxa"/>
              <w:left w:w="15" w:type="dxa"/>
              <w:right w:w="15" w:type="dxa"/>
            </w:tcMar>
            <w:vAlign w:val="center"/>
          </w:tcPr>
          <w:p w14:paraId="4C5F21E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0.40~0.60</w:t>
            </w:r>
          </w:p>
        </w:tc>
        <w:tc>
          <w:tcPr>
            <w:tcW w:w="1199" w:type="dxa"/>
            <w:tcBorders>
              <w:tl2br w:val="nil"/>
              <w:tr2bl w:val="nil"/>
            </w:tcBorders>
            <w:noWrap/>
            <w:tcMar>
              <w:top w:w="15" w:type="dxa"/>
              <w:left w:w="15" w:type="dxa"/>
              <w:right w:w="15" w:type="dxa"/>
            </w:tcMar>
            <w:vAlign w:val="center"/>
          </w:tcPr>
          <w:p w14:paraId="4B85332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66503C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2E36268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氟化物</w:t>
            </w:r>
          </w:p>
        </w:tc>
        <w:tc>
          <w:tcPr>
            <w:tcW w:w="921" w:type="dxa"/>
            <w:tcBorders>
              <w:tl2br w:val="nil"/>
              <w:tr2bl w:val="nil"/>
            </w:tcBorders>
            <w:noWrap/>
            <w:tcMar>
              <w:top w:w="15" w:type="dxa"/>
              <w:left w:w="15" w:type="dxa"/>
              <w:right w:w="15" w:type="dxa"/>
            </w:tcMar>
            <w:vAlign w:val="center"/>
          </w:tcPr>
          <w:p w14:paraId="06353433">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F6793A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0.256~0.260</w:t>
            </w:r>
          </w:p>
        </w:tc>
        <w:tc>
          <w:tcPr>
            <w:tcW w:w="1199" w:type="dxa"/>
            <w:tcBorders>
              <w:tl2br w:val="nil"/>
              <w:tr2bl w:val="nil"/>
            </w:tcBorders>
            <w:noWrap/>
            <w:tcMar>
              <w:top w:w="15" w:type="dxa"/>
              <w:left w:w="15" w:type="dxa"/>
              <w:right w:w="15" w:type="dxa"/>
            </w:tcMar>
            <w:vAlign w:val="center"/>
          </w:tcPr>
          <w:p w14:paraId="1B09C94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5BCB2AB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0.26~0.26</w:t>
            </w:r>
          </w:p>
        </w:tc>
        <w:tc>
          <w:tcPr>
            <w:tcW w:w="1199" w:type="dxa"/>
            <w:tcBorders>
              <w:tl2br w:val="nil"/>
              <w:tr2bl w:val="nil"/>
            </w:tcBorders>
            <w:noWrap/>
            <w:tcMar>
              <w:top w:w="15" w:type="dxa"/>
              <w:left w:w="15" w:type="dxa"/>
              <w:right w:w="15" w:type="dxa"/>
            </w:tcMar>
            <w:vAlign w:val="center"/>
          </w:tcPr>
          <w:p w14:paraId="68D68CA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7B3C4F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A242AE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氰化物</w:t>
            </w:r>
          </w:p>
        </w:tc>
        <w:tc>
          <w:tcPr>
            <w:tcW w:w="921" w:type="dxa"/>
            <w:tcBorders>
              <w:tl2br w:val="nil"/>
              <w:tr2bl w:val="nil"/>
            </w:tcBorders>
            <w:noWrap/>
            <w:tcMar>
              <w:top w:w="15" w:type="dxa"/>
              <w:left w:w="15" w:type="dxa"/>
              <w:right w:w="15" w:type="dxa"/>
            </w:tcMar>
            <w:vAlign w:val="center"/>
          </w:tcPr>
          <w:p w14:paraId="664D1422">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07FA706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0.004L</w:t>
            </w:r>
          </w:p>
        </w:tc>
        <w:tc>
          <w:tcPr>
            <w:tcW w:w="1199" w:type="dxa"/>
            <w:tcBorders>
              <w:tl2br w:val="nil"/>
              <w:tr2bl w:val="nil"/>
            </w:tcBorders>
            <w:noWrap/>
            <w:tcMar>
              <w:top w:w="15" w:type="dxa"/>
              <w:left w:w="15" w:type="dxa"/>
              <w:right w:w="15" w:type="dxa"/>
            </w:tcMar>
            <w:vAlign w:val="center"/>
          </w:tcPr>
          <w:p w14:paraId="0CFF7E4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≤0.2</w:t>
            </w:r>
          </w:p>
        </w:tc>
        <w:tc>
          <w:tcPr>
            <w:tcW w:w="1921" w:type="dxa"/>
            <w:tcBorders>
              <w:tl2br w:val="nil"/>
              <w:tr2bl w:val="nil"/>
            </w:tcBorders>
            <w:noWrap/>
            <w:tcMar>
              <w:top w:w="15" w:type="dxa"/>
              <w:left w:w="15" w:type="dxa"/>
              <w:right w:w="15" w:type="dxa"/>
            </w:tcMar>
            <w:vAlign w:val="center"/>
          </w:tcPr>
          <w:p w14:paraId="7179281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06939CB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29CDB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0DE40E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铅</w:t>
            </w:r>
          </w:p>
        </w:tc>
        <w:tc>
          <w:tcPr>
            <w:tcW w:w="921" w:type="dxa"/>
            <w:tcBorders>
              <w:tl2br w:val="nil"/>
              <w:tr2bl w:val="nil"/>
            </w:tcBorders>
            <w:noWrap/>
            <w:tcMar>
              <w:top w:w="15" w:type="dxa"/>
              <w:left w:w="15" w:type="dxa"/>
              <w:right w:w="15" w:type="dxa"/>
            </w:tcMar>
            <w:vAlign w:val="center"/>
          </w:tcPr>
          <w:p w14:paraId="0FA3379F">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64FC767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0.001L</w:t>
            </w:r>
          </w:p>
        </w:tc>
        <w:tc>
          <w:tcPr>
            <w:tcW w:w="1199" w:type="dxa"/>
            <w:tcBorders>
              <w:tl2br w:val="nil"/>
              <w:tr2bl w:val="nil"/>
            </w:tcBorders>
            <w:noWrap/>
            <w:tcMar>
              <w:top w:w="15" w:type="dxa"/>
              <w:left w:w="15" w:type="dxa"/>
              <w:right w:w="15" w:type="dxa"/>
            </w:tcMar>
            <w:vAlign w:val="center"/>
          </w:tcPr>
          <w:p w14:paraId="29459B4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w:t>
            </w:r>
          </w:p>
        </w:tc>
        <w:tc>
          <w:tcPr>
            <w:tcW w:w="1921" w:type="dxa"/>
            <w:tcBorders>
              <w:tl2br w:val="nil"/>
              <w:tr2bl w:val="nil"/>
            </w:tcBorders>
            <w:noWrap/>
            <w:tcMar>
              <w:top w:w="15" w:type="dxa"/>
              <w:left w:w="15" w:type="dxa"/>
              <w:right w:w="15" w:type="dxa"/>
            </w:tcMar>
            <w:vAlign w:val="center"/>
          </w:tcPr>
          <w:p w14:paraId="235390E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54E55B8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68A7D4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B10CA1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镉</w:t>
            </w:r>
          </w:p>
        </w:tc>
        <w:tc>
          <w:tcPr>
            <w:tcW w:w="921" w:type="dxa"/>
            <w:tcBorders>
              <w:tl2br w:val="nil"/>
              <w:tr2bl w:val="nil"/>
            </w:tcBorders>
            <w:noWrap/>
            <w:tcMar>
              <w:top w:w="15" w:type="dxa"/>
              <w:left w:w="15" w:type="dxa"/>
              <w:right w:w="15" w:type="dxa"/>
            </w:tcMar>
            <w:vAlign w:val="center"/>
          </w:tcPr>
          <w:p w14:paraId="2E55408F">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048717F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0.0001L</w:t>
            </w:r>
          </w:p>
        </w:tc>
        <w:tc>
          <w:tcPr>
            <w:tcW w:w="1199" w:type="dxa"/>
            <w:tcBorders>
              <w:tl2br w:val="nil"/>
              <w:tr2bl w:val="nil"/>
            </w:tcBorders>
            <w:noWrap/>
            <w:tcMar>
              <w:top w:w="15" w:type="dxa"/>
              <w:left w:w="15" w:type="dxa"/>
              <w:right w:w="15" w:type="dxa"/>
            </w:tcMar>
            <w:vAlign w:val="center"/>
          </w:tcPr>
          <w:p w14:paraId="0677DC8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≤0.005</w:t>
            </w:r>
          </w:p>
        </w:tc>
        <w:tc>
          <w:tcPr>
            <w:tcW w:w="1921" w:type="dxa"/>
            <w:tcBorders>
              <w:tl2br w:val="nil"/>
              <w:tr2bl w:val="nil"/>
            </w:tcBorders>
            <w:noWrap/>
            <w:tcMar>
              <w:top w:w="15" w:type="dxa"/>
              <w:left w:w="15" w:type="dxa"/>
              <w:right w:w="15" w:type="dxa"/>
            </w:tcMar>
            <w:vAlign w:val="center"/>
          </w:tcPr>
          <w:p w14:paraId="72EA17F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20E3A5C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38D1B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9E58D2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汞</w:t>
            </w:r>
          </w:p>
        </w:tc>
        <w:tc>
          <w:tcPr>
            <w:tcW w:w="921" w:type="dxa"/>
            <w:tcBorders>
              <w:tl2br w:val="nil"/>
              <w:tr2bl w:val="nil"/>
            </w:tcBorders>
            <w:noWrap/>
            <w:tcMar>
              <w:top w:w="15" w:type="dxa"/>
              <w:left w:w="15" w:type="dxa"/>
              <w:right w:w="15" w:type="dxa"/>
            </w:tcMar>
            <w:vAlign w:val="center"/>
          </w:tcPr>
          <w:p w14:paraId="09C1EF13">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6B450C5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0.00004L</w:t>
            </w:r>
          </w:p>
        </w:tc>
        <w:tc>
          <w:tcPr>
            <w:tcW w:w="1199" w:type="dxa"/>
            <w:tcBorders>
              <w:tl2br w:val="nil"/>
              <w:tr2bl w:val="nil"/>
            </w:tcBorders>
            <w:noWrap/>
            <w:tcMar>
              <w:top w:w="15" w:type="dxa"/>
              <w:left w:w="15" w:type="dxa"/>
              <w:right w:w="15" w:type="dxa"/>
            </w:tcMar>
            <w:vAlign w:val="center"/>
          </w:tcPr>
          <w:p w14:paraId="0C27DA2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≤0.0001</w:t>
            </w:r>
          </w:p>
        </w:tc>
        <w:tc>
          <w:tcPr>
            <w:tcW w:w="1921" w:type="dxa"/>
            <w:tcBorders>
              <w:tl2br w:val="nil"/>
              <w:tr2bl w:val="nil"/>
            </w:tcBorders>
            <w:noWrap/>
            <w:tcMar>
              <w:top w:w="15" w:type="dxa"/>
              <w:left w:w="15" w:type="dxa"/>
              <w:right w:w="15" w:type="dxa"/>
            </w:tcMar>
            <w:vAlign w:val="center"/>
          </w:tcPr>
          <w:p w14:paraId="07CD2F8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6B7CA5C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EDAD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63CF4FD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砷</w:t>
            </w:r>
          </w:p>
        </w:tc>
        <w:tc>
          <w:tcPr>
            <w:tcW w:w="921" w:type="dxa"/>
            <w:tcBorders>
              <w:tl2br w:val="nil"/>
              <w:tr2bl w:val="nil"/>
            </w:tcBorders>
            <w:noWrap/>
            <w:tcMar>
              <w:top w:w="15" w:type="dxa"/>
              <w:left w:w="15" w:type="dxa"/>
              <w:right w:w="15" w:type="dxa"/>
            </w:tcMar>
            <w:vAlign w:val="center"/>
          </w:tcPr>
          <w:p w14:paraId="5EF66A10">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98AB6BC">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0.0003L</w:t>
            </w:r>
          </w:p>
        </w:tc>
        <w:tc>
          <w:tcPr>
            <w:tcW w:w="1199" w:type="dxa"/>
            <w:tcBorders>
              <w:tl2br w:val="nil"/>
              <w:tr2bl w:val="nil"/>
            </w:tcBorders>
            <w:noWrap/>
            <w:tcMar>
              <w:top w:w="15" w:type="dxa"/>
              <w:left w:w="15" w:type="dxa"/>
              <w:right w:w="15" w:type="dxa"/>
            </w:tcMar>
            <w:vAlign w:val="center"/>
          </w:tcPr>
          <w:p w14:paraId="35B03DE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w:t>
            </w:r>
          </w:p>
        </w:tc>
        <w:tc>
          <w:tcPr>
            <w:tcW w:w="1921" w:type="dxa"/>
            <w:tcBorders>
              <w:tl2br w:val="nil"/>
              <w:tr2bl w:val="nil"/>
            </w:tcBorders>
            <w:noWrap/>
            <w:tcMar>
              <w:top w:w="15" w:type="dxa"/>
              <w:left w:w="15" w:type="dxa"/>
              <w:right w:w="15" w:type="dxa"/>
            </w:tcMar>
            <w:vAlign w:val="center"/>
          </w:tcPr>
          <w:p w14:paraId="0908AB0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64668F3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0A743D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00AFF6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六价铬</w:t>
            </w:r>
          </w:p>
        </w:tc>
        <w:tc>
          <w:tcPr>
            <w:tcW w:w="921" w:type="dxa"/>
            <w:tcBorders>
              <w:tl2br w:val="nil"/>
              <w:tr2bl w:val="nil"/>
            </w:tcBorders>
            <w:noWrap/>
            <w:tcMar>
              <w:top w:w="15" w:type="dxa"/>
              <w:left w:w="15" w:type="dxa"/>
              <w:right w:w="15" w:type="dxa"/>
            </w:tcMar>
            <w:vAlign w:val="center"/>
          </w:tcPr>
          <w:p w14:paraId="0A79EA48">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51F95FC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0.004L</w:t>
            </w:r>
          </w:p>
        </w:tc>
        <w:tc>
          <w:tcPr>
            <w:tcW w:w="1199" w:type="dxa"/>
            <w:tcBorders>
              <w:tl2br w:val="nil"/>
              <w:tr2bl w:val="nil"/>
            </w:tcBorders>
            <w:noWrap/>
            <w:tcMar>
              <w:top w:w="15" w:type="dxa"/>
              <w:left w:w="15" w:type="dxa"/>
              <w:right w:w="15" w:type="dxa"/>
            </w:tcMar>
            <w:vAlign w:val="center"/>
          </w:tcPr>
          <w:p w14:paraId="6C7B6D8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≤0.05</w:t>
            </w:r>
          </w:p>
        </w:tc>
        <w:tc>
          <w:tcPr>
            <w:tcW w:w="1921" w:type="dxa"/>
            <w:tcBorders>
              <w:tl2br w:val="nil"/>
              <w:tr2bl w:val="nil"/>
            </w:tcBorders>
            <w:noWrap/>
            <w:tcMar>
              <w:top w:w="15" w:type="dxa"/>
              <w:left w:w="15" w:type="dxa"/>
              <w:right w:w="15" w:type="dxa"/>
            </w:tcMar>
            <w:vAlign w:val="center"/>
          </w:tcPr>
          <w:p w14:paraId="5A775351">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5CB23E1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0BDA6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5A37919">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镍</w:t>
            </w:r>
          </w:p>
        </w:tc>
        <w:tc>
          <w:tcPr>
            <w:tcW w:w="921" w:type="dxa"/>
            <w:tcBorders>
              <w:tl2br w:val="nil"/>
              <w:tr2bl w:val="nil"/>
            </w:tcBorders>
            <w:noWrap/>
            <w:tcMar>
              <w:top w:w="15" w:type="dxa"/>
              <w:left w:w="15" w:type="dxa"/>
              <w:right w:w="15" w:type="dxa"/>
            </w:tcMar>
            <w:vAlign w:val="center"/>
          </w:tcPr>
          <w:p w14:paraId="1B76D576">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38CCCD3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0.005L</w:t>
            </w:r>
          </w:p>
        </w:tc>
        <w:tc>
          <w:tcPr>
            <w:tcW w:w="1199" w:type="dxa"/>
            <w:tcBorders>
              <w:tl2br w:val="nil"/>
              <w:tr2bl w:val="nil"/>
            </w:tcBorders>
            <w:noWrap/>
            <w:tcMar>
              <w:top w:w="15" w:type="dxa"/>
              <w:left w:w="15" w:type="dxa"/>
              <w:right w:w="15" w:type="dxa"/>
            </w:tcMar>
            <w:vAlign w:val="center"/>
          </w:tcPr>
          <w:p w14:paraId="2ADD253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≤0.02</w:t>
            </w:r>
          </w:p>
        </w:tc>
        <w:tc>
          <w:tcPr>
            <w:tcW w:w="1921" w:type="dxa"/>
            <w:tcBorders>
              <w:tl2br w:val="nil"/>
              <w:tr2bl w:val="nil"/>
            </w:tcBorders>
            <w:noWrap/>
            <w:tcMar>
              <w:top w:w="15" w:type="dxa"/>
              <w:left w:w="15" w:type="dxa"/>
              <w:right w:w="15" w:type="dxa"/>
            </w:tcMar>
            <w:vAlign w:val="center"/>
          </w:tcPr>
          <w:p w14:paraId="10D54E7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4B83DFB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059452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5277A58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钴</w:t>
            </w:r>
          </w:p>
        </w:tc>
        <w:tc>
          <w:tcPr>
            <w:tcW w:w="921" w:type="dxa"/>
            <w:tcBorders>
              <w:tl2br w:val="nil"/>
              <w:tr2bl w:val="nil"/>
            </w:tcBorders>
            <w:noWrap/>
            <w:tcMar>
              <w:top w:w="15" w:type="dxa"/>
              <w:left w:w="15" w:type="dxa"/>
              <w:right w:w="15" w:type="dxa"/>
            </w:tcMar>
            <w:vAlign w:val="center"/>
          </w:tcPr>
          <w:p w14:paraId="39EEB834">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2CB8860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0.002L</w:t>
            </w:r>
          </w:p>
        </w:tc>
        <w:tc>
          <w:tcPr>
            <w:tcW w:w="1199" w:type="dxa"/>
            <w:tcBorders>
              <w:tl2br w:val="nil"/>
              <w:tr2bl w:val="nil"/>
            </w:tcBorders>
            <w:noWrap/>
            <w:tcMar>
              <w:top w:w="15" w:type="dxa"/>
              <w:left w:w="15" w:type="dxa"/>
              <w:right w:w="15" w:type="dxa"/>
            </w:tcMar>
            <w:vAlign w:val="center"/>
          </w:tcPr>
          <w:p w14:paraId="1C06A95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w:t>
            </w:r>
          </w:p>
        </w:tc>
        <w:tc>
          <w:tcPr>
            <w:tcW w:w="1921" w:type="dxa"/>
            <w:tcBorders>
              <w:tl2br w:val="nil"/>
              <w:tr2bl w:val="nil"/>
            </w:tcBorders>
            <w:noWrap/>
            <w:tcMar>
              <w:top w:w="15" w:type="dxa"/>
              <w:left w:w="15" w:type="dxa"/>
              <w:right w:w="15" w:type="dxa"/>
            </w:tcMar>
            <w:vAlign w:val="center"/>
          </w:tcPr>
          <w:p w14:paraId="2419917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6745ED9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6D5AA6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7" w:hRule="atLeast"/>
          <w:tblHeader/>
          <w:jc w:val="center"/>
        </w:trPr>
        <w:tc>
          <w:tcPr>
            <w:tcW w:w="1769" w:type="dxa"/>
            <w:tcBorders>
              <w:tl2br w:val="nil"/>
              <w:tr2bl w:val="nil"/>
            </w:tcBorders>
            <w:noWrap/>
            <w:tcMar>
              <w:top w:w="15" w:type="dxa"/>
              <w:left w:w="15" w:type="dxa"/>
              <w:right w:w="15" w:type="dxa"/>
            </w:tcMar>
            <w:vAlign w:val="center"/>
          </w:tcPr>
          <w:p w14:paraId="2DA9414D">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锰</w:t>
            </w:r>
          </w:p>
        </w:tc>
        <w:tc>
          <w:tcPr>
            <w:tcW w:w="921" w:type="dxa"/>
            <w:tcBorders>
              <w:tl2br w:val="nil"/>
              <w:tr2bl w:val="nil"/>
            </w:tcBorders>
            <w:noWrap/>
            <w:tcMar>
              <w:top w:w="15" w:type="dxa"/>
              <w:left w:w="15" w:type="dxa"/>
              <w:right w:w="15" w:type="dxa"/>
            </w:tcMar>
            <w:vAlign w:val="center"/>
          </w:tcPr>
          <w:p w14:paraId="22B94FB1">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207A231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0.01L</w:t>
            </w:r>
          </w:p>
        </w:tc>
        <w:tc>
          <w:tcPr>
            <w:tcW w:w="1199" w:type="dxa"/>
            <w:tcBorders>
              <w:tl2br w:val="nil"/>
              <w:tr2bl w:val="nil"/>
            </w:tcBorders>
            <w:noWrap/>
            <w:tcMar>
              <w:top w:w="15" w:type="dxa"/>
              <w:left w:w="15" w:type="dxa"/>
              <w:right w:w="15" w:type="dxa"/>
            </w:tcMar>
            <w:vAlign w:val="center"/>
          </w:tcPr>
          <w:p w14:paraId="42B8D94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≤0.1</w:t>
            </w:r>
          </w:p>
        </w:tc>
        <w:tc>
          <w:tcPr>
            <w:tcW w:w="1921" w:type="dxa"/>
            <w:tcBorders>
              <w:tl2br w:val="nil"/>
              <w:tr2bl w:val="nil"/>
            </w:tcBorders>
            <w:noWrap/>
            <w:tcMar>
              <w:top w:w="15" w:type="dxa"/>
              <w:left w:w="15" w:type="dxa"/>
              <w:right w:w="15" w:type="dxa"/>
            </w:tcMar>
            <w:vAlign w:val="center"/>
          </w:tcPr>
          <w:p w14:paraId="775306E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0B81427A">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5D6728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A00AF5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锑</w:t>
            </w:r>
          </w:p>
        </w:tc>
        <w:tc>
          <w:tcPr>
            <w:tcW w:w="921" w:type="dxa"/>
            <w:tcBorders>
              <w:tl2br w:val="nil"/>
              <w:tr2bl w:val="nil"/>
            </w:tcBorders>
            <w:noWrap/>
            <w:tcMar>
              <w:top w:w="15" w:type="dxa"/>
              <w:left w:w="15" w:type="dxa"/>
              <w:right w:w="15" w:type="dxa"/>
            </w:tcMar>
            <w:vAlign w:val="center"/>
          </w:tcPr>
          <w:p w14:paraId="3F7A93CA">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252FB013">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0.0002L</w:t>
            </w:r>
          </w:p>
        </w:tc>
        <w:tc>
          <w:tcPr>
            <w:tcW w:w="1199" w:type="dxa"/>
            <w:tcBorders>
              <w:tl2br w:val="nil"/>
              <w:tr2bl w:val="nil"/>
            </w:tcBorders>
            <w:noWrap/>
            <w:tcMar>
              <w:top w:w="15" w:type="dxa"/>
              <w:left w:w="15" w:type="dxa"/>
              <w:right w:w="15" w:type="dxa"/>
            </w:tcMar>
            <w:vAlign w:val="center"/>
          </w:tcPr>
          <w:p w14:paraId="1256369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≤0.005</w:t>
            </w:r>
          </w:p>
        </w:tc>
        <w:tc>
          <w:tcPr>
            <w:tcW w:w="1921" w:type="dxa"/>
            <w:tcBorders>
              <w:tl2br w:val="nil"/>
              <w:tr2bl w:val="nil"/>
            </w:tcBorders>
            <w:noWrap/>
            <w:tcMar>
              <w:top w:w="15" w:type="dxa"/>
              <w:left w:w="15" w:type="dxa"/>
              <w:right w:w="15" w:type="dxa"/>
            </w:tcMar>
            <w:vAlign w:val="center"/>
          </w:tcPr>
          <w:p w14:paraId="7185BB2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65868CA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34DA4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393067CB">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铊</w:t>
            </w:r>
          </w:p>
        </w:tc>
        <w:tc>
          <w:tcPr>
            <w:tcW w:w="921" w:type="dxa"/>
            <w:tcBorders>
              <w:tl2br w:val="nil"/>
              <w:tr2bl w:val="nil"/>
            </w:tcBorders>
            <w:noWrap/>
            <w:tcMar>
              <w:top w:w="15" w:type="dxa"/>
              <w:left w:w="15" w:type="dxa"/>
              <w:right w:w="15" w:type="dxa"/>
            </w:tcMar>
            <w:vAlign w:val="center"/>
          </w:tcPr>
          <w:p w14:paraId="030E764C">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7706826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0.00003L</w:t>
            </w:r>
          </w:p>
        </w:tc>
        <w:tc>
          <w:tcPr>
            <w:tcW w:w="1199" w:type="dxa"/>
            <w:tcBorders>
              <w:tl2br w:val="nil"/>
              <w:tr2bl w:val="nil"/>
            </w:tcBorders>
            <w:noWrap/>
            <w:tcMar>
              <w:top w:w="15" w:type="dxa"/>
              <w:left w:w="15" w:type="dxa"/>
              <w:right w:w="15" w:type="dxa"/>
            </w:tcMar>
            <w:vAlign w:val="center"/>
          </w:tcPr>
          <w:p w14:paraId="34641A95">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≤0.0001</w:t>
            </w:r>
          </w:p>
        </w:tc>
        <w:tc>
          <w:tcPr>
            <w:tcW w:w="1921" w:type="dxa"/>
            <w:tcBorders>
              <w:tl2br w:val="nil"/>
              <w:tr2bl w:val="nil"/>
            </w:tcBorders>
            <w:noWrap/>
            <w:tcMar>
              <w:top w:w="15" w:type="dxa"/>
              <w:left w:w="15" w:type="dxa"/>
              <w:right w:w="15" w:type="dxa"/>
            </w:tcMar>
            <w:vAlign w:val="center"/>
          </w:tcPr>
          <w:p w14:paraId="62334404">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489F567F">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1FB8C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1DBF73B0">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粪大肠菌群</w:t>
            </w:r>
          </w:p>
        </w:tc>
        <w:tc>
          <w:tcPr>
            <w:tcW w:w="921" w:type="dxa"/>
            <w:tcBorders>
              <w:tl2br w:val="nil"/>
              <w:tr2bl w:val="nil"/>
            </w:tcBorders>
            <w:noWrap/>
            <w:tcMar>
              <w:top w:w="15" w:type="dxa"/>
              <w:left w:w="15" w:type="dxa"/>
              <w:right w:w="15" w:type="dxa"/>
            </w:tcMar>
            <w:vAlign w:val="center"/>
          </w:tcPr>
          <w:p w14:paraId="3FE8866A">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lang w:bidi="ar"/>
              </w:rPr>
              <w:t>MPN/L</w:t>
            </w:r>
          </w:p>
        </w:tc>
        <w:tc>
          <w:tcPr>
            <w:tcW w:w="1495" w:type="dxa"/>
            <w:tcBorders>
              <w:tl2br w:val="nil"/>
              <w:tr2bl w:val="nil"/>
            </w:tcBorders>
            <w:noWrap/>
            <w:tcMar>
              <w:top w:w="15" w:type="dxa"/>
              <w:left w:w="15" w:type="dxa"/>
              <w:right w:w="15" w:type="dxa"/>
            </w:tcMar>
            <w:vAlign w:val="center"/>
          </w:tcPr>
          <w:p w14:paraId="1554D3A2">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810~950</w:t>
            </w:r>
          </w:p>
        </w:tc>
        <w:tc>
          <w:tcPr>
            <w:tcW w:w="1199" w:type="dxa"/>
            <w:tcBorders>
              <w:tl2br w:val="nil"/>
              <w:tr2bl w:val="nil"/>
            </w:tcBorders>
            <w:noWrap/>
            <w:tcMar>
              <w:top w:w="15" w:type="dxa"/>
              <w:left w:w="15" w:type="dxa"/>
              <w:right w:w="15" w:type="dxa"/>
            </w:tcMar>
            <w:vAlign w:val="center"/>
          </w:tcPr>
          <w:p w14:paraId="4E7B8A7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≤10000</w:t>
            </w:r>
          </w:p>
        </w:tc>
        <w:tc>
          <w:tcPr>
            <w:tcW w:w="1921" w:type="dxa"/>
            <w:tcBorders>
              <w:tl2br w:val="nil"/>
              <w:tr2bl w:val="nil"/>
            </w:tcBorders>
            <w:noWrap/>
            <w:tcMar>
              <w:top w:w="15" w:type="dxa"/>
              <w:left w:w="15" w:type="dxa"/>
              <w:right w:w="15" w:type="dxa"/>
            </w:tcMar>
            <w:vAlign w:val="center"/>
          </w:tcPr>
          <w:p w14:paraId="66EC90E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0.08~0.10</w:t>
            </w:r>
          </w:p>
        </w:tc>
        <w:tc>
          <w:tcPr>
            <w:tcW w:w="1199" w:type="dxa"/>
            <w:tcBorders>
              <w:tl2br w:val="nil"/>
              <w:tr2bl w:val="nil"/>
            </w:tcBorders>
            <w:noWrap/>
            <w:tcMar>
              <w:top w:w="15" w:type="dxa"/>
              <w:left w:w="15" w:type="dxa"/>
              <w:right w:w="15" w:type="dxa"/>
            </w:tcMar>
            <w:vAlign w:val="center"/>
          </w:tcPr>
          <w:p w14:paraId="41280AB7">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1482DF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1769" w:type="dxa"/>
            <w:tcBorders>
              <w:tl2br w:val="nil"/>
              <w:tr2bl w:val="nil"/>
            </w:tcBorders>
            <w:noWrap/>
            <w:tcMar>
              <w:top w:w="15" w:type="dxa"/>
              <w:left w:w="15" w:type="dxa"/>
              <w:right w:w="15" w:type="dxa"/>
            </w:tcMar>
            <w:vAlign w:val="center"/>
          </w:tcPr>
          <w:p w14:paraId="430A84D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硫化物</w:t>
            </w:r>
          </w:p>
        </w:tc>
        <w:tc>
          <w:tcPr>
            <w:tcW w:w="921" w:type="dxa"/>
            <w:tcBorders>
              <w:tl2br w:val="nil"/>
              <w:tr2bl w:val="nil"/>
            </w:tcBorders>
            <w:noWrap/>
            <w:tcMar>
              <w:top w:w="15" w:type="dxa"/>
              <w:left w:w="15" w:type="dxa"/>
              <w:right w:w="15" w:type="dxa"/>
            </w:tcMar>
            <w:vAlign w:val="center"/>
          </w:tcPr>
          <w:p w14:paraId="583AD87B">
            <w:pPr>
              <w:widowControl/>
              <w:spacing w:line="240" w:lineRule="auto"/>
              <w:ind w:firstLine="0" w:firstLineChars="0"/>
              <w:jc w:val="center"/>
              <w:textAlignment w:val="center"/>
              <w:rPr>
                <w:rFonts w:cs="Times New Roman"/>
                <w:color w:val="auto"/>
                <w:sz w:val="21"/>
                <w:u w:val="none" w:color="auto"/>
                <w:lang w:bidi="ar"/>
              </w:rPr>
            </w:pPr>
            <w:r>
              <w:rPr>
                <w:rFonts w:cs="Times New Roman"/>
                <w:color w:val="auto"/>
                <w:sz w:val="21"/>
                <w:u w:val="none" w:color="auto"/>
              </w:rPr>
              <w:t>mg/L</w:t>
            </w:r>
          </w:p>
        </w:tc>
        <w:tc>
          <w:tcPr>
            <w:tcW w:w="1495" w:type="dxa"/>
            <w:tcBorders>
              <w:tl2br w:val="nil"/>
              <w:tr2bl w:val="nil"/>
            </w:tcBorders>
            <w:noWrap/>
            <w:tcMar>
              <w:top w:w="15" w:type="dxa"/>
              <w:left w:w="15" w:type="dxa"/>
              <w:right w:w="15" w:type="dxa"/>
            </w:tcMar>
            <w:vAlign w:val="center"/>
          </w:tcPr>
          <w:p w14:paraId="6BAE3078">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0.01L</w:t>
            </w:r>
          </w:p>
        </w:tc>
        <w:tc>
          <w:tcPr>
            <w:tcW w:w="1199" w:type="dxa"/>
            <w:tcBorders>
              <w:tl2br w:val="nil"/>
              <w:tr2bl w:val="nil"/>
            </w:tcBorders>
            <w:noWrap/>
            <w:tcMar>
              <w:top w:w="15" w:type="dxa"/>
              <w:left w:w="15" w:type="dxa"/>
              <w:right w:w="15" w:type="dxa"/>
            </w:tcMar>
            <w:vAlign w:val="center"/>
          </w:tcPr>
          <w:p w14:paraId="44EC3E0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lang w:bidi="ar"/>
              </w:rPr>
              <w:t>≤0.2</w:t>
            </w:r>
          </w:p>
        </w:tc>
        <w:tc>
          <w:tcPr>
            <w:tcW w:w="1921" w:type="dxa"/>
            <w:tcBorders>
              <w:tl2br w:val="nil"/>
              <w:tr2bl w:val="nil"/>
            </w:tcBorders>
            <w:noWrap/>
            <w:tcMar>
              <w:top w:w="15" w:type="dxa"/>
              <w:left w:w="15" w:type="dxa"/>
              <w:right w:w="15" w:type="dxa"/>
            </w:tcMar>
            <w:vAlign w:val="center"/>
          </w:tcPr>
          <w:p w14:paraId="581DD45E">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w:t>
            </w:r>
          </w:p>
        </w:tc>
        <w:tc>
          <w:tcPr>
            <w:tcW w:w="1199" w:type="dxa"/>
            <w:tcBorders>
              <w:tl2br w:val="nil"/>
              <w:tr2bl w:val="nil"/>
            </w:tcBorders>
            <w:noWrap/>
            <w:tcMar>
              <w:top w:w="15" w:type="dxa"/>
              <w:left w:w="15" w:type="dxa"/>
              <w:right w:w="15" w:type="dxa"/>
            </w:tcMar>
            <w:vAlign w:val="center"/>
          </w:tcPr>
          <w:p w14:paraId="11482DD6">
            <w:pPr>
              <w:widowControl/>
              <w:spacing w:line="240" w:lineRule="auto"/>
              <w:ind w:firstLine="0" w:firstLineChars="0"/>
              <w:jc w:val="center"/>
              <w:textAlignment w:val="center"/>
              <w:rPr>
                <w:rFonts w:cs="Times New Roman"/>
                <w:color w:val="auto"/>
                <w:sz w:val="21"/>
                <w:u w:val="none" w:color="auto"/>
              </w:rPr>
            </w:pPr>
            <w:r>
              <w:rPr>
                <w:rFonts w:cs="Times New Roman"/>
                <w:color w:val="auto"/>
                <w:sz w:val="21"/>
                <w:u w:val="none" w:color="auto"/>
              </w:rPr>
              <w:t>达标</w:t>
            </w:r>
          </w:p>
        </w:tc>
      </w:tr>
      <w:tr w14:paraId="2AEF54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85" w:hRule="atLeast"/>
          <w:tblHeader/>
          <w:jc w:val="center"/>
        </w:trPr>
        <w:tc>
          <w:tcPr>
            <w:tcW w:w="8504" w:type="dxa"/>
            <w:gridSpan w:val="6"/>
            <w:tcBorders>
              <w:tl2br w:val="nil"/>
              <w:tr2bl w:val="nil"/>
            </w:tcBorders>
            <w:noWrap/>
            <w:tcMar>
              <w:top w:w="15" w:type="dxa"/>
              <w:left w:w="15" w:type="dxa"/>
              <w:right w:w="15" w:type="dxa"/>
            </w:tcMar>
            <w:vAlign w:val="center"/>
          </w:tcPr>
          <w:p w14:paraId="1F94C7D0">
            <w:pPr>
              <w:widowControl/>
              <w:spacing w:line="240" w:lineRule="auto"/>
              <w:ind w:firstLine="0" w:firstLineChars="0"/>
              <w:jc w:val="left"/>
              <w:textAlignment w:val="center"/>
              <w:rPr>
                <w:rFonts w:cs="Times New Roman"/>
                <w:color w:val="auto"/>
                <w:sz w:val="21"/>
                <w:u w:val="none" w:color="auto"/>
              </w:rPr>
            </w:pPr>
            <w:r>
              <w:rPr>
                <w:rFonts w:cs="Times New Roman"/>
                <w:color w:val="auto"/>
                <w:sz w:val="21"/>
                <w:szCs w:val="24"/>
                <w:u w:val="none" w:color="auto"/>
              </w:rPr>
              <w:t>注：①标准指标无单位。②“L”表示未检出，其前数值为检出限。</w:t>
            </w:r>
          </w:p>
        </w:tc>
      </w:tr>
    </w:tbl>
    <w:p w14:paraId="7F7F3373">
      <w:pPr>
        <w:pStyle w:val="20"/>
        <w:bidi w:val="0"/>
        <w:rPr>
          <w:rFonts w:hint="default"/>
          <w:color w:val="auto"/>
          <w:u w:val="none" w:color="auto"/>
          <w:lang w:val="en-US" w:eastAsia="zh-CN"/>
        </w:rPr>
      </w:pPr>
      <w:r>
        <w:rPr>
          <w:rFonts w:hint="eastAsia"/>
          <w:color w:val="auto"/>
          <w:u w:val="none" w:color="auto"/>
          <w:lang w:val="en-US" w:eastAsia="zh-CN"/>
        </w:rPr>
        <w:t>由上表补充监测结果可知，汨罗江各监测断面所有监测因子均符合《地表水环境质量标准》（GB3838-2002）中的</w:t>
      </w:r>
      <w:r>
        <w:rPr>
          <w:rFonts w:hint="default" w:ascii="Times New Roman" w:hAnsi="Times New Roman" w:cs="Times New Roman"/>
          <w:color w:val="auto"/>
          <w:u w:val="none" w:color="auto"/>
          <w:lang w:val="en-US" w:eastAsia="zh-CN"/>
        </w:rPr>
        <w:t>Ⅲ</w:t>
      </w:r>
      <w:r>
        <w:rPr>
          <w:rFonts w:hint="eastAsia"/>
          <w:color w:val="auto"/>
          <w:u w:val="none" w:color="auto"/>
          <w:lang w:val="en-US" w:eastAsia="zh-CN"/>
        </w:rPr>
        <w:t>类标准。</w:t>
      </w:r>
    </w:p>
    <w:p w14:paraId="54D66C99">
      <w:pPr>
        <w:pStyle w:val="4"/>
        <w:rPr>
          <w:rFonts w:hint="default" w:ascii="Times New Roman" w:hAnsi="Times New Roman" w:cs="Times New Roman"/>
          <w:color w:val="auto"/>
          <w:u w:val="none" w:color="auto"/>
        </w:rPr>
      </w:pPr>
      <w:bookmarkStart w:id="918" w:name="_Toc32157"/>
      <w:bookmarkStart w:id="919" w:name="_Toc25097"/>
      <w:bookmarkStart w:id="920" w:name="_Toc10588"/>
      <w:bookmarkStart w:id="921" w:name="_Toc15958"/>
      <w:bookmarkStart w:id="922" w:name="_Toc14561"/>
      <w:bookmarkStart w:id="923" w:name="_Toc19313"/>
      <w:bookmarkStart w:id="924" w:name="_Toc2536"/>
      <w:bookmarkStart w:id="925" w:name="_Toc18561"/>
      <w:bookmarkStart w:id="926" w:name="_Toc879"/>
      <w:bookmarkStart w:id="927" w:name="_Toc25582"/>
      <w:bookmarkStart w:id="928" w:name="_Toc17042"/>
      <w:bookmarkStart w:id="929" w:name="_Toc6325"/>
      <w:bookmarkStart w:id="930" w:name="_Toc14666"/>
      <w:bookmarkStart w:id="931" w:name="_Toc21119"/>
      <w:bookmarkStart w:id="932" w:name="_Toc20424"/>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t>.3地下水环境现状监测与评价</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0A549FE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本</w:t>
      </w:r>
      <w:r>
        <w:rPr>
          <w:rFonts w:hint="default" w:ascii="Times New Roman" w:hAnsi="Times New Roman" w:cs="Times New Roman"/>
          <w:color w:val="auto"/>
          <w:u w:val="none" w:color="auto"/>
          <w:lang w:val="en-US" w:eastAsia="zh-CN"/>
        </w:rPr>
        <w:t>项目</w:t>
      </w:r>
      <w:r>
        <w:rPr>
          <w:rFonts w:hint="default" w:ascii="Times New Roman" w:hAnsi="Times New Roman" w:cs="Times New Roman"/>
          <w:color w:val="auto"/>
          <w:u w:val="none" w:color="auto"/>
          <w:lang w:eastAsia="zh-CN"/>
        </w:rPr>
        <w:t>引用</w:t>
      </w:r>
      <w:r>
        <w:rPr>
          <w:rFonts w:hint="eastAsia" w:ascii="Times New Roman" w:hAnsi="Times New Roman" w:cs="Times New Roman"/>
          <w:color w:val="auto"/>
          <w:u w:val="none" w:color="auto"/>
          <w:lang w:val="en-US" w:eastAsia="zh-CN"/>
        </w:rPr>
        <w:t>2024年9月26日</w:t>
      </w:r>
      <w:r>
        <w:rPr>
          <w:rFonts w:hint="eastAsia"/>
          <w:color w:val="auto"/>
          <w:u w:val="none" w:color="auto"/>
        </w:rPr>
        <w:t>湖南凌鑫新材料有限公司《凌鑫年产1万吨改性树脂项目环境影响报告书》</w:t>
      </w:r>
      <w:r>
        <w:rPr>
          <w:rFonts w:hint="eastAsia"/>
          <w:color w:val="auto"/>
          <w:u w:val="none" w:color="auto"/>
          <w:lang w:val="en-US" w:eastAsia="zh-CN"/>
        </w:rPr>
        <w:t>委托湖南中青检测有限公司</w:t>
      </w:r>
      <w:r>
        <w:rPr>
          <w:rFonts w:hint="default" w:ascii="Times New Roman" w:hAnsi="Times New Roman" w:cs="Times New Roman"/>
          <w:color w:val="auto"/>
          <w:u w:val="none" w:color="auto"/>
        </w:rPr>
        <w:t>对区域地下水环境的现状监测数据。</w:t>
      </w:r>
    </w:p>
    <w:p w14:paraId="3D75AE5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r>
        <w:rPr>
          <w:rFonts w:hint="default" w:ascii="Times New Roman" w:hAnsi="Times New Roman" w:cs="Times New Roman"/>
          <w:color w:val="auto"/>
          <w:u w:val="none" w:color="auto"/>
          <w:lang w:eastAsia="zh-CN"/>
        </w:rPr>
        <w:t>引用</w:t>
      </w:r>
      <w:r>
        <w:rPr>
          <w:rFonts w:hint="default" w:ascii="Times New Roman" w:hAnsi="Times New Roman" w:cs="Times New Roman"/>
          <w:color w:val="auto"/>
          <w:u w:val="none" w:color="auto"/>
        </w:rPr>
        <w:t>监测点位：</w:t>
      </w:r>
    </w:p>
    <w:p w14:paraId="738010B8">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5.3</w:t>
      </w:r>
      <w:r>
        <w:rPr>
          <w:rFonts w:hint="default"/>
          <w:color w:val="auto"/>
          <w:u w:val="none" w:color="auto"/>
        </w:rPr>
        <w:t>-</w:t>
      </w:r>
      <w:r>
        <w:rPr>
          <w:rFonts w:hint="eastAsia"/>
          <w:color w:val="auto"/>
          <w:u w:val="none" w:color="auto"/>
          <w:lang w:val="en-US" w:eastAsia="zh-CN"/>
        </w:rPr>
        <w:t>6</w:t>
      </w:r>
      <w:r>
        <w:rPr>
          <w:rFonts w:hint="default"/>
          <w:color w:val="auto"/>
          <w:u w:val="none" w:color="auto"/>
        </w:rPr>
        <w:t xml:space="preserve"> </w:t>
      </w:r>
      <w:r>
        <w:rPr>
          <w:rFonts w:hint="eastAsia"/>
          <w:color w:val="auto"/>
          <w:u w:val="none" w:color="auto"/>
          <w:lang w:val="en-US" w:eastAsia="zh-CN"/>
        </w:rPr>
        <w:t>引用</w:t>
      </w:r>
      <w:r>
        <w:rPr>
          <w:rFonts w:hint="default"/>
          <w:color w:val="auto"/>
          <w:u w:val="none" w:color="auto"/>
        </w:rPr>
        <w:t>地下水监测布点一览表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304"/>
        <w:gridCol w:w="2598"/>
        <w:gridCol w:w="3620"/>
      </w:tblGrid>
      <w:tr w14:paraId="74ED89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04" w:type="dxa"/>
            <w:tcBorders>
              <w:tl2br w:val="nil"/>
              <w:tr2bl w:val="nil"/>
            </w:tcBorders>
            <w:noWrap w:val="0"/>
            <w:vAlign w:val="center"/>
          </w:tcPr>
          <w:p w14:paraId="38E9AE5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szCs w:val="21"/>
              </w:rPr>
            </w:pPr>
            <w:r>
              <w:rPr>
                <w:rFonts w:hint="eastAsia"/>
                <w:color w:val="000000"/>
              </w:rPr>
              <w:t>序号</w:t>
            </w:r>
          </w:p>
        </w:tc>
        <w:tc>
          <w:tcPr>
            <w:tcW w:w="2598" w:type="dxa"/>
            <w:tcBorders>
              <w:tl2br w:val="nil"/>
              <w:tr2bl w:val="nil"/>
            </w:tcBorders>
            <w:noWrap w:val="0"/>
            <w:vAlign w:val="center"/>
          </w:tcPr>
          <w:p w14:paraId="3D5D966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szCs w:val="21"/>
                <w:lang w:val="en-US" w:eastAsia="zh-CN"/>
              </w:rPr>
            </w:pPr>
            <w:r>
              <w:rPr>
                <w:rFonts w:hint="eastAsia"/>
                <w:color w:val="000000"/>
                <w:lang w:val="en-US" w:eastAsia="zh-CN"/>
              </w:rPr>
              <w:t>与本项目</w:t>
            </w:r>
            <w:r>
              <w:rPr>
                <w:rFonts w:hint="eastAsia"/>
                <w:color w:val="000000"/>
              </w:rPr>
              <w:t>位置</w:t>
            </w:r>
            <w:r>
              <w:rPr>
                <w:rFonts w:hint="eastAsia"/>
                <w:color w:val="000000"/>
                <w:lang w:val="en-US" w:eastAsia="zh-CN"/>
              </w:rPr>
              <w:t>关系</w:t>
            </w:r>
          </w:p>
        </w:tc>
        <w:tc>
          <w:tcPr>
            <w:tcW w:w="3620" w:type="dxa"/>
            <w:tcBorders>
              <w:tl2br w:val="nil"/>
              <w:tr2bl w:val="nil"/>
            </w:tcBorders>
            <w:noWrap w:val="0"/>
            <w:vAlign w:val="center"/>
          </w:tcPr>
          <w:p w14:paraId="4CF3AC1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szCs w:val="21"/>
                <w:lang w:val="en-US" w:eastAsia="zh-CN"/>
              </w:rPr>
            </w:pPr>
            <w:r>
              <w:rPr>
                <w:rFonts w:hint="eastAsia"/>
                <w:color w:val="000000"/>
                <w:lang w:val="en-US" w:eastAsia="zh-CN"/>
              </w:rPr>
              <w:t>监测因子</w:t>
            </w:r>
          </w:p>
        </w:tc>
      </w:tr>
      <w:tr w14:paraId="14864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509A3F6A">
            <w:pPr>
              <w:pStyle w:val="31"/>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highlight w:val="none"/>
                <w:lang w:val="en-US" w:eastAsia="zh-CN"/>
              </w:rPr>
              <w:t>D2</w:t>
            </w:r>
            <w:r>
              <w:rPr>
                <w:rFonts w:hint="eastAsia" w:eastAsia="宋体" w:cs="Times New Roman"/>
                <w:b w:val="0"/>
                <w:bCs w:val="0"/>
                <w:color w:val="auto"/>
                <w:kern w:val="2"/>
                <w:sz w:val="21"/>
                <w:szCs w:val="21"/>
                <w:lang w:val="en-US" w:eastAsia="zh-CN" w:bidi="ar-SA"/>
              </w:rPr>
              <w:t>中间屋</w:t>
            </w:r>
            <w:r>
              <w:rPr>
                <w:rFonts w:hint="default" w:ascii="Times New Roman" w:hAnsi="Times New Roman" w:eastAsia="宋体" w:cs="Times New Roman"/>
                <w:b w:val="0"/>
                <w:bCs w:val="0"/>
                <w:color w:val="auto"/>
                <w:kern w:val="2"/>
                <w:sz w:val="21"/>
                <w:szCs w:val="21"/>
                <w:lang w:val="en-US" w:eastAsia="zh-CN" w:bidi="ar-SA"/>
              </w:rPr>
              <w:t>居民水井</w:t>
            </w:r>
          </w:p>
        </w:tc>
        <w:tc>
          <w:tcPr>
            <w:tcW w:w="2598" w:type="dxa"/>
            <w:tcBorders>
              <w:tl2br w:val="nil"/>
              <w:tr2bl w:val="nil"/>
            </w:tcBorders>
            <w:noWrap w:val="0"/>
            <w:vAlign w:val="center"/>
          </w:tcPr>
          <w:p w14:paraId="5871CFF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olor w:val="000000"/>
                <w:lang w:eastAsia="zh-CN"/>
              </w:rPr>
              <w:t>项目</w:t>
            </w:r>
            <w:r>
              <w:rPr>
                <w:rFonts w:hint="eastAsia"/>
                <w:color w:val="000000"/>
                <w:lang w:val="en-US" w:eastAsia="zh-CN"/>
              </w:rPr>
              <w:t>东南侧1320m</w:t>
            </w:r>
          </w:p>
        </w:tc>
        <w:tc>
          <w:tcPr>
            <w:tcW w:w="3620" w:type="dxa"/>
            <w:vMerge w:val="restart"/>
            <w:tcBorders>
              <w:tl2br w:val="nil"/>
              <w:tr2bl w:val="nil"/>
            </w:tcBorders>
            <w:noWrap w:val="0"/>
            <w:vAlign w:val="center"/>
          </w:tcPr>
          <w:p w14:paraId="6972F8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lang w:val="en-US" w:eastAsia="zh-CN"/>
              </w:rPr>
            </w:pPr>
            <w:r>
              <w:rPr>
                <w:rFonts w:hint="default" w:ascii="Times New Roman" w:hAnsi="Times New Roman" w:eastAsia="宋体" w:cs="Times New Roman"/>
                <w:color w:val="auto"/>
                <w:kern w:val="2"/>
                <w:sz w:val="21"/>
                <w:szCs w:val="21"/>
                <w:lang w:val="en-US" w:eastAsia="zh-CN" w:bidi="ar-SA"/>
              </w:rPr>
              <w:t>水位、K</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、Na</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、Ca</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、Mg</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、CO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、HCO</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、氯化物（以Cl</w:t>
            </w:r>
            <w:r>
              <w:rPr>
                <w:rFonts w:hint="default" w:ascii="Times New Roman" w:hAnsi="Times New Roman" w:eastAsia="宋体" w:cs="Times New Roman"/>
                <w:color w:val="auto"/>
                <w:kern w:val="2"/>
                <w:sz w:val="21"/>
                <w:szCs w:val="21"/>
                <w:vertAlign w:val="superscript"/>
                <w:lang w:val="en-US" w:eastAsia="zh-CN" w:bidi="ar-SA"/>
              </w:rPr>
              <w:t>-</w:t>
            </w:r>
            <w:r>
              <w:rPr>
                <w:rFonts w:hint="default" w:ascii="Times New Roman" w:hAnsi="Times New Roman" w:eastAsia="宋体" w:cs="Times New Roman"/>
                <w:color w:val="auto"/>
                <w:kern w:val="2"/>
                <w:sz w:val="21"/>
                <w:szCs w:val="21"/>
                <w:lang w:val="en-US" w:eastAsia="zh-CN" w:bidi="ar-SA"/>
              </w:rPr>
              <w:t>计）、硫酸盐（以SO</w:t>
            </w:r>
            <w:r>
              <w:rPr>
                <w:rFonts w:hint="default" w:ascii="Times New Roman" w:hAnsi="Times New Roman" w:eastAsia="宋体" w:cs="Times New Roman"/>
                <w:color w:val="auto"/>
                <w:kern w:val="2"/>
                <w:sz w:val="21"/>
                <w:szCs w:val="21"/>
                <w:vertAlign w:val="subscript"/>
                <w:lang w:val="en-US" w:eastAsia="zh-CN" w:bidi="ar-SA"/>
              </w:rPr>
              <w:t>4</w:t>
            </w:r>
            <w:r>
              <w:rPr>
                <w:rFonts w:hint="default" w:ascii="Times New Roman" w:hAnsi="Times New Roman" w:eastAsia="宋体" w:cs="Times New Roman"/>
                <w:color w:val="auto"/>
                <w:kern w:val="2"/>
                <w:sz w:val="21"/>
                <w:szCs w:val="21"/>
                <w:vertAlign w:val="superscript"/>
                <w:lang w:val="en-US" w:eastAsia="zh-CN" w:bidi="ar-SA"/>
              </w:rPr>
              <w:t>2-</w:t>
            </w:r>
            <w:r>
              <w:rPr>
                <w:rFonts w:hint="default" w:ascii="Times New Roman" w:hAnsi="Times New Roman" w:eastAsia="宋体" w:cs="Times New Roman"/>
                <w:color w:val="auto"/>
                <w:kern w:val="2"/>
                <w:sz w:val="21"/>
                <w:szCs w:val="21"/>
                <w:lang w:val="en-US" w:eastAsia="zh-CN" w:bidi="ar-SA"/>
              </w:rPr>
              <w:t>计）、pH值、溶解性总固体、总硬度、耗氧量（CODMn法）、硝酸盐、亚硝酸盐、氨氮</w:t>
            </w:r>
            <w:r>
              <w:rPr>
                <w:rFonts w:hint="eastAsia" w:ascii="Times New Roman" w:hAnsi="Times New Roman" w:eastAsia="宋体" w:cs="Times New Roman"/>
                <w:color w:val="auto"/>
                <w:kern w:val="2"/>
                <w:sz w:val="21"/>
                <w:szCs w:val="21"/>
                <w:lang w:val="en-US" w:eastAsia="zh-CN" w:bidi="ar-SA"/>
              </w:rPr>
              <w:t>、</w:t>
            </w:r>
            <w:r>
              <w:rPr>
                <w:rFonts w:hint="eastAsia"/>
                <w:lang w:val="en-US" w:eastAsia="zh-CN"/>
              </w:rPr>
              <w:t>挥发酚</w:t>
            </w:r>
          </w:p>
        </w:tc>
      </w:tr>
      <w:tr w14:paraId="66E59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0F2FD10D">
            <w:pPr>
              <w:pStyle w:val="31"/>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eastAsia"/>
                <w:highlight w:val="none"/>
                <w:lang w:val="en-US" w:eastAsia="zh-CN"/>
              </w:rPr>
              <w:t>D3塘冲居民</w:t>
            </w:r>
            <w:r>
              <w:rPr>
                <w:rFonts w:hint="default"/>
                <w:highlight w:val="none"/>
              </w:rPr>
              <w:t>水井</w:t>
            </w:r>
          </w:p>
        </w:tc>
        <w:tc>
          <w:tcPr>
            <w:tcW w:w="2598" w:type="dxa"/>
            <w:tcBorders>
              <w:tl2br w:val="nil"/>
              <w:tr2bl w:val="nil"/>
            </w:tcBorders>
            <w:noWrap w:val="0"/>
            <w:vAlign w:val="center"/>
          </w:tcPr>
          <w:p w14:paraId="7D591B4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项目西侧1110m</w:t>
            </w:r>
          </w:p>
        </w:tc>
        <w:tc>
          <w:tcPr>
            <w:tcW w:w="3620" w:type="dxa"/>
            <w:vMerge w:val="continue"/>
            <w:tcBorders>
              <w:tl2br w:val="nil"/>
              <w:tr2bl w:val="nil"/>
            </w:tcBorders>
            <w:noWrap w:val="0"/>
            <w:vAlign w:val="center"/>
          </w:tcPr>
          <w:p w14:paraId="10DE74F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rPr>
            </w:pPr>
          </w:p>
        </w:tc>
      </w:tr>
      <w:tr w14:paraId="090302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442" w:hRule="atLeast"/>
          <w:jc w:val="center"/>
        </w:trPr>
        <w:tc>
          <w:tcPr>
            <w:tcW w:w="2304" w:type="dxa"/>
            <w:tcBorders>
              <w:tl2br w:val="nil"/>
              <w:tr2bl w:val="nil"/>
            </w:tcBorders>
            <w:noWrap w:val="0"/>
            <w:vAlign w:val="center"/>
          </w:tcPr>
          <w:p w14:paraId="25A7F2EB">
            <w:pPr>
              <w:pStyle w:val="31"/>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D5韩家屋居民水井</w:t>
            </w:r>
          </w:p>
        </w:tc>
        <w:tc>
          <w:tcPr>
            <w:tcW w:w="2598" w:type="dxa"/>
            <w:tcBorders>
              <w:tl2br w:val="nil"/>
              <w:tr2bl w:val="nil"/>
            </w:tcBorders>
            <w:noWrap w:val="0"/>
            <w:vAlign w:val="center"/>
          </w:tcPr>
          <w:p w14:paraId="39D4F18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szCs w:val="21"/>
                <w:lang w:val="en-US" w:eastAsia="zh-CN"/>
              </w:rPr>
              <w:t>项目西北侧1285m</w:t>
            </w:r>
          </w:p>
        </w:tc>
        <w:tc>
          <w:tcPr>
            <w:tcW w:w="3620" w:type="dxa"/>
            <w:vMerge w:val="continue"/>
            <w:tcBorders>
              <w:tl2br w:val="nil"/>
              <w:tr2bl w:val="nil"/>
            </w:tcBorders>
            <w:noWrap w:val="0"/>
            <w:vAlign w:val="center"/>
          </w:tcPr>
          <w:p w14:paraId="4764FEC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szCs w:val="21"/>
              </w:rPr>
            </w:pPr>
          </w:p>
        </w:tc>
      </w:tr>
      <w:tr w14:paraId="3929A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561F273D">
            <w:pPr>
              <w:pStyle w:val="31"/>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kern w:val="2"/>
                <w:sz w:val="21"/>
                <w:szCs w:val="21"/>
                <w:highlight w:val="none"/>
                <w:lang w:val="en-US" w:eastAsia="zh-CN" w:bidi="ar-SA"/>
              </w:rPr>
              <w:t>D7何家垄居民水井</w:t>
            </w:r>
          </w:p>
        </w:tc>
        <w:tc>
          <w:tcPr>
            <w:tcW w:w="2598" w:type="dxa"/>
            <w:tcBorders>
              <w:tl2br w:val="nil"/>
              <w:tr2bl w:val="nil"/>
            </w:tcBorders>
            <w:noWrap w:val="0"/>
            <w:vAlign w:val="center"/>
          </w:tcPr>
          <w:p w14:paraId="60F4985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项目西南侧1125m</w:t>
            </w:r>
          </w:p>
        </w:tc>
        <w:tc>
          <w:tcPr>
            <w:tcW w:w="3620" w:type="dxa"/>
            <w:vMerge w:val="restart"/>
            <w:tcBorders>
              <w:tl2br w:val="nil"/>
              <w:tr2bl w:val="nil"/>
            </w:tcBorders>
            <w:noWrap w:val="0"/>
            <w:vAlign w:val="center"/>
          </w:tcPr>
          <w:p w14:paraId="37CAC5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Cs w:val="21"/>
              </w:rPr>
            </w:pPr>
            <w:r>
              <w:rPr>
                <w:rFonts w:hint="eastAsia"/>
                <w:color w:val="000000"/>
                <w:szCs w:val="21"/>
                <w:lang w:val="en-US" w:eastAsia="zh-CN"/>
              </w:rPr>
              <w:t>水位</w:t>
            </w:r>
          </w:p>
        </w:tc>
      </w:tr>
      <w:tr w14:paraId="1D29B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0D4869A5">
            <w:pPr>
              <w:pStyle w:val="31"/>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kern w:val="2"/>
                <w:sz w:val="21"/>
                <w:szCs w:val="21"/>
                <w:highlight w:val="none"/>
                <w:lang w:val="en-US" w:eastAsia="zh-CN" w:bidi="ar-SA"/>
              </w:rPr>
            </w:pPr>
            <w:r>
              <w:rPr>
                <w:rFonts w:hint="eastAsia"/>
                <w:szCs w:val="21"/>
                <w:highlight w:val="none"/>
                <w:lang w:val="en-US" w:eastAsia="zh-CN"/>
              </w:rPr>
              <w:t>D8莲花塘居民水井</w:t>
            </w:r>
          </w:p>
        </w:tc>
        <w:tc>
          <w:tcPr>
            <w:tcW w:w="2598" w:type="dxa"/>
            <w:tcBorders>
              <w:tl2br w:val="nil"/>
              <w:tr2bl w:val="nil"/>
            </w:tcBorders>
            <w:noWrap w:val="0"/>
            <w:vAlign w:val="center"/>
          </w:tcPr>
          <w:p w14:paraId="6040A33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color w:val="000000"/>
                <w:lang w:eastAsia="zh-CN"/>
              </w:rPr>
              <w:t>项目</w:t>
            </w:r>
            <w:r>
              <w:rPr>
                <w:rFonts w:hint="eastAsia"/>
                <w:color w:val="000000"/>
                <w:lang w:val="en-US" w:eastAsia="zh-CN"/>
              </w:rPr>
              <w:t>东侧1090m</w:t>
            </w:r>
          </w:p>
        </w:tc>
        <w:tc>
          <w:tcPr>
            <w:tcW w:w="3620" w:type="dxa"/>
            <w:vMerge w:val="continue"/>
            <w:tcBorders>
              <w:tl2br w:val="nil"/>
              <w:tr2bl w:val="nil"/>
            </w:tcBorders>
            <w:noWrap w:val="0"/>
            <w:vAlign w:val="center"/>
          </w:tcPr>
          <w:p w14:paraId="5641FA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Cs w:val="21"/>
              </w:rPr>
            </w:pPr>
          </w:p>
        </w:tc>
      </w:tr>
      <w:tr w14:paraId="32A42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304" w:type="dxa"/>
            <w:tcBorders>
              <w:tl2br w:val="nil"/>
              <w:tr2bl w:val="nil"/>
            </w:tcBorders>
            <w:noWrap w:val="0"/>
            <w:vAlign w:val="center"/>
          </w:tcPr>
          <w:p w14:paraId="6A456497">
            <w:pPr>
              <w:pStyle w:val="31"/>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kern w:val="2"/>
                <w:sz w:val="21"/>
                <w:szCs w:val="21"/>
                <w:highlight w:val="none"/>
                <w:lang w:val="en-US" w:eastAsia="zh-CN" w:bidi="ar-SA"/>
              </w:rPr>
            </w:pPr>
            <w:r>
              <w:rPr>
                <w:rFonts w:hint="eastAsia"/>
                <w:highlight w:val="none"/>
                <w:lang w:val="en-US" w:eastAsia="zh-CN"/>
              </w:rPr>
              <w:t>D9黄兴小区</w:t>
            </w:r>
            <w:r>
              <w:rPr>
                <w:rFonts w:hint="default" w:ascii="Times New Roman" w:hAnsi="Times New Roman" w:eastAsia="宋体" w:cs="Times New Roman"/>
                <w:b w:val="0"/>
                <w:bCs w:val="0"/>
                <w:color w:val="auto"/>
                <w:kern w:val="2"/>
                <w:sz w:val="21"/>
                <w:szCs w:val="21"/>
                <w:lang w:val="en-US" w:eastAsia="zh-CN" w:bidi="ar-SA"/>
              </w:rPr>
              <w:t>居民水井</w:t>
            </w:r>
          </w:p>
        </w:tc>
        <w:tc>
          <w:tcPr>
            <w:tcW w:w="2598" w:type="dxa"/>
            <w:tcBorders>
              <w:tl2br w:val="nil"/>
              <w:tr2bl w:val="nil"/>
            </w:tcBorders>
            <w:noWrap w:val="0"/>
            <w:vAlign w:val="center"/>
          </w:tcPr>
          <w:p w14:paraId="79DDA23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szCs w:val="21"/>
                <w:lang w:val="en-US" w:eastAsia="zh-CN"/>
              </w:rPr>
              <w:t>项目北侧545m</w:t>
            </w:r>
          </w:p>
        </w:tc>
        <w:tc>
          <w:tcPr>
            <w:tcW w:w="3620" w:type="dxa"/>
            <w:vMerge w:val="continue"/>
            <w:tcBorders>
              <w:tl2br w:val="nil"/>
              <w:tr2bl w:val="nil"/>
            </w:tcBorders>
            <w:noWrap w:val="0"/>
            <w:vAlign w:val="center"/>
          </w:tcPr>
          <w:p w14:paraId="69A9BA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color w:val="000000"/>
                <w:szCs w:val="21"/>
              </w:rPr>
            </w:pPr>
          </w:p>
        </w:tc>
      </w:tr>
    </w:tbl>
    <w:p w14:paraId="0A1E4A61">
      <w:pPr>
        <w:pStyle w:val="20"/>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、监测结果如下：</w:t>
      </w:r>
    </w:p>
    <w:p w14:paraId="0C2246AA">
      <w:pPr>
        <w:pStyle w:val="22"/>
        <w:bidi w:val="0"/>
        <w:rPr>
          <w:rFonts w:hint="default" w:ascii="Times New Roman" w:hAnsi="Times New Roman" w:cs="Times New Roman"/>
          <w:color w:val="auto"/>
          <w:u w:val="none" w:color="auto"/>
        </w:rPr>
      </w:pPr>
      <w:bookmarkStart w:id="933" w:name="_Ref527300053"/>
      <w:r>
        <w:rPr>
          <w:rFonts w:hint="default" w:ascii="Times New Roman" w:hAnsi="Times New Roman" w:cs="Times New Roman"/>
          <w:color w:val="auto"/>
          <w:u w:val="none" w:color="auto"/>
        </w:rPr>
        <w:t>表</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noBreakHyphen/>
      </w:r>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rPr>
        <w:t xml:space="preserve"> 地下水环境因子及水位检测结果一览表  单位：mg/L</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1076"/>
        <w:gridCol w:w="1076"/>
        <w:gridCol w:w="1076"/>
        <w:gridCol w:w="1076"/>
        <w:gridCol w:w="1076"/>
        <w:gridCol w:w="1079"/>
        <w:gridCol w:w="744"/>
      </w:tblGrid>
      <w:tr w14:paraId="7EEC89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1" w:type="dxa"/>
            <w:vMerge w:val="restart"/>
            <w:noWrap w:val="0"/>
            <w:vAlign w:val="center"/>
          </w:tcPr>
          <w:p w14:paraId="47347C30">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监测项目</w:t>
            </w:r>
          </w:p>
        </w:tc>
        <w:tc>
          <w:tcPr>
            <w:tcW w:w="6459" w:type="dxa"/>
            <w:gridSpan w:val="6"/>
            <w:noWrap w:val="0"/>
            <w:vAlign w:val="center"/>
          </w:tcPr>
          <w:p w14:paraId="5A381242">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监测点位</w:t>
            </w:r>
          </w:p>
        </w:tc>
        <w:tc>
          <w:tcPr>
            <w:tcW w:w="744" w:type="dxa"/>
            <w:vMerge w:val="restart"/>
            <w:noWrap w:val="0"/>
            <w:vAlign w:val="center"/>
          </w:tcPr>
          <w:p w14:paraId="28F25D6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单位</w:t>
            </w:r>
          </w:p>
        </w:tc>
      </w:tr>
      <w:tr w14:paraId="6A4AB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1" w:type="dxa"/>
            <w:vMerge w:val="continue"/>
            <w:noWrap w:val="0"/>
            <w:vAlign w:val="center"/>
          </w:tcPr>
          <w:p w14:paraId="25A9D2CD">
            <w:pPr>
              <w:pStyle w:val="24"/>
              <w:bidi w:val="0"/>
              <w:rPr>
                <w:rFonts w:hint="default" w:ascii="Times New Roman" w:hAnsi="Times New Roman" w:cs="Times New Roman"/>
                <w:color w:val="auto"/>
                <w:u w:val="none" w:color="auto"/>
              </w:rPr>
            </w:pPr>
          </w:p>
        </w:tc>
        <w:tc>
          <w:tcPr>
            <w:tcW w:w="1076" w:type="dxa"/>
            <w:noWrap w:val="0"/>
            <w:vAlign w:val="center"/>
          </w:tcPr>
          <w:p w14:paraId="3F3A3F3A">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2</w:t>
            </w:r>
          </w:p>
        </w:tc>
        <w:tc>
          <w:tcPr>
            <w:tcW w:w="1076" w:type="dxa"/>
            <w:noWrap w:val="0"/>
            <w:vAlign w:val="center"/>
          </w:tcPr>
          <w:p w14:paraId="5D2B478A">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3</w:t>
            </w:r>
          </w:p>
        </w:tc>
        <w:tc>
          <w:tcPr>
            <w:tcW w:w="1076" w:type="dxa"/>
            <w:noWrap w:val="0"/>
            <w:vAlign w:val="center"/>
          </w:tcPr>
          <w:p w14:paraId="74D8CDFB">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5</w:t>
            </w:r>
          </w:p>
        </w:tc>
        <w:tc>
          <w:tcPr>
            <w:tcW w:w="1076" w:type="dxa"/>
            <w:noWrap w:val="0"/>
            <w:vAlign w:val="center"/>
          </w:tcPr>
          <w:p w14:paraId="53D043CE">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7</w:t>
            </w:r>
          </w:p>
        </w:tc>
        <w:tc>
          <w:tcPr>
            <w:tcW w:w="1076" w:type="dxa"/>
            <w:noWrap w:val="0"/>
            <w:vAlign w:val="center"/>
          </w:tcPr>
          <w:p w14:paraId="66BE7DDE">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D</w:t>
            </w:r>
            <w:r>
              <w:rPr>
                <w:rFonts w:hint="eastAsia" w:ascii="Times New Roman" w:hAnsi="Times New Roman" w:cs="Times New Roman"/>
                <w:color w:val="auto"/>
                <w:u w:val="none" w:color="auto"/>
                <w:lang w:val="en-US" w:eastAsia="zh-CN"/>
              </w:rPr>
              <w:t>8</w:t>
            </w:r>
          </w:p>
        </w:tc>
        <w:tc>
          <w:tcPr>
            <w:tcW w:w="1079" w:type="dxa"/>
            <w:noWrap w:val="0"/>
            <w:vAlign w:val="center"/>
          </w:tcPr>
          <w:p w14:paraId="68DB0314">
            <w:pPr>
              <w:pStyle w:val="24"/>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D9</w:t>
            </w:r>
          </w:p>
        </w:tc>
        <w:tc>
          <w:tcPr>
            <w:tcW w:w="744" w:type="dxa"/>
            <w:vMerge w:val="continue"/>
            <w:noWrap w:val="0"/>
            <w:vAlign w:val="center"/>
          </w:tcPr>
          <w:p w14:paraId="722BA7E2">
            <w:pPr>
              <w:pStyle w:val="24"/>
              <w:bidi w:val="0"/>
              <w:rPr>
                <w:rFonts w:hint="default" w:ascii="Times New Roman" w:hAnsi="Times New Roman" w:cs="Times New Roman"/>
                <w:color w:val="auto"/>
                <w:u w:val="none" w:color="auto"/>
              </w:rPr>
            </w:pPr>
          </w:p>
        </w:tc>
      </w:tr>
      <w:tr w14:paraId="69C0C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301" w:type="dxa"/>
            <w:noWrap w:val="0"/>
            <w:vAlign w:val="center"/>
          </w:tcPr>
          <w:p w14:paraId="48DE5E5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水位</w:t>
            </w:r>
          </w:p>
        </w:tc>
        <w:tc>
          <w:tcPr>
            <w:tcW w:w="1076" w:type="dxa"/>
            <w:noWrap w:val="0"/>
            <w:vAlign w:val="center"/>
          </w:tcPr>
          <w:p w14:paraId="39D3B37F">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7.1</w:t>
            </w:r>
          </w:p>
        </w:tc>
        <w:tc>
          <w:tcPr>
            <w:tcW w:w="1076" w:type="dxa"/>
            <w:noWrap w:val="0"/>
            <w:vAlign w:val="center"/>
          </w:tcPr>
          <w:p w14:paraId="79213166">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6.0</w:t>
            </w:r>
          </w:p>
        </w:tc>
        <w:tc>
          <w:tcPr>
            <w:tcW w:w="1076" w:type="dxa"/>
            <w:noWrap w:val="0"/>
            <w:vAlign w:val="center"/>
          </w:tcPr>
          <w:p w14:paraId="348F359A">
            <w:pPr>
              <w:pStyle w:val="24"/>
              <w:bidi w:val="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2.5</w:t>
            </w:r>
          </w:p>
        </w:tc>
        <w:tc>
          <w:tcPr>
            <w:tcW w:w="1076" w:type="dxa"/>
            <w:noWrap w:val="0"/>
            <w:vAlign w:val="center"/>
          </w:tcPr>
          <w:p w14:paraId="6D2F7905">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3.4</w:t>
            </w:r>
          </w:p>
        </w:tc>
        <w:tc>
          <w:tcPr>
            <w:tcW w:w="1076" w:type="dxa"/>
            <w:noWrap w:val="0"/>
            <w:vAlign w:val="center"/>
          </w:tcPr>
          <w:p w14:paraId="48AF8BE4">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1.1</w:t>
            </w:r>
          </w:p>
        </w:tc>
        <w:tc>
          <w:tcPr>
            <w:tcW w:w="1079" w:type="dxa"/>
            <w:noWrap w:val="0"/>
            <w:vAlign w:val="center"/>
          </w:tcPr>
          <w:p w14:paraId="62546F64">
            <w:pPr>
              <w:pStyle w:val="24"/>
              <w:bidi w:val="0"/>
              <w:rPr>
                <w:rFonts w:hint="default" w:cs="Times New Roman"/>
                <w:color w:val="auto"/>
                <w:u w:val="none" w:color="auto"/>
                <w:lang w:val="en-US" w:eastAsia="zh-CN"/>
              </w:rPr>
            </w:pPr>
            <w:r>
              <w:rPr>
                <w:rFonts w:hint="eastAsia" w:cs="Times New Roman"/>
                <w:color w:val="auto"/>
                <w:u w:val="none" w:color="auto"/>
                <w:lang w:val="en-US" w:eastAsia="zh-CN"/>
              </w:rPr>
              <w:t>9.8</w:t>
            </w:r>
          </w:p>
        </w:tc>
        <w:tc>
          <w:tcPr>
            <w:tcW w:w="744" w:type="dxa"/>
            <w:noWrap w:val="0"/>
            <w:vAlign w:val="center"/>
          </w:tcPr>
          <w:p w14:paraId="64C4B232">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m</w:t>
            </w:r>
          </w:p>
        </w:tc>
      </w:tr>
      <w:bookmarkEnd w:id="933"/>
    </w:tbl>
    <w:p w14:paraId="3E927BE0">
      <w:pPr>
        <w:pStyle w:val="20"/>
        <w:bidi w:val="0"/>
        <w:rPr>
          <w:rFonts w:hint="default" w:ascii="Times New Roman" w:hAnsi="Times New Roman" w:cs="Times New Roman"/>
          <w:color w:val="auto"/>
          <w:u w:val="none" w:color="auto"/>
        </w:rPr>
      </w:pPr>
      <w:r>
        <w:rPr>
          <w:rFonts w:hint="default" w:ascii="Times New Roman" w:hAnsi="Times New Roman" w:eastAsia="宋体" w:cs="Times New Roman"/>
          <w:color w:val="auto"/>
          <w:sz w:val="24"/>
          <w:szCs w:val="24"/>
          <w:u w:val="none" w:color="auto"/>
        </w:rPr>
        <w:t>通过</w:t>
      </w:r>
      <w:r>
        <w:rPr>
          <w:rFonts w:hint="default" w:ascii="Times New Roman" w:hAnsi="Times New Roman" w:eastAsia="宋体" w:cs="Times New Roman"/>
          <w:color w:val="auto"/>
          <w:sz w:val="24"/>
          <w:szCs w:val="24"/>
          <w:u w:val="none" w:color="auto"/>
          <w:lang w:eastAsia="zh-CN"/>
        </w:rPr>
        <w:t>下表</w:t>
      </w:r>
      <w:r>
        <w:rPr>
          <w:rFonts w:hint="default" w:ascii="Times New Roman" w:hAnsi="Times New Roman" w:eastAsia="宋体" w:cs="Times New Roman"/>
          <w:color w:val="auto"/>
          <w:sz w:val="24"/>
          <w:szCs w:val="24"/>
          <w:u w:val="none" w:color="auto"/>
        </w:rPr>
        <w:t>地下水水位调查结果，项目所在区域为丘陵地区，海拔波动较为平缓，预测地下水的水位D</w:t>
      </w:r>
      <w:r>
        <w:rPr>
          <w:rFonts w:hint="eastAsia" w:ascii="Times New Roman" w:hAnsi="Times New Roman" w:eastAsia="宋体" w:cs="Times New Roman"/>
          <w:color w:val="auto"/>
          <w:sz w:val="24"/>
          <w:szCs w:val="24"/>
          <w:u w:val="none" w:color="auto"/>
          <w:lang w:val="en-US" w:eastAsia="zh-CN"/>
        </w:rPr>
        <w:t>9</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2</w:t>
      </w:r>
      <w:r>
        <w:rPr>
          <w:rFonts w:hint="default" w:ascii="Times New Roman" w:hAnsi="Times New Roman" w:eastAsia="宋体" w:cs="Times New Roman"/>
          <w:color w:val="auto"/>
          <w:sz w:val="24"/>
          <w:szCs w:val="24"/>
          <w:u w:val="none" w:color="auto"/>
        </w:rPr>
        <w:t>＞D</w:t>
      </w:r>
      <w:r>
        <w:rPr>
          <w:rFonts w:hint="default" w:ascii="Times New Roman" w:hAnsi="Times New Roman" w:eastAsia="宋体" w:cs="Times New Roman"/>
          <w:color w:val="auto"/>
          <w:sz w:val="24"/>
          <w:szCs w:val="24"/>
          <w:u w:val="none" w:color="auto"/>
          <w:lang w:val="en-US" w:eastAsia="zh-CN"/>
        </w:rPr>
        <w:t>3</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7</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5</w:t>
      </w:r>
      <w:r>
        <w:rPr>
          <w:rFonts w:hint="default" w:ascii="Times New Roman" w:hAnsi="Times New Roman" w:eastAsia="宋体" w:cs="Times New Roman"/>
          <w:color w:val="auto"/>
          <w:sz w:val="24"/>
          <w:szCs w:val="24"/>
          <w:u w:val="none" w:color="auto"/>
        </w:rPr>
        <w:t>＞D</w:t>
      </w:r>
      <w:r>
        <w:rPr>
          <w:rFonts w:hint="eastAsia" w:ascii="Times New Roman" w:hAnsi="Times New Roman" w:eastAsia="宋体" w:cs="Times New Roman"/>
          <w:color w:val="auto"/>
          <w:sz w:val="24"/>
          <w:szCs w:val="24"/>
          <w:u w:val="none" w:color="auto"/>
          <w:lang w:val="en-US" w:eastAsia="zh-CN"/>
        </w:rPr>
        <w:t>8</w:t>
      </w:r>
      <w:r>
        <w:rPr>
          <w:rFonts w:hint="default" w:ascii="Times New Roman" w:hAnsi="Times New Roman" w:cs="Times New Roman"/>
          <w:color w:val="auto"/>
          <w:u w:val="none" w:color="auto"/>
        </w:rPr>
        <w:t>。</w:t>
      </w:r>
    </w:p>
    <w:p w14:paraId="2D8AB752">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lang w:val="en-US" w:eastAsia="zh-CN"/>
        </w:rPr>
        <w:t>-</w:t>
      </w:r>
      <w:r>
        <w:rPr>
          <w:rFonts w:hint="eastAsia"/>
          <w:color w:val="auto"/>
          <w:u w:val="none" w:color="auto"/>
          <w:lang w:val="en-US" w:eastAsia="zh-CN"/>
        </w:rPr>
        <w:t>8</w:t>
      </w:r>
      <w:r>
        <w:rPr>
          <w:rFonts w:hint="default"/>
          <w:color w:val="auto"/>
          <w:u w:val="none" w:color="auto"/>
        </w:rPr>
        <w:t xml:space="preserve"> 地下水监测</w:t>
      </w:r>
      <w:r>
        <w:rPr>
          <w:rFonts w:hint="eastAsia"/>
          <w:color w:val="auto"/>
          <w:u w:val="none" w:color="auto"/>
          <w:lang w:val="en-US" w:eastAsia="zh-CN"/>
        </w:rPr>
        <w:t>点</w:t>
      </w:r>
      <w:r>
        <w:rPr>
          <w:rFonts w:hint="default"/>
          <w:color w:val="auto"/>
          <w:u w:val="none" w:color="auto"/>
        </w:rPr>
        <w:t>水质现状监测结果统计  单位：mg/L（pH除外）</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1451"/>
        <w:gridCol w:w="967"/>
        <w:gridCol w:w="969"/>
        <w:gridCol w:w="896"/>
        <w:gridCol w:w="897"/>
        <w:gridCol w:w="1089"/>
        <w:gridCol w:w="1042"/>
        <w:gridCol w:w="1025"/>
      </w:tblGrid>
      <w:tr w14:paraId="2C9F86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870" w:type="pct"/>
            <w:vMerge w:val="restart"/>
            <w:tcBorders>
              <w:tl2br w:val="nil"/>
              <w:tr2bl w:val="nil"/>
            </w:tcBorders>
            <w:noWrap/>
            <w:vAlign w:val="center"/>
          </w:tcPr>
          <w:p w14:paraId="3504D65A">
            <w:pPr>
              <w:pStyle w:val="36"/>
              <w:keepNext w:val="0"/>
              <w:keepLines w:val="0"/>
              <w:pageBreakBefore w:val="0"/>
              <w:kinsoku w:val="0"/>
              <w:wordWrap/>
              <w:overflowPunct w:val="0"/>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监测项目</w:t>
            </w:r>
          </w:p>
        </w:tc>
        <w:tc>
          <w:tcPr>
            <w:tcW w:w="1161" w:type="pct"/>
            <w:gridSpan w:val="2"/>
            <w:tcBorders>
              <w:tl2br w:val="nil"/>
              <w:tr2bl w:val="nil"/>
            </w:tcBorders>
            <w:noWrap/>
            <w:vAlign w:val="center"/>
          </w:tcPr>
          <w:p w14:paraId="47948454">
            <w:pPr>
              <w:pStyle w:val="36"/>
              <w:keepNext w:val="0"/>
              <w:keepLines w:val="0"/>
              <w:pageBreakBefore w:val="0"/>
              <w:kinsoku w:val="0"/>
              <w:wordWrap/>
              <w:overflowPunct w:val="0"/>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u w:val="none" w:color="auto"/>
              </w:rPr>
            </w:pPr>
            <w:r>
              <w:rPr>
                <w:rFonts w:hint="default" w:ascii="Times New Roman" w:hAnsi="Times New Roman" w:eastAsia="宋体" w:cs="Times New Roman"/>
                <w:bCs/>
                <w:color w:val="auto"/>
                <w:kern w:val="2"/>
                <w:sz w:val="21"/>
                <w:szCs w:val="21"/>
                <w:u w:val="none" w:color="auto"/>
              </w:rPr>
              <w:t>D</w:t>
            </w:r>
            <w:r>
              <w:rPr>
                <w:rFonts w:hint="eastAsia" w:ascii="Times New Roman" w:hAnsi="Times New Roman" w:cs="Times New Roman"/>
                <w:bCs/>
                <w:color w:val="auto"/>
                <w:kern w:val="2"/>
                <w:sz w:val="21"/>
                <w:szCs w:val="21"/>
                <w:u w:val="none" w:color="auto"/>
                <w:lang w:val="en-US" w:eastAsia="zh-CN"/>
              </w:rPr>
              <w:t>2</w:t>
            </w:r>
          </w:p>
        </w:tc>
        <w:tc>
          <w:tcPr>
            <w:tcW w:w="1075" w:type="pct"/>
            <w:gridSpan w:val="2"/>
            <w:tcBorders>
              <w:tl2br w:val="nil"/>
              <w:tr2bl w:val="nil"/>
            </w:tcBorders>
            <w:noWrap/>
            <w:vAlign w:val="center"/>
          </w:tcPr>
          <w:p w14:paraId="4425D333">
            <w:pPr>
              <w:keepNext w:val="0"/>
              <w:keepLines w:val="0"/>
              <w:pageBreakBefore w:val="0"/>
              <w:widowControl/>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sz w:val="21"/>
                <w:szCs w:val="21"/>
                <w:u w:val="none" w:color="auto"/>
              </w:rPr>
            </w:pPr>
            <w:r>
              <w:rPr>
                <w:rFonts w:hint="default" w:ascii="Times New Roman" w:hAnsi="Times New Roman" w:eastAsia="宋体" w:cs="Times New Roman"/>
                <w:bCs/>
                <w:color w:val="auto"/>
                <w:sz w:val="21"/>
                <w:szCs w:val="21"/>
                <w:u w:val="none" w:color="auto"/>
              </w:rPr>
              <w:t>D</w:t>
            </w:r>
            <w:r>
              <w:rPr>
                <w:rFonts w:hint="eastAsia" w:ascii="Times New Roman" w:hAnsi="Times New Roman" w:eastAsia="宋体" w:cs="Times New Roman"/>
                <w:bCs/>
                <w:color w:val="auto"/>
                <w:sz w:val="21"/>
                <w:szCs w:val="21"/>
                <w:u w:val="none" w:color="auto"/>
                <w:lang w:val="en-US" w:eastAsia="zh-CN"/>
              </w:rPr>
              <w:t>3</w:t>
            </w:r>
          </w:p>
        </w:tc>
        <w:tc>
          <w:tcPr>
            <w:tcW w:w="1278" w:type="pct"/>
            <w:gridSpan w:val="2"/>
            <w:tcBorders>
              <w:tl2br w:val="nil"/>
              <w:tr2bl w:val="nil"/>
            </w:tcBorders>
            <w:noWrap/>
            <w:vAlign w:val="center"/>
          </w:tcPr>
          <w:p w14:paraId="0B40F741">
            <w:pPr>
              <w:keepNext w:val="0"/>
              <w:keepLines w:val="0"/>
              <w:pageBreakBefore w:val="0"/>
              <w:widowControl/>
              <w:wordWrap/>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bCs/>
                <w:color w:val="auto"/>
                <w:kern w:val="2"/>
                <w:sz w:val="21"/>
                <w:szCs w:val="21"/>
                <w:u w:val="none" w:color="auto"/>
              </w:rPr>
              <w:t>D</w:t>
            </w:r>
            <w:r>
              <w:rPr>
                <w:rFonts w:hint="eastAsia" w:ascii="Times New Roman" w:hAnsi="Times New Roman" w:cs="Times New Roman"/>
                <w:bCs/>
                <w:color w:val="auto"/>
                <w:kern w:val="2"/>
                <w:sz w:val="21"/>
                <w:szCs w:val="21"/>
                <w:u w:val="none" w:color="auto"/>
                <w:lang w:val="en-US" w:eastAsia="zh-CN"/>
              </w:rPr>
              <w:t>5</w:t>
            </w:r>
          </w:p>
        </w:tc>
        <w:tc>
          <w:tcPr>
            <w:tcW w:w="614" w:type="pct"/>
            <w:vMerge w:val="restart"/>
            <w:tcBorders>
              <w:tl2br w:val="nil"/>
              <w:tr2bl w:val="nil"/>
            </w:tcBorders>
            <w:noWrap/>
            <w:vAlign w:val="center"/>
          </w:tcPr>
          <w:p w14:paraId="27384707">
            <w:pPr>
              <w:pStyle w:val="36"/>
              <w:keepNext w:val="0"/>
              <w:keepLines w:val="0"/>
              <w:pageBreakBefore w:val="0"/>
              <w:kinsoku w:val="0"/>
              <w:wordWrap/>
              <w:overflowPunct w:val="0"/>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u w:val="none" w:color="auto"/>
              </w:rPr>
            </w:pPr>
            <w:r>
              <w:rPr>
                <w:rFonts w:hint="default" w:ascii="Times New Roman" w:hAnsi="Times New Roman" w:eastAsia="宋体" w:cs="Times New Roman"/>
                <w:bCs/>
                <w:color w:val="auto"/>
                <w:kern w:val="2"/>
                <w:sz w:val="21"/>
                <w:szCs w:val="21"/>
                <w:u w:val="none" w:color="auto"/>
              </w:rPr>
              <w:t>标准值</w:t>
            </w:r>
          </w:p>
        </w:tc>
      </w:tr>
      <w:tr w14:paraId="2A2EE7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39" w:hRule="atLeast"/>
          <w:jc w:val="center"/>
        </w:trPr>
        <w:tc>
          <w:tcPr>
            <w:tcW w:w="870" w:type="pct"/>
            <w:vMerge w:val="continue"/>
            <w:tcBorders>
              <w:tl2br w:val="nil"/>
              <w:tr2bl w:val="nil"/>
            </w:tcBorders>
            <w:noWrap/>
            <w:vAlign w:val="center"/>
          </w:tcPr>
          <w:p w14:paraId="4521CBE9">
            <w:pPr>
              <w:pStyle w:val="36"/>
              <w:keepNext w:val="0"/>
              <w:keepLines w:val="0"/>
              <w:pageBreakBefore w:val="0"/>
              <w:kinsoku w:val="0"/>
              <w:wordWrap/>
              <w:overflowPunct w:val="0"/>
              <w:topLinePunct w:val="0"/>
              <w:autoSpaceDE/>
              <w:autoSpaceDN/>
              <w:bidi w:val="0"/>
              <w:adjustRightInd w:val="0"/>
              <w:snapToGrid w:val="0"/>
              <w:jc w:val="center"/>
              <w:textAlignment w:val="auto"/>
            </w:pPr>
          </w:p>
        </w:tc>
        <w:tc>
          <w:tcPr>
            <w:tcW w:w="580" w:type="pct"/>
            <w:tcBorders>
              <w:tl2br w:val="nil"/>
              <w:tr2bl w:val="nil"/>
            </w:tcBorders>
            <w:noWrap/>
            <w:vAlign w:val="center"/>
          </w:tcPr>
          <w:p w14:paraId="04985D9A">
            <w:pPr>
              <w:pStyle w:val="36"/>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监测结果</w:t>
            </w:r>
          </w:p>
        </w:tc>
        <w:tc>
          <w:tcPr>
            <w:tcW w:w="581" w:type="pct"/>
            <w:tcBorders>
              <w:tl2br w:val="nil"/>
              <w:tr2bl w:val="nil"/>
            </w:tcBorders>
            <w:noWrap/>
            <w:vAlign w:val="center"/>
          </w:tcPr>
          <w:p w14:paraId="21F42265">
            <w:pPr>
              <w:pStyle w:val="36"/>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标准指数</w:t>
            </w:r>
          </w:p>
        </w:tc>
        <w:tc>
          <w:tcPr>
            <w:tcW w:w="537" w:type="pct"/>
            <w:tcBorders>
              <w:tl2br w:val="nil"/>
              <w:tr2bl w:val="nil"/>
            </w:tcBorders>
            <w:noWrap/>
            <w:vAlign w:val="center"/>
          </w:tcPr>
          <w:p w14:paraId="041FC6D6">
            <w:pPr>
              <w:pStyle w:val="36"/>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监测结果</w:t>
            </w:r>
          </w:p>
        </w:tc>
        <w:tc>
          <w:tcPr>
            <w:tcW w:w="537" w:type="pct"/>
            <w:tcBorders>
              <w:tl2br w:val="nil"/>
              <w:tr2bl w:val="nil"/>
            </w:tcBorders>
            <w:noWrap/>
            <w:vAlign w:val="center"/>
          </w:tcPr>
          <w:p w14:paraId="368EF5A5">
            <w:pPr>
              <w:pStyle w:val="36"/>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标准指数</w:t>
            </w:r>
          </w:p>
        </w:tc>
        <w:tc>
          <w:tcPr>
            <w:tcW w:w="653" w:type="pct"/>
            <w:tcBorders>
              <w:tl2br w:val="nil"/>
              <w:tr2bl w:val="nil"/>
            </w:tcBorders>
            <w:noWrap/>
            <w:vAlign w:val="center"/>
          </w:tcPr>
          <w:p w14:paraId="09BE6017">
            <w:pPr>
              <w:pStyle w:val="36"/>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监测结果</w:t>
            </w:r>
          </w:p>
        </w:tc>
        <w:tc>
          <w:tcPr>
            <w:tcW w:w="625" w:type="pct"/>
            <w:tcBorders>
              <w:tl2br w:val="nil"/>
              <w:tr2bl w:val="nil"/>
            </w:tcBorders>
            <w:noWrap/>
            <w:vAlign w:val="center"/>
          </w:tcPr>
          <w:p w14:paraId="64502F89">
            <w:pPr>
              <w:pStyle w:val="36"/>
              <w:keepNext w:val="0"/>
              <w:keepLines w:val="0"/>
              <w:pageBreakBefore w:val="0"/>
              <w:kinsoku w:val="0"/>
              <w:wordWrap/>
              <w:overflowPunct w:val="0"/>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color w:val="auto"/>
                <w:sz w:val="21"/>
                <w:szCs w:val="21"/>
                <w:highlight w:val="none"/>
                <w:u w:val="none" w:color="auto"/>
              </w:rPr>
              <w:t>标准指数</w:t>
            </w:r>
          </w:p>
        </w:tc>
        <w:tc>
          <w:tcPr>
            <w:tcW w:w="614" w:type="pct"/>
            <w:vMerge w:val="continue"/>
            <w:tcBorders>
              <w:tl2br w:val="nil"/>
              <w:tr2bl w:val="nil"/>
            </w:tcBorders>
            <w:noWrap/>
            <w:vAlign w:val="center"/>
          </w:tcPr>
          <w:p w14:paraId="29EBFC03">
            <w:pPr>
              <w:pStyle w:val="36"/>
              <w:keepNext w:val="0"/>
              <w:keepLines w:val="0"/>
              <w:pageBreakBefore w:val="0"/>
              <w:kinsoku w:val="0"/>
              <w:wordWrap/>
              <w:overflowPunct w:val="0"/>
              <w:topLinePunct w:val="0"/>
              <w:autoSpaceDE/>
              <w:autoSpaceDN/>
              <w:bidi w:val="0"/>
              <w:adjustRightInd w:val="0"/>
              <w:snapToGrid w:val="0"/>
              <w:jc w:val="center"/>
              <w:textAlignment w:val="auto"/>
              <w:rPr>
                <w:rFonts w:hint="default" w:ascii="Times New Roman" w:hAnsi="Times New Roman" w:eastAsia="宋体" w:cs="Times New Roman"/>
                <w:bCs/>
                <w:color w:val="auto"/>
                <w:kern w:val="2"/>
                <w:sz w:val="21"/>
                <w:szCs w:val="21"/>
                <w:u w:val="none" w:color="auto"/>
              </w:rPr>
            </w:pPr>
          </w:p>
        </w:tc>
      </w:tr>
      <w:tr w14:paraId="65E9F95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1416D038">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溶解性总固体</w:t>
            </w:r>
          </w:p>
        </w:tc>
        <w:tc>
          <w:tcPr>
            <w:tcW w:w="580" w:type="pct"/>
            <w:tcBorders>
              <w:tl2br w:val="nil"/>
              <w:tr2bl w:val="nil"/>
            </w:tcBorders>
            <w:noWrap/>
            <w:vAlign w:val="center"/>
          </w:tcPr>
          <w:p w14:paraId="1A0485B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34</w:t>
            </w:r>
          </w:p>
        </w:tc>
        <w:tc>
          <w:tcPr>
            <w:tcW w:w="581" w:type="pct"/>
            <w:tcBorders>
              <w:tl2br w:val="nil"/>
              <w:tr2bl w:val="nil"/>
            </w:tcBorders>
            <w:noWrap/>
            <w:vAlign w:val="center"/>
          </w:tcPr>
          <w:p w14:paraId="67BEF38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0.034</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537" w:type="pct"/>
            <w:tcBorders>
              <w:tl2br w:val="nil"/>
              <w:tr2bl w:val="nil"/>
            </w:tcBorders>
            <w:noWrap/>
            <w:vAlign w:val="center"/>
          </w:tcPr>
          <w:p w14:paraId="4610A5A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77</w:t>
            </w:r>
          </w:p>
        </w:tc>
        <w:tc>
          <w:tcPr>
            <w:tcW w:w="537" w:type="pct"/>
            <w:tcBorders>
              <w:tl2br w:val="nil"/>
              <w:tr2bl w:val="nil"/>
            </w:tcBorders>
            <w:noWrap/>
            <w:vAlign w:val="center"/>
          </w:tcPr>
          <w:p w14:paraId="4C9D1A6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0.077</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653" w:type="pct"/>
            <w:tcBorders>
              <w:tl2br w:val="nil"/>
              <w:tr2bl w:val="nil"/>
            </w:tcBorders>
            <w:noWrap/>
            <w:vAlign w:val="center"/>
          </w:tcPr>
          <w:p w14:paraId="7EE374F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68</w:t>
            </w:r>
          </w:p>
        </w:tc>
        <w:tc>
          <w:tcPr>
            <w:tcW w:w="625" w:type="pct"/>
            <w:tcBorders>
              <w:tl2br w:val="nil"/>
              <w:tr2bl w:val="nil"/>
            </w:tcBorders>
            <w:noWrap/>
            <w:vAlign w:val="center"/>
          </w:tcPr>
          <w:p w14:paraId="0FE4673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0.068</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614" w:type="pct"/>
            <w:tcBorders>
              <w:tl2br w:val="nil"/>
              <w:tr2bl w:val="nil"/>
            </w:tcBorders>
            <w:noWrap/>
            <w:vAlign w:val="center"/>
          </w:tcPr>
          <w:p w14:paraId="274DACE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1000</w:t>
            </w:r>
          </w:p>
        </w:tc>
      </w:tr>
      <w:tr w14:paraId="533D2B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1AD94FE9">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高猛酸盐指数</w:t>
            </w:r>
          </w:p>
        </w:tc>
        <w:tc>
          <w:tcPr>
            <w:tcW w:w="580" w:type="pct"/>
            <w:tcBorders>
              <w:tl2br w:val="nil"/>
              <w:tr2bl w:val="nil"/>
            </w:tcBorders>
            <w:noWrap/>
            <w:vAlign w:val="center"/>
          </w:tcPr>
          <w:p w14:paraId="3575105C">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r>
              <w:rPr>
                <w:rFonts w:hint="eastAsia" w:ascii="Times New Roman" w:hAnsi="Times New Roman" w:eastAsia="宋体" w:cs="Times New Roman"/>
                <w:i w:val="0"/>
                <w:iCs w:val="0"/>
                <w:color w:val="auto"/>
                <w:kern w:val="0"/>
                <w:sz w:val="21"/>
                <w:szCs w:val="21"/>
                <w:highlight w:val="none"/>
                <w:u w:val="none" w:color="auto"/>
                <w:lang w:val="en-US" w:eastAsia="zh-CN" w:bidi="ar"/>
              </w:rPr>
              <w:t>45</w:t>
            </w:r>
          </w:p>
        </w:tc>
        <w:tc>
          <w:tcPr>
            <w:tcW w:w="581" w:type="pct"/>
            <w:tcBorders>
              <w:tl2br w:val="nil"/>
              <w:tr2bl w:val="nil"/>
            </w:tcBorders>
            <w:noWrap/>
            <w:vAlign w:val="center"/>
          </w:tcPr>
          <w:p w14:paraId="481E601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r>
              <w:rPr>
                <w:rFonts w:hint="eastAsia" w:ascii="Times New Roman" w:hAnsi="Times New Roman" w:eastAsia="宋体" w:cs="Times New Roman"/>
                <w:i w:val="0"/>
                <w:iCs w:val="0"/>
                <w:color w:val="auto"/>
                <w:kern w:val="0"/>
                <w:sz w:val="21"/>
                <w:szCs w:val="21"/>
                <w:highlight w:val="none"/>
                <w:u w:val="none" w:color="auto"/>
                <w:lang w:val="en-US" w:eastAsia="zh-CN" w:bidi="ar"/>
              </w:rPr>
              <w:t>48</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3 </w:t>
            </w:r>
          </w:p>
        </w:tc>
        <w:tc>
          <w:tcPr>
            <w:tcW w:w="537" w:type="pct"/>
            <w:tcBorders>
              <w:tl2br w:val="nil"/>
              <w:tr2bl w:val="nil"/>
            </w:tcBorders>
            <w:noWrap/>
            <w:vAlign w:val="center"/>
          </w:tcPr>
          <w:p w14:paraId="2DBE0A6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r>
              <w:rPr>
                <w:rFonts w:hint="eastAsia" w:ascii="Times New Roman" w:hAnsi="Times New Roman" w:eastAsia="宋体" w:cs="Times New Roman"/>
                <w:i w:val="0"/>
                <w:iCs w:val="0"/>
                <w:color w:val="auto"/>
                <w:kern w:val="0"/>
                <w:sz w:val="21"/>
                <w:szCs w:val="21"/>
                <w:highlight w:val="none"/>
                <w:u w:val="none" w:color="auto"/>
                <w:lang w:val="en-US" w:eastAsia="zh-CN" w:bidi="ar"/>
              </w:rPr>
              <w:t>.71</w:t>
            </w:r>
          </w:p>
        </w:tc>
        <w:tc>
          <w:tcPr>
            <w:tcW w:w="537" w:type="pct"/>
            <w:tcBorders>
              <w:tl2br w:val="nil"/>
              <w:tr2bl w:val="nil"/>
            </w:tcBorders>
            <w:noWrap/>
            <w:vAlign w:val="center"/>
          </w:tcPr>
          <w:p w14:paraId="3A018A3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w:t>
            </w:r>
            <w:r>
              <w:rPr>
                <w:rFonts w:hint="eastAsia" w:ascii="Times New Roman" w:hAnsi="Times New Roman" w:eastAsia="宋体" w:cs="Times New Roman"/>
                <w:i w:val="0"/>
                <w:iCs w:val="0"/>
                <w:color w:val="auto"/>
                <w:kern w:val="0"/>
                <w:sz w:val="21"/>
                <w:szCs w:val="21"/>
                <w:highlight w:val="none"/>
                <w:u w:val="none" w:color="auto"/>
                <w:lang w:val="en-US" w:eastAsia="zh-CN" w:bidi="ar"/>
              </w:rPr>
              <w:t>57</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653" w:type="pct"/>
            <w:tcBorders>
              <w:tl2br w:val="nil"/>
              <w:tr2bl w:val="nil"/>
            </w:tcBorders>
            <w:noWrap/>
            <w:vAlign w:val="center"/>
          </w:tcPr>
          <w:p w14:paraId="03365EA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1.39</w:t>
            </w:r>
          </w:p>
        </w:tc>
        <w:tc>
          <w:tcPr>
            <w:tcW w:w="625" w:type="pct"/>
            <w:tcBorders>
              <w:tl2br w:val="nil"/>
              <w:tr2bl w:val="nil"/>
            </w:tcBorders>
            <w:noWrap/>
            <w:vAlign w:val="center"/>
          </w:tcPr>
          <w:p w14:paraId="5A1E84E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0.463</w:t>
            </w:r>
          </w:p>
        </w:tc>
        <w:tc>
          <w:tcPr>
            <w:tcW w:w="614" w:type="pct"/>
            <w:tcBorders>
              <w:tl2br w:val="nil"/>
              <w:tr2bl w:val="nil"/>
            </w:tcBorders>
            <w:noWrap/>
            <w:vAlign w:val="center"/>
          </w:tcPr>
          <w:p w14:paraId="75BF59E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3</w:t>
            </w:r>
          </w:p>
        </w:tc>
      </w:tr>
      <w:tr w14:paraId="75753E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0AB9322D">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硝酸盐</w:t>
            </w:r>
          </w:p>
        </w:tc>
        <w:tc>
          <w:tcPr>
            <w:tcW w:w="580" w:type="pct"/>
            <w:tcBorders>
              <w:tl2br w:val="nil"/>
              <w:tr2bl w:val="nil"/>
            </w:tcBorders>
            <w:noWrap/>
            <w:vAlign w:val="center"/>
          </w:tcPr>
          <w:p w14:paraId="3AA9857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0.09</w:t>
            </w:r>
          </w:p>
        </w:tc>
        <w:tc>
          <w:tcPr>
            <w:tcW w:w="581" w:type="pct"/>
            <w:tcBorders>
              <w:tl2br w:val="nil"/>
              <w:tr2bl w:val="nil"/>
            </w:tcBorders>
            <w:noWrap/>
            <w:vAlign w:val="center"/>
          </w:tcPr>
          <w:p w14:paraId="0E9759B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w:t>
            </w:r>
            <w:r>
              <w:rPr>
                <w:rFonts w:hint="eastAsia" w:ascii="Times New Roman" w:hAnsi="Times New Roman" w:eastAsia="宋体" w:cs="Times New Roman"/>
                <w:i w:val="0"/>
                <w:iCs w:val="0"/>
                <w:color w:val="auto"/>
                <w:kern w:val="0"/>
                <w:sz w:val="21"/>
                <w:szCs w:val="21"/>
                <w:highlight w:val="none"/>
                <w:u w:val="none" w:color="auto"/>
                <w:lang w:val="en-US" w:eastAsia="zh-CN" w:bidi="ar"/>
              </w:rPr>
              <w:t>045</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w:t>
            </w:r>
          </w:p>
        </w:tc>
        <w:tc>
          <w:tcPr>
            <w:tcW w:w="537" w:type="pct"/>
            <w:tcBorders>
              <w:tl2br w:val="nil"/>
              <w:tr2bl w:val="nil"/>
            </w:tcBorders>
            <w:noWrap/>
            <w:vAlign w:val="center"/>
          </w:tcPr>
          <w:p w14:paraId="58B16B0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0.10</w:t>
            </w:r>
          </w:p>
        </w:tc>
        <w:tc>
          <w:tcPr>
            <w:tcW w:w="537" w:type="pct"/>
            <w:tcBorders>
              <w:tl2br w:val="nil"/>
              <w:tr2bl w:val="nil"/>
            </w:tcBorders>
            <w:noWrap/>
            <w:vAlign w:val="center"/>
          </w:tcPr>
          <w:p w14:paraId="438A017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w:t>
            </w:r>
            <w:r>
              <w:rPr>
                <w:rFonts w:hint="eastAsia" w:ascii="Times New Roman" w:hAnsi="Times New Roman" w:eastAsia="宋体" w:cs="Times New Roman"/>
                <w:i w:val="0"/>
                <w:iCs w:val="0"/>
                <w:color w:val="auto"/>
                <w:kern w:val="0"/>
                <w:sz w:val="21"/>
                <w:szCs w:val="21"/>
                <w:highlight w:val="none"/>
                <w:u w:val="none" w:color="auto"/>
                <w:lang w:val="en-US" w:eastAsia="zh-CN" w:bidi="ar"/>
              </w:rPr>
              <w:t>05</w:t>
            </w:r>
          </w:p>
        </w:tc>
        <w:tc>
          <w:tcPr>
            <w:tcW w:w="653" w:type="pct"/>
            <w:tcBorders>
              <w:tl2br w:val="nil"/>
              <w:tr2bl w:val="nil"/>
            </w:tcBorders>
            <w:noWrap/>
            <w:vAlign w:val="center"/>
          </w:tcPr>
          <w:p w14:paraId="62FACA1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0.12</w:t>
            </w:r>
          </w:p>
        </w:tc>
        <w:tc>
          <w:tcPr>
            <w:tcW w:w="625" w:type="pct"/>
            <w:tcBorders>
              <w:tl2br w:val="nil"/>
              <w:tr2bl w:val="nil"/>
            </w:tcBorders>
            <w:noWrap/>
            <w:vAlign w:val="center"/>
          </w:tcPr>
          <w:p w14:paraId="2DF05B1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0.006</w:t>
            </w:r>
          </w:p>
        </w:tc>
        <w:tc>
          <w:tcPr>
            <w:tcW w:w="614" w:type="pct"/>
            <w:tcBorders>
              <w:tl2br w:val="nil"/>
              <w:tr2bl w:val="nil"/>
            </w:tcBorders>
            <w:noWrap/>
            <w:vAlign w:val="center"/>
          </w:tcPr>
          <w:p w14:paraId="4F7EBC94">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20</w:t>
            </w:r>
          </w:p>
        </w:tc>
      </w:tr>
      <w:tr w14:paraId="46BA77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1476BBB9">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亚硝酸盐</w:t>
            </w:r>
          </w:p>
        </w:tc>
        <w:tc>
          <w:tcPr>
            <w:tcW w:w="580" w:type="pct"/>
            <w:tcBorders>
              <w:tl2br w:val="nil"/>
              <w:tr2bl w:val="nil"/>
            </w:tcBorders>
            <w:noWrap/>
            <w:vAlign w:val="center"/>
          </w:tcPr>
          <w:p w14:paraId="7107D4D3">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0.003L</w:t>
            </w:r>
          </w:p>
        </w:tc>
        <w:tc>
          <w:tcPr>
            <w:tcW w:w="581" w:type="pct"/>
            <w:tcBorders>
              <w:tl2br w:val="nil"/>
              <w:tr2bl w:val="nil"/>
            </w:tcBorders>
            <w:noWrap/>
            <w:vAlign w:val="center"/>
          </w:tcPr>
          <w:p w14:paraId="674108B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7DBB8CE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0.003L</w:t>
            </w:r>
          </w:p>
        </w:tc>
        <w:tc>
          <w:tcPr>
            <w:tcW w:w="537" w:type="pct"/>
            <w:tcBorders>
              <w:tl2br w:val="nil"/>
              <w:tr2bl w:val="nil"/>
            </w:tcBorders>
            <w:noWrap/>
            <w:vAlign w:val="center"/>
          </w:tcPr>
          <w:p w14:paraId="11739077">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3F06EAC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0.003L</w:t>
            </w:r>
          </w:p>
        </w:tc>
        <w:tc>
          <w:tcPr>
            <w:tcW w:w="625" w:type="pct"/>
            <w:tcBorders>
              <w:tl2br w:val="nil"/>
              <w:tr2bl w:val="nil"/>
            </w:tcBorders>
            <w:noWrap/>
            <w:vAlign w:val="center"/>
          </w:tcPr>
          <w:p w14:paraId="3670A13C">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45BEE8B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r>
      <w:tr w14:paraId="00434FE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61B5826B">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氨氮</w:t>
            </w:r>
          </w:p>
        </w:tc>
        <w:tc>
          <w:tcPr>
            <w:tcW w:w="580" w:type="pct"/>
            <w:tcBorders>
              <w:tl2br w:val="nil"/>
              <w:tr2bl w:val="nil"/>
            </w:tcBorders>
            <w:noWrap/>
            <w:vAlign w:val="center"/>
          </w:tcPr>
          <w:p w14:paraId="50B20FD3">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0.029</w:t>
            </w:r>
          </w:p>
        </w:tc>
        <w:tc>
          <w:tcPr>
            <w:tcW w:w="581" w:type="pct"/>
            <w:tcBorders>
              <w:tl2br w:val="nil"/>
              <w:tr2bl w:val="nil"/>
            </w:tcBorders>
            <w:noWrap/>
            <w:vAlign w:val="center"/>
          </w:tcPr>
          <w:p w14:paraId="2C137CCC">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0.058</w:t>
            </w:r>
          </w:p>
        </w:tc>
        <w:tc>
          <w:tcPr>
            <w:tcW w:w="537" w:type="pct"/>
            <w:tcBorders>
              <w:tl2br w:val="nil"/>
              <w:tr2bl w:val="nil"/>
            </w:tcBorders>
            <w:noWrap/>
            <w:vAlign w:val="center"/>
          </w:tcPr>
          <w:p w14:paraId="65B7880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0.038</w:t>
            </w:r>
          </w:p>
        </w:tc>
        <w:tc>
          <w:tcPr>
            <w:tcW w:w="537" w:type="pct"/>
            <w:tcBorders>
              <w:tl2br w:val="nil"/>
              <w:tr2bl w:val="nil"/>
            </w:tcBorders>
            <w:noWrap/>
            <w:vAlign w:val="center"/>
          </w:tcPr>
          <w:p w14:paraId="4792E47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0.076</w:t>
            </w:r>
          </w:p>
        </w:tc>
        <w:tc>
          <w:tcPr>
            <w:tcW w:w="653" w:type="pct"/>
            <w:tcBorders>
              <w:tl2br w:val="nil"/>
              <w:tr2bl w:val="nil"/>
            </w:tcBorders>
            <w:noWrap/>
            <w:vAlign w:val="center"/>
          </w:tcPr>
          <w:p w14:paraId="64E4951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0.059</w:t>
            </w:r>
          </w:p>
        </w:tc>
        <w:tc>
          <w:tcPr>
            <w:tcW w:w="625" w:type="pct"/>
            <w:tcBorders>
              <w:tl2br w:val="nil"/>
              <w:tr2bl w:val="nil"/>
            </w:tcBorders>
            <w:noWrap/>
            <w:vAlign w:val="center"/>
          </w:tcPr>
          <w:p w14:paraId="7B41412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0.118</w:t>
            </w:r>
          </w:p>
        </w:tc>
        <w:tc>
          <w:tcPr>
            <w:tcW w:w="614" w:type="pct"/>
            <w:tcBorders>
              <w:tl2br w:val="nil"/>
              <w:tr2bl w:val="nil"/>
            </w:tcBorders>
            <w:noWrap/>
            <w:vAlign w:val="center"/>
          </w:tcPr>
          <w:p w14:paraId="39B0414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0.5</w:t>
            </w:r>
          </w:p>
        </w:tc>
      </w:tr>
      <w:tr w14:paraId="41DBCB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6070A48B">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挥发酚</w:t>
            </w:r>
          </w:p>
        </w:tc>
        <w:tc>
          <w:tcPr>
            <w:tcW w:w="580" w:type="pct"/>
            <w:tcBorders>
              <w:tl2br w:val="nil"/>
              <w:tr2bl w:val="nil"/>
            </w:tcBorders>
            <w:noWrap/>
            <w:vAlign w:val="center"/>
          </w:tcPr>
          <w:p w14:paraId="0C7AC9E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kern w:val="2"/>
                <w:sz w:val="21"/>
                <w:lang w:val="en-US" w:eastAsia="zh-CN" w:bidi="ar-SA"/>
              </w:rPr>
              <w:t>0.0003L</w:t>
            </w:r>
          </w:p>
        </w:tc>
        <w:tc>
          <w:tcPr>
            <w:tcW w:w="581" w:type="pct"/>
            <w:tcBorders>
              <w:tl2br w:val="nil"/>
              <w:tr2bl w:val="nil"/>
            </w:tcBorders>
            <w:noWrap/>
            <w:vAlign w:val="center"/>
          </w:tcPr>
          <w:p w14:paraId="0F4B2F8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w:t>
            </w:r>
          </w:p>
        </w:tc>
        <w:tc>
          <w:tcPr>
            <w:tcW w:w="537" w:type="pct"/>
            <w:tcBorders>
              <w:tl2br w:val="nil"/>
              <w:tr2bl w:val="nil"/>
            </w:tcBorders>
            <w:noWrap/>
            <w:vAlign w:val="center"/>
          </w:tcPr>
          <w:p w14:paraId="371344E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kern w:val="2"/>
                <w:sz w:val="21"/>
                <w:lang w:val="en-US" w:eastAsia="zh-CN" w:bidi="ar-SA"/>
              </w:rPr>
              <w:t>0.0003L</w:t>
            </w:r>
          </w:p>
        </w:tc>
        <w:tc>
          <w:tcPr>
            <w:tcW w:w="537" w:type="pct"/>
            <w:tcBorders>
              <w:tl2br w:val="nil"/>
              <w:tr2bl w:val="nil"/>
            </w:tcBorders>
            <w:noWrap/>
            <w:vAlign w:val="center"/>
          </w:tcPr>
          <w:p w14:paraId="0849C1E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w:t>
            </w:r>
          </w:p>
        </w:tc>
        <w:tc>
          <w:tcPr>
            <w:tcW w:w="653" w:type="pct"/>
            <w:tcBorders>
              <w:tl2br w:val="nil"/>
              <w:tr2bl w:val="nil"/>
            </w:tcBorders>
            <w:noWrap/>
            <w:vAlign w:val="center"/>
          </w:tcPr>
          <w:p w14:paraId="7980902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kern w:val="2"/>
                <w:sz w:val="21"/>
                <w:lang w:val="en-US" w:eastAsia="zh-CN" w:bidi="ar-SA"/>
              </w:rPr>
              <w:t>0.0003L</w:t>
            </w:r>
          </w:p>
        </w:tc>
        <w:tc>
          <w:tcPr>
            <w:tcW w:w="625" w:type="pct"/>
            <w:tcBorders>
              <w:tl2br w:val="nil"/>
              <w:tr2bl w:val="nil"/>
            </w:tcBorders>
            <w:noWrap/>
            <w:vAlign w:val="center"/>
          </w:tcPr>
          <w:p w14:paraId="39387C8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w:t>
            </w:r>
          </w:p>
        </w:tc>
        <w:tc>
          <w:tcPr>
            <w:tcW w:w="614" w:type="pct"/>
            <w:tcBorders>
              <w:tl2br w:val="nil"/>
              <w:tr2bl w:val="nil"/>
            </w:tcBorders>
            <w:noWrap/>
            <w:vAlign w:val="center"/>
          </w:tcPr>
          <w:p w14:paraId="3FC431C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0.</w:t>
            </w:r>
            <w:r>
              <w:rPr>
                <w:rFonts w:hint="eastAsia" w:ascii="Times New Roman" w:hAnsi="Times New Roman" w:eastAsia="宋体" w:cs="Times New Roman"/>
                <w:i w:val="0"/>
                <w:iCs w:val="0"/>
                <w:color w:val="auto"/>
                <w:kern w:val="0"/>
                <w:sz w:val="21"/>
                <w:szCs w:val="21"/>
                <w:highlight w:val="none"/>
                <w:u w:val="none" w:color="auto"/>
                <w:lang w:val="en-US" w:eastAsia="zh-CN" w:bidi="ar"/>
              </w:rPr>
              <w:t>002</w:t>
            </w:r>
          </w:p>
        </w:tc>
      </w:tr>
      <w:tr w14:paraId="0FE947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684EDA81">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钾</w:t>
            </w:r>
          </w:p>
        </w:tc>
        <w:tc>
          <w:tcPr>
            <w:tcW w:w="580" w:type="pct"/>
            <w:tcBorders>
              <w:tl2br w:val="nil"/>
              <w:tr2bl w:val="nil"/>
            </w:tcBorders>
            <w:noWrap/>
            <w:vAlign w:val="center"/>
          </w:tcPr>
          <w:p w14:paraId="45543C2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0.049</w:t>
            </w:r>
          </w:p>
        </w:tc>
        <w:tc>
          <w:tcPr>
            <w:tcW w:w="581" w:type="pct"/>
            <w:tcBorders>
              <w:tl2br w:val="nil"/>
              <w:tr2bl w:val="nil"/>
            </w:tcBorders>
            <w:noWrap/>
            <w:vAlign w:val="center"/>
          </w:tcPr>
          <w:p w14:paraId="2B83E68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03866B8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16.1</w:t>
            </w:r>
          </w:p>
        </w:tc>
        <w:tc>
          <w:tcPr>
            <w:tcW w:w="537" w:type="pct"/>
            <w:tcBorders>
              <w:tl2br w:val="nil"/>
              <w:tr2bl w:val="nil"/>
            </w:tcBorders>
            <w:noWrap/>
            <w:vAlign w:val="center"/>
          </w:tcPr>
          <w:p w14:paraId="65EAEA9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427D4EEC">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2.33</w:t>
            </w:r>
          </w:p>
        </w:tc>
        <w:tc>
          <w:tcPr>
            <w:tcW w:w="625" w:type="pct"/>
            <w:tcBorders>
              <w:tl2br w:val="nil"/>
              <w:tr2bl w:val="nil"/>
            </w:tcBorders>
            <w:noWrap/>
            <w:vAlign w:val="center"/>
          </w:tcPr>
          <w:p w14:paraId="49C5672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75364F2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42B21D9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74A4DC1F">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钠</w:t>
            </w:r>
          </w:p>
        </w:tc>
        <w:tc>
          <w:tcPr>
            <w:tcW w:w="580" w:type="pct"/>
            <w:tcBorders>
              <w:tl2br w:val="nil"/>
              <w:tr2bl w:val="nil"/>
            </w:tcBorders>
            <w:noWrap/>
            <w:vAlign w:val="center"/>
          </w:tcPr>
          <w:p w14:paraId="631BD56F">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1.32</w:t>
            </w:r>
          </w:p>
        </w:tc>
        <w:tc>
          <w:tcPr>
            <w:tcW w:w="581" w:type="pct"/>
            <w:tcBorders>
              <w:tl2br w:val="nil"/>
              <w:tr2bl w:val="nil"/>
            </w:tcBorders>
            <w:noWrap/>
            <w:vAlign w:val="center"/>
          </w:tcPr>
          <w:p w14:paraId="2E4CFD9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0.0066</w:t>
            </w:r>
          </w:p>
        </w:tc>
        <w:tc>
          <w:tcPr>
            <w:tcW w:w="537" w:type="pct"/>
            <w:tcBorders>
              <w:tl2br w:val="nil"/>
              <w:tr2bl w:val="nil"/>
            </w:tcBorders>
            <w:noWrap/>
            <w:vAlign w:val="center"/>
          </w:tcPr>
          <w:p w14:paraId="3A702442">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8.33</w:t>
            </w:r>
          </w:p>
        </w:tc>
        <w:tc>
          <w:tcPr>
            <w:tcW w:w="537" w:type="pct"/>
            <w:tcBorders>
              <w:tl2br w:val="nil"/>
              <w:tr2bl w:val="nil"/>
            </w:tcBorders>
            <w:noWrap/>
            <w:vAlign w:val="center"/>
          </w:tcPr>
          <w:p w14:paraId="505EBDF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0.04165</w:t>
            </w:r>
          </w:p>
        </w:tc>
        <w:tc>
          <w:tcPr>
            <w:tcW w:w="653" w:type="pct"/>
            <w:tcBorders>
              <w:tl2br w:val="nil"/>
              <w:tr2bl w:val="nil"/>
            </w:tcBorders>
            <w:noWrap/>
            <w:vAlign w:val="center"/>
          </w:tcPr>
          <w:p w14:paraId="5841BDD9">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11.3</w:t>
            </w:r>
          </w:p>
        </w:tc>
        <w:tc>
          <w:tcPr>
            <w:tcW w:w="625" w:type="pct"/>
            <w:tcBorders>
              <w:tl2br w:val="nil"/>
              <w:tr2bl w:val="nil"/>
            </w:tcBorders>
            <w:noWrap/>
            <w:vAlign w:val="center"/>
          </w:tcPr>
          <w:p w14:paraId="5E94998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0.0565</w:t>
            </w:r>
          </w:p>
        </w:tc>
        <w:tc>
          <w:tcPr>
            <w:tcW w:w="614" w:type="pct"/>
            <w:tcBorders>
              <w:tl2br w:val="nil"/>
              <w:tr2bl w:val="nil"/>
            </w:tcBorders>
            <w:noWrap/>
            <w:vAlign w:val="center"/>
          </w:tcPr>
          <w:p w14:paraId="7A8BCEE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200</w:t>
            </w:r>
          </w:p>
        </w:tc>
      </w:tr>
      <w:tr w14:paraId="16C3E1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377D8F72">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钙</w:t>
            </w:r>
          </w:p>
        </w:tc>
        <w:tc>
          <w:tcPr>
            <w:tcW w:w="580" w:type="pct"/>
            <w:tcBorders>
              <w:tl2br w:val="nil"/>
              <w:tr2bl w:val="nil"/>
            </w:tcBorders>
            <w:noWrap/>
            <w:vAlign w:val="center"/>
          </w:tcPr>
          <w:p w14:paraId="5417605F">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14.0</w:t>
            </w:r>
          </w:p>
        </w:tc>
        <w:tc>
          <w:tcPr>
            <w:tcW w:w="581" w:type="pct"/>
            <w:tcBorders>
              <w:tl2br w:val="nil"/>
              <w:tr2bl w:val="nil"/>
            </w:tcBorders>
            <w:noWrap/>
            <w:vAlign w:val="center"/>
          </w:tcPr>
          <w:p w14:paraId="42F5BC1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30CD60AB">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30.0</w:t>
            </w:r>
          </w:p>
        </w:tc>
        <w:tc>
          <w:tcPr>
            <w:tcW w:w="537" w:type="pct"/>
            <w:tcBorders>
              <w:tl2br w:val="nil"/>
              <w:tr2bl w:val="nil"/>
            </w:tcBorders>
            <w:noWrap/>
            <w:vAlign w:val="center"/>
          </w:tcPr>
          <w:p w14:paraId="3831B23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1F565CDE">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szCs w:val="21"/>
                <w:highlight w:val="none"/>
                <w:u w:val="none" w:color="auto"/>
                <w:lang w:val="en-US" w:eastAsia="zh-CN"/>
              </w:rPr>
              <w:t>34.3</w:t>
            </w:r>
          </w:p>
        </w:tc>
        <w:tc>
          <w:tcPr>
            <w:tcW w:w="625" w:type="pct"/>
            <w:tcBorders>
              <w:tl2br w:val="nil"/>
              <w:tr2bl w:val="nil"/>
            </w:tcBorders>
            <w:noWrap/>
            <w:vAlign w:val="center"/>
          </w:tcPr>
          <w:p w14:paraId="718D60E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39CE28E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06ED92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7206883A">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镁</w:t>
            </w:r>
          </w:p>
        </w:tc>
        <w:tc>
          <w:tcPr>
            <w:tcW w:w="580" w:type="pct"/>
            <w:tcBorders>
              <w:tl2br w:val="nil"/>
              <w:tr2bl w:val="nil"/>
            </w:tcBorders>
            <w:noWrap/>
            <w:vAlign w:val="center"/>
          </w:tcPr>
          <w:p w14:paraId="6A7ED79D">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0.02L</w:t>
            </w:r>
          </w:p>
        </w:tc>
        <w:tc>
          <w:tcPr>
            <w:tcW w:w="581" w:type="pct"/>
            <w:tcBorders>
              <w:tl2br w:val="nil"/>
              <w:tr2bl w:val="nil"/>
            </w:tcBorders>
            <w:noWrap/>
            <w:vAlign w:val="center"/>
          </w:tcPr>
          <w:p w14:paraId="4FE79366">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794C27F2">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1.33</w:t>
            </w:r>
          </w:p>
        </w:tc>
        <w:tc>
          <w:tcPr>
            <w:tcW w:w="537" w:type="pct"/>
            <w:tcBorders>
              <w:tl2br w:val="nil"/>
              <w:tr2bl w:val="nil"/>
            </w:tcBorders>
            <w:noWrap/>
            <w:vAlign w:val="center"/>
          </w:tcPr>
          <w:p w14:paraId="2F8B2DD4">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0C64D784">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szCs w:val="21"/>
                <w:highlight w:val="none"/>
                <w:u w:val="none" w:color="auto"/>
                <w:lang w:val="en-US" w:eastAsia="zh-CN"/>
              </w:rPr>
              <w:t>0.446</w:t>
            </w:r>
          </w:p>
        </w:tc>
        <w:tc>
          <w:tcPr>
            <w:tcW w:w="625" w:type="pct"/>
            <w:tcBorders>
              <w:tl2br w:val="nil"/>
              <w:tr2bl w:val="nil"/>
            </w:tcBorders>
            <w:noWrap/>
            <w:vAlign w:val="center"/>
          </w:tcPr>
          <w:p w14:paraId="3988089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4A904A0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136C84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320B0BB7">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碳酸根</w:t>
            </w:r>
          </w:p>
        </w:tc>
        <w:tc>
          <w:tcPr>
            <w:tcW w:w="580" w:type="pct"/>
            <w:tcBorders>
              <w:tl2br w:val="nil"/>
              <w:tr2bl w:val="nil"/>
            </w:tcBorders>
            <w:noWrap/>
            <w:vAlign w:val="center"/>
          </w:tcPr>
          <w:p w14:paraId="044EEFB8">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5L</w:t>
            </w:r>
          </w:p>
        </w:tc>
        <w:tc>
          <w:tcPr>
            <w:tcW w:w="581" w:type="pct"/>
            <w:tcBorders>
              <w:tl2br w:val="nil"/>
              <w:tr2bl w:val="nil"/>
            </w:tcBorders>
            <w:noWrap/>
            <w:vAlign w:val="center"/>
          </w:tcPr>
          <w:p w14:paraId="425BBDC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0CC27793">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Cs w:val="21"/>
                <w:highlight w:val="none"/>
                <w:u w:val="none" w:color="auto"/>
                <w:lang w:val="en-US" w:eastAsia="zh-CN"/>
              </w:rPr>
              <w:t>5L</w:t>
            </w:r>
          </w:p>
        </w:tc>
        <w:tc>
          <w:tcPr>
            <w:tcW w:w="537" w:type="pct"/>
            <w:tcBorders>
              <w:tl2br w:val="nil"/>
              <w:tr2bl w:val="nil"/>
            </w:tcBorders>
            <w:noWrap/>
            <w:vAlign w:val="center"/>
          </w:tcPr>
          <w:p w14:paraId="36A5088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1388B410">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szCs w:val="21"/>
                <w:highlight w:val="none"/>
                <w:u w:val="none" w:color="auto"/>
                <w:lang w:val="en-US" w:eastAsia="zh-CN"/>
              </w:rPr>
              <w:t>5L</w:t>
            </w:r>
          </w:p>
        </w:tc>
        <w:tc>
          <w:tcPr>
            <w:tcW w:w="625" w:type="pct"/>
            <w:tcBorders>
              <w:tl2br w:val="nil"/>
              <w:tr2bl w:val="nil"/>
            </w:tcBorders>
            <w:noWrap/>
            <w:vAlign w:val="center"/>
          </w:tcPr>
          <w:p w14:paraId="174D821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3A2FB5A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2E2461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60D675F2">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碳酸氢根</w:t>
            </w:r>
          </w:p>
        </w:tc>
        <w:tc>
          <w:tcPr>
            <w:tcW w:w="580" w:type="pct"/>
            <w:tcBorders>
              <w:tl2br w:val="nil"/>
              <w:tr2bl w:val="nil"/>
            </w:tcBorders>
            <w:noWrap/>
            <w:vAlign w:val="center"/>
          </w:tcPr>
          <w:p w14:paraId="6013C84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101</w:t>
            </w:r>
          </w:p>
        </w:tc>
        <w:tc>
          <w:tcPr>
            <w:tcW w:w="581" w:type="pct"/>
            <w:tcBorders>
              <w:tl2br w:val="nil"/>
              <w:tr2bl w:val="nil"/>
            </w:tcBorders>
            <w:noWrap/>
            <w:vAlign w:val="center"/>
          </w:tcPr>
          <w:p w14:paraId="4CDC1ED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06A50E33">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118</w:t>
            </w:r>
          </w:p>
        </w:tc>
        <w:tc>
          <w:tcPr>
            <w:tcW w:w="537" w:type="pct"/>
            <w:tcBorders>
              <w:tl2br w:val="nil"/>
              <w:tr2bl w:val="nil"/>
            </w:tcBorders>
            <w:noWrap/>
            <w:vAlign w:val="center"/>
          </w:tcPr>
          <w:p w14:paraId="5919805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320CA2D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i w:val="0"/>
                <w:iCs w:val="0"/>
                <w:color w:val="auto"/>
                <w:kern w:val="0"/>
                <w:sz w:val="21"/>
                <w:szCs w:val="21"/>
                <w:highlight w:val="none"/>
                <w:u w:val="none" w:color="auto"/>
                <w:lang w:val="en-US" w:eastAsia="zh-CN" w:bidi="ar"/>
              </w:rPr>
              <w:t>96.7</w:t>
            </w:r>
          </w:p>
        </w:tc>
        <w:tc>
          <w:tcPr>
            <w:tcW w:w="625" w:type="pct"/>
            <w:tcBorders>
              <w:tl2br w:val="nil"/>
              <w:tr2bl w:val="nil"/>
            </w:tcBorders>
            <w:noWrap/>
            <w:vAlign w:val="center"/>
          </w:tcPr>
          <w:p w14:paraId="46269AC3">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2B42D04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r w14:paraId="672B94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6557F2FE">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硫酸盐</w:t>
            </w:r>
          </w:p>
        </w:tc>
        <w:tc>
          <w:tcPr>
            <w:tcW w:w="580" w:type="pct"/>
            <w:tcBorders>
              <w:tl2br w:val="nil"/>
              <w:tr2bl w:val="nil"/>
            </w:tcBorders>
            <w:noWrap/>
            <w:vAlign w:val="center"/>
          </w:tcPr>
          <w:p w14:paraId="1FACA8F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0.508</w:t>
            </w:r>
          </w:p>
        </w:tc>
        <w:tc>
          <w:tcPr>
            <w:tcW w:w="581" w:type="pct"/>
            <w:tcBorders>
              <w:tl2br w:val="nil"/>
              <w:tr2bl w:val="nil"/>
            </w:tcBorders>
            <w:noWrap/>
            <w:vAlign w:val="center"/>
          </w:tcPr>
          <w:p w14:paraId="22C8332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0.002032</w:t>
            </w:r>
          </w:p>
        </w:tc>
        <w:tc>
          <w:tcPr>
            <w:tcW w:w="537" w:type="pct"/>
            <w:tcBorders>
              <w:tl2br w:val="nil"/>
              <w:tr2bl w:val="nil"/>
            </w:tcBorders>
            <w:noWrap/>
            <w:vAlign w:val="center"/>
          </w:tcPr>
          <w:p w14:paraId="7111F7F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1.02</w:t>
            </w:r>
          </w:p>
        </w:tc>
        <w:tc>
          <w:tcPr>
            <w:tcW w:w="537" w:type="pct"/>
            <w:tcBorders>
              <w:tl2br w:val="nil"/>
              <w:tr2bl w:val="nil"/>
            </w:tcBorders>
            <w:noWrap/>
            <w:vAlign w:val="center"/>
          </w:tcPr>
          <w:p w14:paraId="113606E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0.00408</w:t>
            </w:r>
          </w:p>
        </w:tc>
        <w:tc>
          <w:tcPr>
            <w:tcW w:w="653" w:type="pct"/>
            <w:tcBorders>
              <w:tl2br w:val="nil"/>
              <w:tr2bl w:val="nil"/>
            </w:tcBorders>
            <w:noWrap/>
            <w:vAlign w:val="center"/>
          </w:tcPr>
          <w:p w14:paraId="75F4790D">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18.6</w:t>
            </w:r>
          </w:p>
        </w:tc>
        <w:tc>
          <w:tcPr>
            <w:tcW w:w="625" w:type="pct"/>
            <w:tcBorders>
              <w:tl2br w:val="nil"/>
              <w:tr2bl w:val="nil"/>
            </w:tcBorders>
            <w:noWrap/>
            <w:vAlign w:val="center"/>
          </w:tcPr>
          <w:p w14:paraId="44866F7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0.0744</w:t>
            </w:r>
          </w:p>
        </w:tc>
        <w:tc>
          <w:tcPr>
            <w:tcW w:w="614" w:type="pct"/>
            <w:tcBorders>
              <w:tl2br w:val="nil"/>
              <w:tr2bl w:val="nil"/>
            </w:tcBorders>
            <w:noWrap/>
            <w:vAlign w:val="center"/>
          </w:tcPr>
          <w:p w14:paraId="6EADF3F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250</w:t>
            </w:r>
          </w:p>
        </w:tc>
      </w:tr>
      <w:tr w14:paraId="2C88D8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PrEx>
        <w:trPr>
          <w:trHeight w:val="369" w:hRule="atLeast"/>
          <w:jc w:val="center"/>
        </w:trPr>
        <w:tc>
          <w:tcPr>
            <w:tcW w:w="870" w:type="pct"/>
            <w:tcBorders>
              <w:tl2br w:val="nil"/>
              <w:tr2bl w:val="nil"/>
            </w:tcBorders>
            <w:noWrap/>
            <w:vAlign w:val="center"/>
          </w:tcPr>
          <w:p w14:paraId="10F3E363">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氯化物</w:t>
            </w:r>
          </w:p>
        </w:tc>
        <w:tc>
          <w:tcPr>
            <w:tcW w:w="580" w:type="pct"/>
            <w:tcBorders>
              <w:tl2br w:val="nil"/>
              <w:tr2bl w:val="nil"/>
            </w:tcBorders>
            <w:noWrap/>
            <w:vAlign w:val="center"/>
          </w:tcPr>
          <w:p w14:paraId="4135246B">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5.12</w:t>
            </w:r>
          </w:p>
        </w:tc>
        <w:tc>
          <w:tcPr>
            <w:tcW w:w="581" w:type="pct"/>
            <w:tcBorders>
              <w:tl2br w:val="nil"/>
              <w:tr2bl w:val="nil"/>
            </w:tcBorders>
            <w:noWrap/>
            <w:vAlign w:val="center"/>
          </w:tcPr>
          <w:p w14:paraId="604B3434">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0.02048</w:t>
            </w:r>
          </w:p>
        </w:tc>
        <w:tc>
          <w:tcPr>
            <w:tcW w:w="537" w:type="pct"/>
            <w:tcBorders>
              <w:tl2br w:val="nil"/>
              <w:tr2bl w:val="nil"/>
            </w:tcBorders>
            <w:noWrap/>
            <w:vAlign w:val="center"/>
          </w:tcPr>
          <w:p w14:paraId="54E450B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10.2</w:t>
            </w:r>
          </w:p>
        </w:tc>
        <w:tc>
          <w:tcPr>
            <w:tcW w:w="537" w:type="pct"/>
            <w:tcBorders>
              <w:tl2br w:val="nil"/>
              <w:tr2bl w:val="nil"/>
            </w:tcBorders>
            <w:noWrap/>
            <w:vAlign w:val="center"/>
          </w:tcPr>
          <w:p w14:paraId="1445A38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0.0408</w:t>
            </w:r>
          </w:p>
        </w:tc>
        <w:tc>
          <w:tcPr>
            <w:tcW w:w="653" w:type="pct"/>
            <w:tcBorders>
              <w:tl2br w:val="nil"/>
              <w:tr2bl w:val="nil"/>
            </w:tcBorders>
            <w:noWrap/>
            <w:vAlign w:val="center"/>
          </w:tcPr>
          <w:p w14:paraId="637A50F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zh-CN"/>
              </w:rPr>
            </w:pPr>
            <w:r>
              <w:rPr>
                <w:rFonts w:hint="eastAsia" w:ascii="Times New Roman" w:hAnsi="Times New Roman" w:eastAsia="宋体" w:cs="Times New Roman"/>
                <w:b w:val="0"/>
                <w:bCs w:val="0"/>
                <w:color w:val="auto"/>
                <w:kern w:val="2"/>
                <w:sz w:val="21"/>
                <w:szCs w:val="21"/>
                <w:highlight w:val="none"/>
                <w:u w:val="none" w:color="auto"/>
                <w:lang w:val="en-US" w:eastAsia="zh-CN" w:bidi="zh-CN"/>
              </w:rPr>
              <w:t>6.02</w:t>
            </w:r>
          </w:p>
        </w:tc>
        <w:tc>
          <w:tcPr>
            <w:tcW w:w="625" w:type="pct"/>
            <w:tcBorders>
              <w:tl2br w:val="nil"/>
              <w:tr2bl w:val="nil"/>
            </w:tcBorders>
            <w:noWrap/>
            <w:vAlign w:val="center"/>
          </w:tcPr>
          <w:p w14:paraId="7561EB70">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en-US" w:eastAsia="zh-CN" w:bidi="zh-CN"/>
              </w:rPr>
            </w:pPr>
            <w:r>
              <w:rPr>
                <w:rFonts w:hint="eastAsia" w:ascii="Times New Roman" w:hAnsi="Times New Roman" w:eastAsia="宋体" w:cs="Times New Roman"/>
                <w:b w:val="0"/>
                <w:bCs w:val="0"/>
                <w:color w:val="auto"/>
                <w:kern w:val="2"/>
                <w:sz w:val="21"/>
                <w:szCs w:val="21"/>
                <w:highlight w:val="none"/>
                <w:u w:val="none" w:color="auto"/>
                <w:lang w:val="en-US" w:eastAsia="zh-CN" w:bidi="zh-CN"/>
              </w:rPr>
              <w:t>0.02408</w:t>
            </w:r>
          </w:p>
        </w:tc>
        <w:tc>
          <w:tcPr>
            <w:tcW w:w="614" w:type="pct"/>
            <w:tcBorders>
              <w:tl2br w:val="nil"/>
              <w:tr2bl w:val="nil"/>
            </w:tcBorders>
            <w:noWrap/>
            <w:vAlign w:val="center"/>
          </w:tcPr>
          <w:p w14:paraId="17C6C45A">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250</w:t>
            </w:r>
          </w:p>
        </w:tc>
      </w:tr>
      <w:tr w14:paraId="13FF79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791CE5DC">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pH值</w:t>
            </w:r>
          </w:p>
        </w:tc>
        <w:tc>
          <w:tcPr>
            <w:tcW w:w="580" w:type="pct"/>
            <w:tcBorders>
              <w:tl2br w:val="nil"/>
              <w:tr2bl w:val="nil"/>
            </w:tcBorders>
            <w:noWrap/>
            <w:vAlign w:val="center"/>
          </w:tcPr>
          <w:p w14:paraId="65A7FB4C">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6.9</w:t>
            </w:r>
          </w:p>
        </w:tc>
        <w:tc>
          <w:tcPr>
            <w:tcW w:w="581" w:type="pct"/>
            <w:tcBorders>
              <w:tl2br w:val="nil"/>
              <w:tr2bl w:val="nil"/>
            </w:tcBorders>
            <w:noWrap/>
            <w:vAlign w:val="center"/>
          </w:tcPr>
          <w:p w14:paraId="23A44282">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537" w:type="pct"/>
            <w:tcBorders>
              <w:tl2br w:val="nil"/>
              <w:tr2bl w:val="nil"/>
            </w:tcBorders>
            <w:noWrap/>
            <w:vAlign w:val="center"/>
          </w:tcPr>
          <w:p w14:paraId="3C8F8AC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6.6</w:t>
            </w:r>
          </w:p>
        </w:tc>
        <w:tc>
          <w:tcPr>
            <w:tcW w:w="537" w:type="pct"/>
            <w:tcBorders>
              <w:tl2br w:val="nil"/>
              <w:tr2bl w:val="nil"/>
            </w:tcBorders>
            <w:noWrap/>
            <w:vAlign w:val="center"/>
          </w:tcPr>
          <w:p w14:paraId="09C7B74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53" w:type="pct"/>
            <w:tcBorders>
              <w:tl2br w:val="nil"/>
              <w:tr2bl w:val="nil"/>
            </w:tcBorders>
            <w:noWrap/>
            <w:vAlign w:val="center"/>
          </w:tcPr>
          <w:p w14:paraId="471A4C0E">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6.</w:t>
            </w:r>
            <w:r>
              <w:rPr>
                <w:rFonts w:hint="eastAsia" w:ascii="Times New Roman" w:hAnsi="Times New Roman" w:eastAsia="宋体" w:cs="Times New Roman"/>
                <w:i w:val="0"/>
                <w:iCs w:val="0"/>
                <w:color w:val="auto"/>
                <w:kern w:val="0"/>
                <w:sz w:val="21"/>
                <w:szCs w:val="21"/>
                <w:highlight w:val="none"/>
                <w:u w:val="none" w:color="auto"/>
                <w:lang w:val="en-US" w:eastAsia="zh-CN" w:bidi="ar"/>
              </w:rPr>
              <w:t>8</w:t>
            </w:r>
          </w:p>
        </w:tc>
        <w:tc>
          <w:tcPr>
            <w:tcW w:w="625" w:type="pct"/>
            <w:tcBorders>
              <w:tl2br w:val="nil"/>
              <w:tr2bl w:val="nil"/>
            </w:tcBorders>
            <w:noWrap/>
            <w:vAlign w:val="center"/>
          </w:tcPr>
          <w:p w14:paraId="3B9DE8A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b w:val="0"/>
                <w:bCs w:val="0"/>
                <w:color w:val="auto"/>
                <w:kern w:val="2"/>
                <w:sz w:val="21"/>
                <w:szCs w:val="21"/>
                <w:highlight w:val="none"/>
                <w:u w:val="none" w:color="auto"/>
                <w:lang w:val="zh-CN" w:eastAsia="zh-CN" w:bidi="zh-CN"/>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c>
          <w:tcPr>
            <w:tcW w:w="614" w:type="pct"/>
            <w:tcBorders>
              <w:tl2br w:val="nil"/>
              <w:tr2bl w:val="nil"/>
            </w:tcBorders>
            <w:noWrap/>
            <w:vAlign w:val="center"/>
          </w:tcPr>
          <w:p w14:paraId="190FEF7F">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6.5-8.5</w:t>
            </w:r>
          </w:p>
        </w:tc>
      </w:tr>
      <w:tr w14:paraId="6DA024F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870" w:type="pct"/>
            <w:tcBorders>
              <w:tl2br w:val="nil"/>
              <w:tr2bl w:val="nil"/>
            </w:tcBorders>
            <w:noWrap/>
            <w:vAlign w:val="center"/>
          </w:tcPr>
          <w:p w14:paraId="14BCF40A">
            <w:pPr>
              <w:keepNext w:val="0"/>
              <w:keepLines w:val="0"/>
              <w:pageBreakBefore w:val="0"/>
              <w:wordWrap/>
              <w:topLinePunct w:val="0"/>
              <w:autoSpaceDE/>
              <w:autoSpaceDN/>
              <w:bidi w:val="0"/>
              <w:spacing w:line="240" w:lineRule="auto"/>
              <w:ind w:firstLine="0" w:firstLineChars="0"/>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Cs w:val="21"/>
                <w:highlight w:val="none"/>
                <w:u w:val="none" w:color="auto"/>
                <w:lang w:val="en-US" w:eastAsia="zh-CN"/>
              </w:rPr>
              <w:t>总硬度</w:t>
            </w:r>
          </w:p>
        </w:tc>
        <w:tc>
          <w:tcPr>
            <w:tcW w:w="580" w:type="pct"/>
            <w:tcBorders>
              <w:tl2br w:val="nil"/>
              <w:tr2bl w:val="nil"/>
            </w:tcBorders>
            <w:noWrap/>
            <w:vAlign w:val="center"/>
          </w:tcPr>
          <w:p w14:paraId="770489C1">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23.5</w:t>
            </w:r>
          </w:p>
        </w:tc>
        <w:tc>
          <w:tcPr>
            <w:tcW w:w="581" w:type="pct"/>
            <w:tcBorders>
              <w:tl2br w:val="nil"/>
              <w:tr2bl w:val="nil"/>
            </w:tcBorders>
            <w:noWrap/>
            <w:vAlign w:val="center"/>
          </w:tcPr>
          <w:p w14:paraId="35DAF19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0.0522</w:t>
            </w:r>
          </w:p>
        </w:tc>
        <w:tc>
          <w:tcPr>
            <w:tcW w:w="537" w:type="pct"/>
            <w:tcBorders>
              <w:tl2br w:val="nil"/>
              <w:tr2bl w:val="nil"/>
            </w:tcBorders>
            <w:noWrap/>
            <w:vAlign w:val="center"/>
          </w:tcPr>
          <w:p w14:paraId="7871DDC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64.7</w:t>
            </w:r>
          </w:p>
        </w:tc>
        <w:tc>
          <w:tcPr>
            <w:tcW w:w="537" w:type="pct"/>
            <w:tcBorders>
              <w:tl2br w:val="nil"/>
              <w:tr2bl w:val="nil"/>
            </w:tcBorders>
            <w:noWrap/>
            <w:vAlign w:val="center"/>
          </w:tcPr>
          <w:p w14:paraId="04398E13">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0.1438</w:t>
            </w:r>
          </w:p>
        </w:tc>
        <w:tc>
          <w:tcPr>
            <w:tcW w:w="653" w:type="pct"/>
            <w:tcBorders>
              <w:tl2br w:val="nil"/>
              <w:tr2bl w:val="nil"/>
            </w:tcBorders>
            <w:noWrap/>
            <w:vAlign w:val="center"/>
          </w:tcPr>
          <w:p w14:paraId="31BCFD69">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59.3</w:t>
            </w:r>
          </w:p>
        </w:tc>
        <w:tc>
          <w:tcPr>
            <w:tcW w:w="625" w:type="pct"/>
            <w:tcBorders>
              <w:tl2br w:val="nil"/>
              <w:tr2bl w:val="nil"/>
            </w:tcBorders>
            <w:noWrap/>
            <w:vAlign w:val="center"/>
          </w:tcPr>
          <w:p w14:paraId="1DEB5FB8">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zh-CN"/>
              </w:rPr>
            </w:pPr>
            <w:r>
              <w:rPr>
                <w:rFonts w:hint="eastAsia" w:ascii="Times New Roman" w:hAnsi="Times New Roman" w:eastAsia="宋体" w:cs="Times New Roman"/>
                <w:color w:val="auto"/>
                <w:kern w:val="2"/>
                <w:sz w:val="21"/>
                <w:szCs w:val="21"/>
                <w:highlight w:val="none"/>
                <w:u w:val="none" w:color="auto"/>
                <w:lang w:val="en-US" w:eastAsia="zh-CN" w:bidi="zh-CN"/>
              </w:rPr>
              <w:t>0.1318</w:t>
            </w:r>
          </w:p>
        </w:tc>
        <w:tc>
          <w:tcPr>
            <w:tcW w:w="614" w:type="pct"/>
            <w:tcBorders>
              <w:tl2br w:val="nil"/>
              <w:tr2bl w:val="nil"/>
            </w:tcBorders>
            <w:noWrap/>
            <w:vAlign w:val="center"/>
          </w:tcPr>
          <w:p w14:paraId="68B145B5">
            <w:pPr>
              <w:keepNext w:val="0"/>
              <w:keepLines w:val="0"/>
              <w:pageBreakBefore w:val="0"/>
              <w:widowControl/>
              <w:suppressLineNumbers w:val="0"/>
              <w:wordWrap/>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i w:val="0"/>
                <w:iCs w:val="0"/>
                <w:color w:val="auto"/>
                <w:kern w:val="0"/>
                <w:sz w:val="21"/>
                <w:szCs w:val="21"/>
                <w:highlight w:val="none"/>
                <w:u w:val="none" w:color="auto"/>
                <w:lang w:val="en-US" w:eastAsia="zh-CN" w:bidi="ar"/>
              </w:rPr>
              <w:t>450</w:t>
            </w:r>
          </w:p>
        </w:tc>
      </w:tr>
    </w:tbl>
    <w:p w14:paraId="1ABDE740">
      <w:pPr>
        <w:pStyle w:val="20"/>
        <w:bidi w:val="0"/>
        <w:rPr>
          <w:rFonts w:hint="default"/>
          <w:color w:val="auto"/>
          <w:u w:val="none" w:color="auto"/>
          <w:lang w:eastAsia="zh-CN"/>
        </w:rPr>
      </w:pPr>
      <w:r>
        <w:rPr>
          <w:rFonts w:hint="default"/>
          <w:color w:val="auto"/>
          <w:u w:val="none" w:color="auto"/>
        </w:rPr>
        <w:t>从</w:t>
      </w:r>
      <w:r>
        <w:rPr>
          <w:rFonts w:hint="default"/>
          <w:color w:val="auto"/>
          <w:u w:val="none" w:color="auto"/>
          <w:lang w:eastAsia="zh-CN"/>
        </w:rPr>
        <w:t>上表</w:t>
      </w:r>
      <w:r>
        <w:rPr>
          <w:rFonts w:hint="default"/>
          <w:color w:val="auto"/>
          <w:u w:val="none" w:color="auto"/>
        </w:rPr>
        <w:t>监测结果可知，项目及评价区域内地下水各监测点的各监测因子均能达到《地下水质量标准》（GB/T14848-93）Ⅲ类水质标准。</w:t>
      </w:r>
      <w:r>
        <w:rPr>
          <w:rFonts w:hint="eastAsia"/>
          <w:color w:val="auto"/>
          <w:u w:val="none" w:color="auto"/>
          <w:lang w:val="en-US" w:eastAsia="zh-CN"/>
        </w:rPr>
        <w:t>项目地下水质量状况良好</w:t>
      </w:r>
      <w:r>
        <w:rPr>
          <w:rFonts w:hint="default"/>
          <w:color w:val="auto"/>
          <w:u w:val="none" w:color="auto"/>
          <w:lang w:eastAsia="zh-CN"/>
        </w:rPr>
        <w:t>。</w:t>
      </w:r>
      <w:bookmarkEnd w:id="859"/>
      <w:bookmarkEnd w:id="860"/>
      <w:bookmarkEnd w:id="861"/>
      <w:bookmarkEnd w:id="862"/>
      <w:bookmarkEnd w:id="863"/>
      <w:bookmarkEnd w:id="864"/>
      <w:bookmarkEnd w:id="865"/>
      <w:bookmarkStart w:id="934" w:name="_Toc14646"/>
      <w:bookmarkStart w:id="935" w:name="_Toc29303"/>
      <w:bookmarkStart w:id="936" w:name="_Toc26231"/>
      <w:bookmarkStart w:id="937" w:name="_Toc23535"/>
      <w:bookmarkStart w:id="938" w:name="_Toc18139"/>
      <w:bookmarkStart w:id="939" w:name="_Toc3956"/>
      <w:bookmarkStart w:id="940" w:name="_Toc24940"/>
      <w:bookmarkStart w:id="941" w:name="_Toc15244"/>
      <w:bookmarkStart w:id="942" w:name="_Toc27959"/>
      <w:bookmarkStart w:id="943" w:name="_Toc13734"/>
      <w:bookmarkStart w:id="944" w:name="_Toc1454"/>
      <w:bookmarkStart w:id="945" w:name="_Toc9053"/>
      <w:bookmarkStart w:id="946" w:name="_Toc1408"/>
      <w:bookmarkStart w:id="947" w:name="_Toc5755"/>
      <w:bookmarkStart w:id="948" w:name="_Toc12882"/>
      <w:bookmarkStart w:id="949" w:name="_Toc10586"/>
    </w:p>
    <w:p w14:paraId="32C0FA47">
      <w:pPr>
        <w:pStyle w:val="4"/>
        <w:bidi w:val="0"/>
        <w:rPr>
          <w:rFonts w:hint="default"/>
          <w:color w:val="auto"/>
          <w:u w:val="none" w:color="auto"/>
        </w:rPr>
      </w:pPr>
      <w:bookmarkStart w:id="950" w:name="_Toc4335"/>
      <w:bookmarkStart w:id="951" w:name="_Toc1434"/>
      <w:bookmarkStart w:id="952" w:name="_Toc29470"/>
      <w:r>
        <w:rPr>
          <w:rFonts w:hint="eastAsia"/>
          <w:color w:val="auto"/>
          <w:u w:val="none" w:color="auto"/>
          <w:lang w:val="en-US" w:eastAsia="zh-CN"/>
        </w:rPr>
        <w:t>5</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rPr>
        <w:t>.4声环境现状监测与评价</w:t>
      </w:r>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14:paraId="6AEFD83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为了解项目所在区域内的声环境质量现状，</w:t>
      </w:r>
      <w:r>
        <w:rPr>
          <w:rFonts w:hint="default" w:ascii="Times New Roman" w:hAnsi="Times New Roman" w:cs="Times New Roman"/>
          <w:color w:val="auto"/>
          <w:u w:val="none" w:color="auto"/>
          <w:lang w:eastAsia="zh-CN"/>
        </w:rPr>
        <w:t>建设单位</w:t>
      </w:r>
      <w:r>
        <w:rPr>
          <w:rFonts w:hint="default" w:ascii="Times New Roman" w:hAnsi="Times New Roman" w:cs="Times New Roman"/>
          <w:color w:val="auto"/>
          <w:u w:val="none" w:color="auto"/>
        </w:rPr>
        <w:t>委托</w:t>
      </w:r>
      <w:r>
        <w:rPr>
          <w:rFonts w:hint="default" w:ascii="Times New Roman" w:hAnsi="Times New Roman" w:cs="Times New Roman"/>
          <w:color w:val="auto"/>
          <w:u w:val="none" w:color="auto"/>
          <w:lang w:eastAsia="zh-CN"/>
        </w:rPr>
        <w:t>湖南</w:t>
      </w:r>
      <w:r>
        <w:rPr>
          <w:rFonts w:hint="eastAsia" w:ascii="Times New Roman" w:hAnsi="Times New Roman" w:cs="Times New Roman"/>
          <w:color w:val="auto"/>
          <w:u w:val="none" w:color="auto"/>
          <w:lang w:val="en-US" w:eastAsia="zh-CN"/>
        </w:rPr>
        <w:t>中青</w:t>
      </w:r>
      <w:r>
        <w:rPr>
          <w:rFonts w:hint="default" w:ascii="Times New Roman" w:hAnsi="Times New Roman" w:cs="Times New Roman"/>
          <w:color w:val="auto"/>
          <w:u w:val="none" w:color="auto"/>
          <w:lang w:eastAsia="zh-CN"/>
        </w:rPr>
        <w:t>检测有限公司</w:t>
      </w:r>
      <w:r>
        <w:rPr>
          <w:rFonts w:hint="default" w:ascii="Times New Roman" w:hAnsi="Times New Roman" w:cs="Times New Roman"/>
          <w:color w:val="auto"/>
          <w:u w:val="none" w:color="auto"/>
        </w:rPr>
        <w:t>于</w:t>
      </w:r>
      <w:r>
        <w:rPr>
          <w:rFonts w:hint="default" w:ascii="Times New Roman" w:hAnsi="Times New Roman" w:cs="Times New Roman"/>
          <w:color w:val="auto"/>
          <w:highlight w:val="none"/>
          <w:u w:val="none" w:color="auto"/>
          <w:lang w:val="en-US" w:eastAsia="zh-CN"/>
        </w:rPr>
        <w:t>202</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年</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24</w:t>
      </w:r>
      <w:r>
        <w:rPr>
          <w:rFonts w:hint="default" w:ascii="Times New Roman" w:hAnsi="Times New Roman" w:cs="Times New Roman"/>
          <w:color w:val="auto"/>
          <w:highlight w:val="none"/>
          <w:u w:val="none" w:color="auto"/>
        </w:rPr>
        <w:t>日~</w:t>
      </w:r>
      <w:r>
        <w:rPr>
          <w:rFonts w:hint="eastAsia" w:ascii="Times New Roman" w:hAnsi="Times New Roman" w:cs="Times New Roman"/>
          <w:color w:val="auto"/>
          <w:highlight w:val="none"/>
          <w:u w:val="none" w:color="auto"/>
          <w:lang w:val="en-US" w:eastAsia="zh-CN"/>
        </w:rPr>
        <w:t>25</w:t>
      </w:r>
      <w:r>
        <w:rPr>
          <w:rFonts w:hint="default" w:ascii="Times New Roman" w:hAnsi="Times New Roman" w:cs="Times New Roman"/>
          <w:color w:val="auto"/>
          <w:highlight w:val="none"/>
          <w:u w:val="none" w:color="auto"/>
        </w:rPr>
        <w:t>日</w:t>
      </w:r>
      <w:r>
        <w:rPr>
          <w:rFonts w:hint="default" w:ascii="Times New Roman" w:hAnsi="Times New Roman" w:cs="Times New Roman"/>
          <w:color w:val="auto"/>
          <w:u w:val="none" w:color="auto"/>
        </w:rPr>
        <w:t>在本项目场址周围外1m处</w:t>
      </w:r>
      <w:r>
        <w:rPr>
          <w:rFonts w:hint="eastAsia" w:ascii="Times New Roman" w:hAnsi="Times New Roman" w:cs="Times New Roman"/>
          <w:color w:val="auto"/>
          <w:u w:val="none" w:color="auto"/>
          <w:lang w:val="en-US" w:eastAsia="zh-CN"/>
        </w:rPr>
        <w:t>以及项目西侧10m处敏感点</w:t>
      </w:r>
      <w:r>
        <w:rPr>
          <w:rFonts w:hint="default" w:ascii="Times New Roman" w:hAnsi="Times New Roman" w:cs="Times New Roman"/>
          <w:color w:val="auto"/>
          <w:u w:val="none" w:color="auto"/>
        </w:rPr>
        <w:t>进行了噪声现场监测。</w:t>
      </w:r>
    </w:p>
    <w:p w14:paraId="7CCE640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（1）监测布点</w:t>
      </w:r>
    </w:p>
    <w:p w14:paraId="69E52E4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本次噪声现状监测共布设</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个监测点，分别位于项目拟建地厂界西、北、东、南外1m处</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项目西侧10m处敏感点</w:t>
      </w:r>
      <w:r>
        <w:rPr>
          <w:rFonts w:hint="default" w:ascii="Times New Roman" w:hAnsi="Times New Roman" w:cs="Times New Roman"/>
          <w:color w:val="auto"/>
          <w:u w:val="none" w:color="auto"/>
        </w:rPr>
        <w:t>。</w:t>
      </w:r>
    </w:p>
    <w:p w14:paraId="04692DF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（2）噪声监测方法</w:t>
      </w:r>
    </w:p>
    <w:p w14:paraId="6F7EB5EF">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测量方法与仪器噪声测量按照《声环境质量标准》（GB3096-2008）中相关要求进行测量，测量仪器为</w:t>
      </w:r>
      <w:r>
        <w:rPr>
          <w:rFonts w:hint="eastAsia" w:ascii="Times New Roman" w:hAnsi="Times New Roman" w:cs="Times New Roman"/>
          <w:color w:val="auto"/>
          <w:u w:val="none" w:color="auto"/>
          <w:lang w:val="en-US" w:eastAsia="zh-CN"/>
        </w:rPr>
        <w:t>AWA5688多功能声级计</w:t>
      </w:r>
      <w:r>
        <w:rPr>
          <w:rFonts w:hint="default" w:ascii="Times New Roman" w:hAnsi="Times New Roman" w:cs="Times New Roman"/>
          <w:color w:val="auto"/>
          <w:u w:val="none" w:color="auto"/>
        </w:rPr>
        <w:t>。测量前后均经校正，前后两次校正灵敏度之差小于0.5dB。</w:t>
      </w:r>
    </w:p>
    <w:p w14:paraId="2B32A7C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（3）监测时间和频次</w:t>
      </w:r>
    </w:p>
    <w:p w14:paraId="61E8ACA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连续监测2天，分昼夜和夜间两个时段，各测一次。</w:t>
      </w:r>
    </w:p>
    <w:p w14:paraId="7B1DFDA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（4）监测结果</w:t>
      </w:r>
    </w:p>
    <w:p w14:paraId="1EFB5CC8">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项目所在区域环境噪声监测结果见表</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9</w:t>
      </w:r>
      <w:r>
        <w:rPr>
          <w:rFonts w:hint="default" w:ascii="Times New Roman" w:hAnsi="Times New Roman" w:cs="Times New Roman"/>
          <w:color w:val="auto"/>
          <w:u w:val="none" w:color="auto"/>
        </w:rPr>
        <w:t>。</w:t>
      </w:r>
    </w:p>
    <w:p w14:paraId="2AC5C694">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5</w:t>
      </w:r>
      <w:r>
        <w:rPr>
          <w:rFonts w:hint="default"/>
          <w:color w:val="auto"/>
          <w:u w:val="none" w:color="auto"/>
          <w:lang w:val="en-US" w:eastAsia="zh-CN"/>
        </w:rPr>
        <w:t>.</w:t>
      </w:r>
      <w:r>
        <w:rPr>
          <w:rFonts w:hint="eastAsia"/>
          <w:color w:val="auto"/>
          <w:u w:val="none" w:color="auto"/>
          <w:lang w:val="en-US" w:eastAsia="zh-CN"/>
        </w:rPr>
        <w:t>3</w:t>
      </w:r>
      <w:r>
        <w:rPr>
          <w:rFonts w:hint="default"/>
          <w:color w:val="auto"/>
          <w:u w:val="none" w:color="auto"/>
        </w:rPr>
        <w:t>-</w:t>
      </w:r>
      <w:r>
        <w:rPr>
          <w:rFonts w:hint="eastAsia"/>
          <w:color w:val="auto"/>
          <w:u w:val="none" w:color="auto"/>
          <w:lang w:val="en-US" w:eastAsia="zh-CN"/>
        </w:rPr>
        <w:t>9</w:t>
      </w:r>
      <w:r>
        <w:rPr>
          <w:rFonts w:hint="default"/>
          <w:color w:val="auto"/>
          <w:u w:val="none" w:color="auto"/>
        </w:rPr>
        <w:t xml:space="preserve"> 项目区域环境噪声监测数据（单位：dB</w:t>
      </w:r>
      <w:r>
        <w:rPr>
          <w:rFonts w:hint="default"/>
          <w:color w:val="auto"/>
          <w:u w:val="none" w:color="auto"/>
          <w:lang w:eastAsia="zh-CN"/>
        </w:rPr>
        <w:t>（</w:t>
      </w:r>
      <w:r>
        <w:rPr>
          <w:rFonts w:hint="default"/>
          <w:color w:val="auto"/>
          <w:u w:val="none" w:color="auto"/>
        </w:rPr>
        <w:t>A</w:t>
      </w:r>
      <w:r>
        <w:rPr>
          <w:rFonts w:hint="default"/>
          <w:color w:val="auto"/>
          <w:u w:val="none" w:color="auto"/>
          <w:lang w:eastAsia="zh-CN"/>
        </w:rPr>
        <w:t>）</w:t>
      </w:r>
      <w:r>
        <w:rPr>
          <w:rFonts w:hint="default"/>
          <w:color w:val="auto"/>
          <w:u w:val="none" w:color="auto"/>
        </w:rPr>
        <w:t>）</w:t>
      </w:r>
      <w:bookmarkStart w:id="953" w:name="_Toc8555"/>
      <w:bookmarkStart w:id="954" w:name="_Toc15134"/>
      <w:bookmarkStart w:id="955" w:name="_Toc23361"/>
      <w:bookmarkStart w:id="956" w:name="_Toc10970"/>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0"/>
        <w:gridCol w:w="1320"/>
        <w:gridCol w:w="997"/>
        <w:gridCol w:w="997"/>
        <w:gridCol w:w="1"/>
        <w:gridCol w:w="996"/>
        <w:gridCol w:w="999"/>
        <w:gridCol w:w="1155"/>
        <w:gridCol w:w="1"/>
        <w:gridCol w:w="3"/>
      </w:tblGrid>
      <w:tr w14:paraId="36FB31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0" w:type="dxa"/>
            <w:vMerge w:val="restart"/>
            <w:tcBorders>
              <w:tl2br w:val="nil"/>
              <w:tr2bl w:val="nil"/>
            </w:tcBorders>
            <w:noWrap w:val="0"/>
            <w:vAlign w:val="center"/>
          </w:tcPr>
          <w:p w14:paraId="263F812B">
            <w:pPr>
              <w:pStyle w:val="24"/>
              <w:bidi w:val="0"/>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采样地点</w:t>
            </w:r>
          </w:p>
        </w:tc>
        <w:tc>
          <w:tcPr>
            <w:tcW w:w="1320" w:type="dxa"/>
            <w:vMerge w:val="restart"/>
            <w:tcBorders>
              <w:tl2br w:val="nil"/>
              <w:tr2bl w:val="nil"/>
            </w:tcBorders>
            <w:noWrap w:val="0"/>
            <w:vAlign w:val="center"/>
          </w:tcPr>
          <w:p w14:paraId="325AE443">
            <w:pPr>
              <w:pStyle w:val="24"/>
              <w:bidi w:val="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检测项目</w:t>
            </w:r>
          </w:p>
        </w:tc>
        <w:tc>
          <w:tcPr>
            <w:tcW w:w="3990" w:type="dxa"/>
            <w:gridSpan w:val="5"/>
            <w:tcBorders>
              <w:tl2br w:val="nil"/>
              <w:tr2bl w:val="nil"/>
            </w:tcBorders>
            <w:noWrap w:val="0"/>
            <w:vAlign w:val="center"/>
          </w:tcPr>
          <w:p w14:paraId="60943711">
            <w:pPr>
              <w:pStyle w:val="24"/>
              <w:bidi w:val="0"/>
              <w:rPr>
                <w:rFonts w:hint="default" w:ascii="Times New Roman" w:hAnsi="Times New Roman" w:cs="Times New Roman"/>
                <w:color w:val="auto"/>
                <w:sz w:val="21"/>
                <w:szCs w:val="21"/>
                <w:highlight w:val="none"/>
                <w:u w:val="none" w:color="auto"/>
              </w:rPr>
            </w:pPr>
            <w:r>
              <w:rPr>
                <w:rFonts w:hint="default" w:ascii="Times New Roman" w:hAnsi="Times New Roman" w:cs="Times New Roman"/>
                <w:color w:val="auto"/>
                <w:sz w:val="21"/>
                <w:szCs w:val="21"/>
                <w:highlight w:val="none"/>
                <w:u w:val="none" w:color="auto"/>
              </w:rPr>
              <w:t>检测结果dB（A）</w:t>
            </w:r>
          </w:p>
        </w:tc>
        <w:tc>
          <w:tcPr>
            <w:tcW w:w="1159" w:type="dxa"/>
            <w:gridSpan w:val="3"/>
            <w:vMerge w:val="restart"/>
            <w:tcBorders>
              <w:tl2br w:val="nil"/>
              <w:tr2bl w:val="nil"/>
            </w:tcBorders>
            <w:noWrap w:val="0"/>
            <w:vAlign w:val="center"/>
          </w:tcPr>
          <w:p w14:paraId="3638C8B8">
            <w:pPr>
              <w:pStyle w:val="24"/>
              <w:bidi w:val="0"/>
              <w:rPr>
                <w:rFonts w:hint="default" w:ascii="Times New Roman" w:hAnsi="Times New Roman" w:cs="Times New Roman"/>
                <w:color w:val="auto"/>
                <w:sz w:val="21"/>
                <w:szCs w:val="21"/>
                <w:highlight w:val="none"/>
                <w:u w:val="none" w:color="auto"/>
              </w:rPr>
            </w:pPr>
            <w:r>
              <w:rPr>
                <w:rFonts w:hint="default" w:ascii="Times New Roman" w:hAnsi="Times New Roman" w:cs="Times New Roman"/>
                <w:bCs/>
                <w:color w:val="auto"/>
                <w:sz w:val="21"/>
                <w:szCs w:val="21"/>
                <w:highlight w:val="none"/>
                <w:u w:val="none" w:color="auto"/>
                <w:lang w:bidi="ar"/>
              </w:rPr>
              <w:t>是否达标</w:t>
            </w:r>
          </w:p>
        </w:tc>
      </w:tr>
      <w:tr w14:paraId="28756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0" w:type="dxa"/>
            <w:vMerge w:val="continue"/>
            <w:tcBorders>
              <w:tl2br w:val="nil"/>
              <w:tr2bl w:val="nil"/>
            </w:tcBorders>
            <w:noWrap w:val="0"/>
            <w:vAlign w:val="center"/>
          </w:tcPr>
          <w:p w14:paraId="70B8FC25">
            <w:pPr>
              <w:pStyle w:val="24"/>
              <w:bidi w:val="0"/>
              <w:rPr>
                <w:rFonts w:hint="default" w:ascii="Times New Roman" w:hAnsi="Times New Roman" w:cs="Times New Roman"/>
                <w:color w:val="auto"/>
                <w:sz w:val="21"/>
                <w:szCs w:val="21"/>
                <w:highlight w:val="none"/>
                <w:u w:val="none" w:color="auto"/>
              </w:rPr>
            </w:pPr>
          </w:p>
        </w:tc>
        <w:tc>
          <w:tcPr>
            <w:tcW w:w="1320" w:type="dxa"/>
            <w:vMerge w:val="continue"/>
            <w:tcBorders>
              <w:tl2br w:val="nil"/>
              <w:tr2bl w:val="nil"/>
            </w:tcBorders>
            <w:noWrap w:val="0"/>
            <w:vAlign w:val="center"/>
          </w:tcPr>
          <w:p w14:paraId="4EE35D76">
            <w:pPr>
              <w:pStyle w:val="24"/>
              <w:bidi w:val="0"/>
              <w:rPr>
                <w:rFonts w:hint="default" w:ascii="Times New Roman" w:hAnsi="Times New Roman" w:cs="Times New Roman"/>
                <w:color w:val="auto"/>
                <w:sz w:val="21"/>
                <w:szCs w:val="21"/>
                <w:highlight w:val="none"/>
                <w:u w:val="none" w:color="auto"/>
              </w:rPr>
            </w:pPr>
          </w:p>
        </w:tc>
        <w:tc>
          <w:tcPr>
            <w:tcW w:w="1995" w:type="dxa"/>
            <w:gridSpan w:val="3"/>
            <w:tcBorders>
              <w:tl2br w:val="nil"/>
              <w:tr2bl w:val="nil"/>
            </w:tcBorders>
            <w:noWrap w:val="0"/>
            <w:vAlign w:val="center"/>
          </w:tcPr>
          <w:p w14:paraId="385128EB">
            <w:pPr>
              <w:pStyle w:val="24"/>
              <w:bidi w:val="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2025-5-24</w:t>
            </w:r>
          </w:p>
        </w:tc>
        <w:tc>
          <w:tcPr>
            <w:tcW w:w="1995" w:type="dxa"/>
            <w:gridSpan w:val="2"/>
            <w:tcBorders>
              <w:tl2br w:val="nil"/>
              <w:tr2bl w:val="nil"/>
            </w:tcBorders>
            <w:noWrap w:val="0"/>
            <w:vAlign w:val="center"/>
          </w:tcPr>
          <w:p w14:paraId="310984D8">
            <w:pPr>
              <w:pStyle w:val="24"/>
              <w:bidi w:val="0"/>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2025-5-25</w:t>
            </w:r>
          </w:p>
        </w:tc>
        <w:tc>
          <w:tcPr>
            <w:tcW w:w="1159" w:type="dxa"/>
            <w:gridSpan w:val="3"/>
            <w:vMerge w:val="continue"/>
            <w:tcBorders>
              <w:tl2br w:val="nil"/>
              <w:tr2bl w:val="nil"/>
            </w:tcBorders>
            <w:noWrap w:val="0"/>
            <w:vAlign w:val="center"/>
          </w:tcPr>
          <w:p w14:paraId="4B4E0045">
            <w:pPr>
              <w:pStyle w:val="24"/>
              <w:bidi w:val="0"/>
              <w:rPr>
                <w:rFonts w:hint="default" w:ascii="Times New Roman" w:hAnsi="Times New Roman" w:cs="Times New Roman"/>
                <w:bCs/>
                <w:color w:val="auto"/>
                <w:sz w:val="21"/>
                <w:szCs w:val="21"/>
                <w:highlight w:val="none"/>
                <w:u w:val="none" w:color="auto"/>
                <w:lang w:bidi="ar"/>
              </w:rPr>
            </w:pPr>
          </w:p>
        </w:tc>
      </w:tr>
      <w:tr w14:paraId="3A8787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vMerge w:val="continue"/>
            <w:tcBorders>
              <w:tl2br w:val="nil"/>
              <w:tr2bl w:val="nil"/>
            </w:tcBorders>
            <w:noWrap w:val="0"/>
            <w:vAlign w:val="center"/>
          </w:tcPr>
          <w:p w14:paraId="4E19A40A">
            <w:pPr>
              <w:pStyle w:val="24"/>
              <w:bidi w:val="0"/>
              <w:rPr>
                <w:rFonts w:hint="default" w:ascii="Times New Roman" w:hAnsi="Times New Roman" w:cs="Times New Roman"/>
                <w:color w:val="auto"/>
                <w:sz w:val="21"/>
                <w:szCs w:val="21"/>
                <w:highlight w:val="none"/>
                <w:u w:val="none" w:color="auto"/>
              </w:rPr>
            </w:pPr>
          </w:p>
        </w:tc>
        <w:tc>
          <w:tcPr>
            <w:tcW w:w="1320" w:type="dxa"/>
            <w:vMerge w:val="continue"/>
            <w:tcBorders>
              <w:tl2br w:val="nil"/>
              <w:tr2bl w:val="nil"/>
            </w:tcBorders>
            <w:noWrap w:val="0"/>
            <w:vAlign w:val="center"/>
          </w:tcPr>
          <w:p w14:paraId="75A51657">
            <w:pPr>
              <w:pStyle w:val="24"/>
              <w:bidi w:val="0"/>
              <w:rPr>
                <w:rFonts w:hint="default" w:ascii="Times New Roman" w:hAnsi="Times New Roman" w:cs="Times New Roman"/>
                <w:color w:val="auto"/>
                <w:sz w:val="21"/>
                <w:szCs w:val="21"/>
                <w:highlight w:val="none"/>
                <w:u w:val="none" w:color="auto"/>
              </w:rPr>
            </w:pPr>
          </w:p>
        </w:tc>
        <w:tc>
          <w:tcPr>
            <w:tcW w:w="997" w:type="dxa"/>
            <w:tcBorders>
              <w:tl2br w:val="nil"/>
              <w:tr2bl w:val="nil"/>
            </w:tcBorders>
            <w:noWrap w:val="0"/>
            <w:vAlign w:val="center"/>
          </w:tcPr>
          <w:p w14:paraId="2FB7AB99">
            <w:pPr>
              <w:pStyle w:val="24"/>
              <w:bidi w:val="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昼间</w:t>
            </w:r>
          </w:p>
        </w:tc>
        <w:tc>
          <w:tcPr>
            <w:tcW w:w="997" w:type="dxa"/>
            <w:tcBorders>
              <w:tl2br w:val="nil"/>
              <w:tr2bl w:val="nil"/>
            </w:tcBorders>
            <w:noWrap w:val="0"/>
            <w:vAlign w:val="center"/>
          </w:tcPr>
          <w:p w14:paraId="29A5D3D5">
            <w:pPr>
              <w:pStyle w:val="24"/>
              <w:bidi w:val="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夜间</w:t>
            </w:r>
          </w:p>
        </w:tc>
        <w:tc>
          <w:tcPr>
            <w:tcW w:w="997" w:type="dxa"/>
            <w:gridSpan w:val="2"/>
            <w:tcBorders>
              <w:tl2br w:val="nil"/>
              <w:tr2bl w:val="nil"/>
            </w:tcBorders>
            <w:noWrap w:val="0"/>
            <w:vAlign w:val="center"/>
          </w:tcPr>
          <w:p w14:paraId="2C1161D3">
            <w:pPr>
              <w:pStyle w:val="24"/>
              <w:bidi w:val="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昼间</w:t>
            </w:r>
          </w:p>
        </w:tc>
        <w:tc>
          <w:tcPr>
            <w:tcW w:w="999" w:type="dxa"/>
            <w:tcBorders>
              <w:tl2br w:val="nil"/>
              <w:tr2bl w:val="nil"/>
            </w:tcBorders>
            <w:noWrap w:val="0"/>
            <w:vAlign w:val="center"/>
          </w:tcPr>
          <w:p w14:paraId="749F82FD">
            <w:pPr>
              <w:pStyle w:val="24"/>
              <w:bidi w:val="0"/>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cs="Times New Roman"/>
                <w:color w:val="auto"/>
                <w:sz w:val="21"/>
                <w:szCs w:val="21"/>
                <w:highlight w:val="none"/>
                <w:u w:val="none" w:color="auto"/>
                <w:lang w:val="en-US" w:eastAsia="zh-CN"/>
              </w:rPr>
              <w:t>夜间</w:t>
            </w:r>
          </w:p>
        </w:tc>
        <w:tc>
          <w:tcPr>
            <w:tcW w:w="1156" w:type="dxa"/>
            <w:gridSpan w:val="2"/>
            <w:vMerge w:val="continue"/>
            <w:tcBorders>
              <w:tl2br w:val="nil"/>
              <w:tr2bl w:val="nil"/>
            </w:tcBorders>
            <w:noWrap w:val="0"/>
            <w:vAlign w:val="center"/>
          </w:tcPr>
          <w:p w14:paraId="5EFFC4C7">
            <w:pPr>
              <w:pStyle w:val="24"/>
              <w:bidi w:val="0"/>
              <w:rPr>
                <w:rFonts w:hint="default" w:ascii="Times New Roman" w:hAnsi="Times New Roman" w:cs="Times New Roman"/>
                <w:color w:val="auto"/>
                <w:sz w:val="21"/>
                <w:szCs w:val="21"/>
                <w:highlight w:val="none"/>
                <w:u w:val="none" w:color="auto"/>
                <w:lang w:val="en-US" w:eastAsia="zh-CN"/>
              </w:rPr>
            </w:pPr>
          </w:p>
        </w:tc>
      </w:tr>
      <w:tr w14:paraId="0B294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3176D3CF">
            <w:pPr>
              <w:jc w:val="center"/>
              <w:rPr>
                <w:rFonts w:hint="default" w:ascii="Times New Roman" w:hAnsi="Times New Roman" w:cs="Times New Roman"/>
                <w:color w:val="auto"/>
                <w:sz w:val="21"/>
                <w:szCs w:val="21"/>
                <w:highlight w:val="none"/>
                <w:u w:val="none" w:color="auto"/>
              </w:rPr>
            </w:pPr>
            <w:r>
              <w:rPr>
                <w:rFonts w:hint="default" w:ascii="Times New Roman" w:hAnsi="Times New Roman" w:eastAsia="宋体" w:cs="Times New Roman"/>
                <w:b w:val="0"/>
                <w:bCs/>
                <w:color w:val="auto"/>
                <w:kern w:val="0"/>
                <w:sz w:val="21"/>
                <w:szCs w:val="21"/>
                <w:highlight w:val="none"/>
                <w:u w:val="none" w:color="auto"/>
                <w:lang w:eastAsia="zh-CN"/>
              </w:rPr>
              <w:t>厂界东侧</w:t>
            </w:r>
          </w:p>
        </w:tc>
        <w:tc>
          <w:tcPr>
            <w:tcW w:w="1320" w:type="dxa"/>
            <w:vMerge w:val="restart"/>
            <w:tcBorders>
              <w:tl2br w:val="nil"/>
              <w:tr2bl w:val="nil"/>
            </w:tcBorders>
            <w:noWrap w:val="0"/>
            <w:vAlign w:val="center"/>
          </w:tcPr>
          <w:p w14:paraId="4055D8B9">
            <w:pPr>
              <w:jc w:val="center"/>
              <w:rPr>
                <w:rFonts w:hint="default" w:ascii="Times New Roman" w:hAnsi="Times New Roman" w:eastAsia="宋体" w:cs="Times New Roman"/>
                <w:b w:val="0"/>
                <w:bCs/>
                <w:color w:val="auto"/>
                <w:kern w:val="0"/>
                <w:sz w:val="21"/>
                <w:szCs w:val="21"/>
                <w:highlight w:val="none"/>
                <w:u w:val="none" w:color="auto"/>
                <w:lang w:val="en-US" w:eastAsia="zh-CN"/>
              </w:rPr>
            </w:pPr>
            <w:r>
              <w:rPr>
                <w:rFonts w:hint="eastAsia" w:ascii="Times New Roman" w:hAnsi="Times New Roman" w:eastAsia="宋体" w:cs="Times New Roman"/>
                <w:b w:val="0"/>
                <w:bCs/>
                <w:color w:val="auto"/>
                <w:kern w:val="0"/>
                <w:sz w:val="21"/>
                <w:szCs w:val="21"/>
                <w:highlight w:val="none"/>
                <w:u w:val="none" w:color="auto"/>
                <w:lang w:val="en-US" w:eastAsia="zh-CN"/>
              </w:rPr>
              <w:t>厂界噪声</w:t>
            </w:r>
          </w:p>
        </w:tc>
        <w:tc>
          <w:tcPr>
            <w:tcW w:w="997" w:type="dxa"/>
            <w:tcBorders>
              <w:tl2br w:val="nil"/>
              <w:tr2bl w:val="nil"/>
            </w:tcBorders>
            <w:noWrap w:val="0"/>
            <w:vAlign w:val="center"/>
          </w:tcPr>
          <w:p w14:paraId="4E5F02E3">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53</w:t>
            </w:r>
          </w:p>
        </w:tc>
        <w:tc>
          <w:tcPr>
            <w:tcW w:w="997" w:type="dxa"/>
            <w:tcBorders>
              <w:tl2br w:val="nil"/>
              <w:tr2bl w:val="nil"/>
            </w:tcBorders>
            <w:noWrap w:val="0"/>
            <w:vAlign w:val="center"/>
          </w:tcPr>
          <w:p w14:paraId="652817EB">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47</w:t>
            </w:r>
          </w:p>
        </w:tc>
        <w:tc>
          <w:tcPr>
            <w:tcW w:w="997" w:type="dxa"/>
            <w:gridSpan w:val="2"/>
            <w:tcBorders>
              <w:tl2br w:val="nil"/>
              <w:tr2bl w:val="nil"/>
            </w:tcBorders>
            <w:noWrap w:val="0"/>
            <w:vAlign w:val="center"/>
          </w:tcPr>
          <w:p w14:paraId="58A61FBB">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54</w:t>
            </w:r>
          </w:p>
        </w:tc>
        <w:tc>
          <w:tcPr>
            <w:tcW w:w="999" w:type="dxa"/>
            <w:tcBorders>
              <w:tl2br w:val="nil"/>
              <w:tr2bl w:val="nil"/>
            </w:tcBorders>
            <w:noWrap w:val="0"/>
            <w:vAlign w:val="center"/>
          </w:tcPr>
          <w:p w14:paraId="06D303F2">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47</w:t>
            </w:r>
          </w:p>
        </w:tc>
        <w:tc>
          <w:tcPr>
            <w:tcW w:w="1156" w:type="dxa"/>
            <w:gridSpan w:val="2"/>
            <w:tcBorders>
              <w:tl2br w:val="nil"/>
              <w:tr2bl w:val="nil"/>
            </w:tcBorders>
            <w:noWrap w:val="0"/>
            <w:vAlign w:val="center"/>
          </w:tcPr>
          <w:p w14:paraId="4F5FB5AA">
            <w:pPr>
              <w:snapToGrid w:val="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bidi="ar"/>
              </w:rPr>
              <w:t>达标</w:t>
            </w:r>
          </w:p>
        </w:tc>
      </w:tr>
      <w:tr w14:paraId="2DF285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48413967">
            <w:pPr>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厂界南侧</w:t>
            </w:r>
          </w:p>
        </w:tc>
        <w:tc>
          <w:tcPr>
            <w:tcW w:w="1320" w:type="dxa"/>
            <w:vMerge w:val="continue"/>
            <w:tcBorders>
              <w:tl2br w:val="nil"/>
              <w:tr2bl w:val="nil"/>
            </w:tcBorders>
            <w:noWrap w:val="0"/>
            <w:vAlign w:val="center"/>
          </w:tcPr>
          <w:p w14:paraId="3D3ECAFA">
            <w:pPr>
              <w:jc w:val="center"/>
              <w:rPr>
                <w:rFonts w:hint="default" w:ascii="Times New Roman" w:hAnsi="Times New Roman" w:eastAsia="宋体" w:cs="Times New Roman"/>
                <w:b w:val="0"/>
                <w:bCs/>
                <w:color w:val="auto"/>
                <w:kern w:val="0"/>
                <w:sz w:val="21"/>
                <w:szCs w:val="21"/>
                <w:highlight w:val="none"/>
                <w:u w:val="none" w:color="auto"/>
                <w:lang w:eastAsia="zh-CN"/>
              </w:rPr>
            </w:pPr>
          </w:p>
        </w:tc>
        <w:tc>
          <w:tcPr>
            <w:tcW w:w="997" w:type="dxa"/>
            <w:tcBorders>
              <w:tl2br w:val="nil"/>
              <w:tr2bl w:val="nil"/>
            </w:tcBorders>
            <w:noWrap w:val="0"/>
            <w:vAlign w:val="center"/>
          </w:tcPr>
          <w:p w14:paraId="6AD93B6E">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52</w:t>
            </w:r>
          </w:p>
        </w:tc>
        <w:tc>
          <w:tcPr>
            <w:tcW w:w="997" w:type="dxa"/>
            <w:tcBorders>
              <w:tl2br w:val="nil"/>
              <w:tr2bl w:val="nil"/>
            </w:tcBorders>
            <w:noWrap w:val="0"/>
            <w:vAlign w:val="center"/>
          </w:tcPr>
          <w:p w14:paraId="0CD8A1ED">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47</w:t>
            </w:r>
          </w:p>
        </w:tc>
        <w:tc>
          <w:tcPr>
            <w:tcW w:w="997" w:type="dxa"/>
            <w:gridSpan w:val="2"/>
            <w:tcBorders>
              <w:tl2br w:val="nil"/>
              <w:tr2bl w:val="nil"/>
            </w:tcBorders>
            <w:noWrap w:val="0"/>
            <w:vAlign w:val="center"/>
          </w:tcPr>
          <w:p w14:paraId="5E94E12C">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58</w:t>
            </w:r>
          </w:p>
        </w:tc>
        <w:tc>
          <w:tcPr>
            <w:tcW w:w="999" w:type="dxa"/>
            <w:tcBorders>
              <w:tl2br w:val="nil"/>
              <w:tr2bl w:val="nil"/>
            </w:tcBorders>
            <w:noWrap w:val="0"/>
            <w:vAlign w:val="center"/>
          </w:tcPr>
          <w:p w14:paraId="051E03F6">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47</w:t>
            </w:r>
          </w:p>
        </w:tc>
        <w:tc>
          <w:tcPr>
            <w:tcW w:w="1156" w:type="dxa"/>
            <w:gridSpan w:val="2"/>
            <w:tcBorders>
              <w:tl2br w:val="nil"/>
              <w:tr2bl w:val="nil"/>
            </w:tcBorders>
            <w:noWrap w:val="0"/>
            <w:vAlign w:val="center"/>
          </w:tcPr>
          <w:p w14:paraId="33C56632">
            <w:pPr>
              <w:snapToGrid w:val="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bidi="ar"/>
              </w:rPr>
              <w:t>达标</w:t>
            </w:r>
          </w:p>
        </w:tc>
      </w:tr>
      <w:tr w14:paraId="53AF8B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0C0F8C84">
            <w:pPr>
              <w:jc w:val="center"/>
              <w:rPr>
                <w:rFonts w:hint="default" w:ascii="Times New Roman" w:hAnsi="Times New Roman" w:eastAsia="宋体" w:cs="Times New Roman"/>
                <w:b w:val="0"/>
                <w:bCs/>
                <w:color w:val="auto"/>
                <w:kern w:val="0"/>
                <w:sz w:val="21"/>
                <w:szCs w:val="21"/>
                <w:highlight w:val="none"/>
                <w:u w:val="none" w:color="auto"/>
                <w:lang w:eastAsia="zh-CN"/>
              </w:rPr>
            </w:pPr>
            <w:r>
              <w:rPr>
                <w:rFonts w:hint="default" w:ascii="Times New Roman" w:hAnsi="Times New Roman" w:eastAsia="宋体" w:cs="Times New Roman"/>
                <w:b w:val="0"/>
                <w:bCs/>
                <w:color w:val="auto"/>
                <w:kern w:val="0"/>
                <w:sz w:val="21"/>
                <w:szCs w:val="21"/>
                <w:highlight w:val="none"/>
                <w:u w:val="none" w:color="auto"/>
                <w:lang w:eastAsia="zh-CN"/>
              </w:rPr>
              <w:t>厂界</w:t>
            </w:r>
            <w:r>
              <w:rPr>
                <w:rFonts w:hint="eastAsia" w:cs="Times New Roman"/>
                <w:b w:val="0"/>
                <w:bCs/>
                <w:color w:val="auto"/>
                <w:kern w:val="0"/>
                <w:sz w:val="21"/>
                <w:szCs w:val="21"/>
                <w:highlight w:val="none"/>
                <w:u w:val="none" w:color="auto"/>
                <w:lang w:val="en-US" w:eastAsia="zh-CN"/>
              </w:rPr>
              <w:t>西</w:t>
            </w:r>
            <w:r>
              <w:rPr>
                <w:rFonts w:hint="default" w:ascii="Times New Roman" w:hAnsi="Times New Roman" w:eastAsia="宋体" w:cs="Times New Roman"/>
                <w:b w:val="0"/>
                <w:bCs/>
                <w:color w:val="auto"/>
                <w:kern w:val="0"/>
                <w:sz w:val="21"/>
                <w:szCs w:val="21"/>
                <w:highlight w:val="none"/>
                <w:u w:val="none" w:color="auto"/>
                <w:lang w:eastAsia="zh-CN"/>
              </w:rPr>
              <w:t>侧</w:t>
            </w:r>
          </w:p>
        </w:tc>
        <w:tc>
          <w:tcPr>
            <w:tcW w:w="1320" w:type="dxa"/>
            <w:vMerge w:val="continue"/>
            <w:tcBorders>
              <w:tl2br w:val="nil"/>
              <w:tr2bl w:val="nil"/>
            </w:tcBorders>
            <w:noWrap w:val="0"/>
            <w:vAlign w:val="center"/>
          </w:tcPr>
          <w:p w14:paraId="724E452B">
            <w:pPr>
              <w:jc w:val="center"/>
              <w:rPr>
                <w:rFonts w:hint="default" w:ascii="Times New Roman" w:hAnsi="Times New Roman" w:eastAsia="宋体" w:cs="Times New Roman"/>
                <w:b w:val="0"/>
                <w:bCs/>
                <w:color w:val="auto"/>
                <w:kern w:val="0"/>
                <w:sz w:val="21"/>
                <w:szCs w:val="21"/>
                <w:highlight w:val="none"/>
                <w:u w:val="none" w:color="auto"/>
                <w:lang w:eastAsia="zh-CN"/>
              </w:rPr>
            </w:pPr>
          </w:p>
        </w:tc>
        <w:tc>
          <w:tcPr>
            <w:tcW w:w="997" w:type="dxa"/>
            <w:tcBorders>
              <w:tl2br w:val="nil"/>
              <w:tr2bl w:val="nil"/>
            </w:tcBorders>
            <w:noWrap w:val="0"/>
            <w:vAlign w:val="center"/>
          </w:tcPr>
          <w:p w14:paraId="4B08FF08">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52</w:t>
            </w:r>
          </w:p>
        </w:tc>
        <w:tc>
          <w:tcPr>
            <w:tcW w:w="997" w:type="dxa"/>
            <w:tcBorders>
              <w:tl2br w:val="nil"/>
              <w:tr2bl w:val="nil"/>
            </w:tcBorders>
            <w:noWrap w:val="0"/>
            <w:vAlign w:val="center"/>
          </w:tcPr>
          <w:p w14:paraId="72234F8D">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50</w:t>
            </w:r>
          </w:p>
        </w:tc>
        <w:tc>
          <w:tcPr>
            <w:tcW w:w="997" w:type="dxa"/>
            <w:gridSpan w:val="2"/>
            <w:tcBorders>
              <w:tl2br w:val="nil"/>
              <w:tr2bl w:val="nil"/>
            </w:tcBorders>
            <w:noWrap w:val="0"/>
            <w:vAlign w:val="center"/>
          </w:tcPr>
          <w:p w14:paraId="7323264C">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55</w:t>
            </w:r>
          </w:p>
        </w:tc>
        <w:tc>
          <w:tcPr>
            <w:tcW w:w="999" w:type="dxa"/>
            <w:tcBorders>
              <w:tl2br w:val="nil"/>
              <w:tr2bl w:val="nil"/>
            </w:tcBorders>
            <w:noWrap w:val="0"/>
            <w:vAlign w:val="center"/>
          </w:tcPr>
          <w:p w14:paraId="52A82271">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47</w:t>
            </w:r>
          </w:p>
        </w:tc>
        <w:tc>
          <w:tcPr>
            <w:tcW w:w="1156" w:type="dxa"/>
            <w:gridSpan w:val="2"/>
            <w:tcBorders>
              <w:tl2br w:val="nil"/>
              <w:tr2bl w:val="nil"/>
            </w:tcBorders>
            <w:noWrap w:val="0"/>
            <w:vAlign w:val="center"/>
          </w:tcPr>
          <w:p w14:paraId="4C313DF9">
            <w:pPr>
              <w:snapToGrid w:val="0"/>
              <w:jc w:val="center"/>
              <w:rPr>
                <w:rFonts w:hint="default" w:ascii="Times New Roman" w:hAnsi="Times New Roman" w:cs="Times New Roman"/>
                <w:color w:val="auto"/>
                <w:sz w:val="21"/>
                <w:szCs w:val="21"/>
                <w:highlight w:val="none"/>
                <w:u w:val="none" w:color="auto"/>
                <w:lang w:bidi="ar"/>
              </w:rPr>
            </w:pPr>
            <w:r>
              <w:rPr>
                <w:rFonts w:hint="default" w:ascii="Times New Roman" w:hAnsi="Times New Roman" w:cs="Times New Roman"/>
                <w:color w:val="auto"/>
                <w:sz w:val="21"/>
                <w:szCs w:val="21"/>
                <w:highlight w:val="none"/>
                <w:u w:val="none" w:color="auto"/>
                <w:lang w:bidi="ar"/>
              </w:rPr>
              <w:t>达标</w:t>
            </w:r>
          </w:p>
        </w:tc>
      </w:tr>
      <w:tr w14:paraId="058E6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4BB4CAB6">
            <w:pPr>
              <w:jc w:val="center"/>
              <w:rPr>
                <w:rFonts w:hint="default" w:ascii="Times New Roman" w:hAnsi="Times New Roman" w:cs="Times New Roman"/>
                <w:color w:val="auto"/>
                <w:sz w:val="21"/>
                <w:szCs w:val="21"/>
                <w:highlight w:val="none"/>
                <w:u w:val="none" w:color="auto"/>
                <w:lang w:eastAsia="zh-CN"/>
              </w:rPr>
            </w:pPr>
            <w:r>
              <w:rPr>
                <w:rFonts w:hint="default" w:ascii="Times New Roman" w:hAnsi="Times New Roman" w:eastAsia="宋体" w:cs="Times New Roman"/>
                <w:b w:val="0"/>
                <w:bCs/>
                <w:color w:val="auto"/>
                <w:kern w:val="0"/>
                <w:sz w:val="21"/>
                <w:szCs w:val="21"/>
                <w:highlight w:val="none"/>
                <w:u w:val="none" w:color="auto"/>
                <w:lang w:eastAsia="zh-CN"/>
              </w:rPr>
              <w:t>厂界</w:t>
            </w:r>
            <w:r>
              <w:rPr>
                <w:rFonts w:hint="eastAsia" w:ascii="Times New Roman" w:hAnsi="Times New Roman" w:eastAsia="宋体" w:cs="Times New Roman"/>
                <w:b w:val="0"/>
                <w:bCs/>
                <w:color w:val="auto"/>
                <w:kern w:val="0"/>
                <w:sz w:val="21"/>
                <w:szCs w:val="21"/>
                <w:highlight w:val="none"/>
                <w:u w:val="none" w:color="auto"/>
                <w:lang w:val="en-US" w:eastAsia="zh-CN"/>
              </w:rPr>
              <w:t>北</w:t>
            </w:r>
            <w:r>
              <w:rPr>
                <w:rFonts w:hint="default" w:ascii="Times New Roman" w:hAnsi="Times New Roman" w:eastAsia="宋体" w:cs="Times New Roman"/>
                <w:b w:val="0"/>
                <w:bCs/>
                <w:color w:val="auto"/>
                <w:kern w:val="0"/>
                <w:sz w:val="21"/>
                <w:szCs w:val="21"/>
                <w:highlight w:val="none"/>
                <w:u w:val="none" w:color="auto"/>
                <w:lang w:eastAsia="zh-CN"/>
              </w:rPr>
              <w:t>侧</w:t>
            </w:r>
          </w:p>
        </w:tc>
        <w:tc>
          <w:tcPr>
            <w:tcW w:w="1320" w:type="dxa"/>
            <w:vMerge w:val="continue"/>
            <w:tcBorders>
              <w:tl2br w:val="nil"/>
              <w:tr2bl w:val="nil"/>
            </w:tcBorders>
            <w:noWrap w:val="0"/>
            <w:vAlign w:val="center"/>
          </w:tcPr>
          <w:p w14:paraId="3DA0D006">
            <w:pPr>
              <w:jc w:val="center"/>
              <w:rPr>
                <w:rFonts w:hint="default" w:ascii="Times New Roman" w:hAnsi="Times New Roman" w:eastAsia="宋体" w:cs="Times New Roman"/>
                <w:b w:val="0"/>
                <w:bCs/>
                <w:color w:val="auto"/>
                <w:kern w:val="0"/>
                <w:sz w:val="21"/>
                <w:szCs w:val="21"/>
                <w:highlight w:val="none"/>
                <w:u w:val="none" w:color="auto"/>
                <w:lang w:eastAsia="zh-CN"/>
              </w:rPr>
            </w:pPr>
          </w:p>
        </w:tc>
        <w:tc>
          <w:tcPr>
            <w:tcW w:w="997" w:type="dxa"/>
            <w:tcBorders>
              <w:tl2br w:val="nil"/>
              <w:tr2bl w:val="nil"/>
            </w:tcBorders>
            <w:noWrap w:val="0"/>
            <w:vAlign w:val="center"/>
          </w:tcPr>
          <w:p w14:paraId="623EDB3B">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53</w:t>
            </w:r>
          </w:p>
        </w:tc>
        <w:tc>
          <w:tcPr>
            <w:tcW w:w="997" w:type="dxa"/>
            <w:tcBorders>
              <w:tl2br w:val="nil"/>
              <w:tr2bl w:val="nil"/>
            </w:tcBorders>
            <w:noWrap w:val="0"/>
            <w:vAlign w:val="center"/>
          </w:tcPr>
          <w:p w14:paraId="189BDF74">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48</w:t>
            </w:r>
          </w:p>
        </w:tc>
        <w:tc>
          <w:tcPr>
            <w:tcW w:w="997" w:type="dxa"/>
            <w:gridSpan w:val="2"/>
            <w:tcBorders>
              <w:tl2br w:val="nil"/>
              <w:tr2bl w:val="nil"/>
            </w:tcBorders>
            <w:noWrap w:val="0"/>
            <w:vAlign w:val="center"/>
          </w:tcPr>
          <w:p w14:paraId="66554537">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57</w:t>
            </w:r>
          </w:p>
        </w:tc>
        <w:tc>
          <w:tcPr>
            <w:tcW w:w="999" w:type="dxa"/>
            <w:tcBorders>
              <w:tl2br w:val="nil"/>
              <w:tr2bl w:val="nil"/>
            </w:tcBorders>
            <w:noWrap w:val="0"/>
            <w:vAlign w:val="center"/>
          </w:tcPr>
          <w:p w14:paraId="477680BB">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46</w:t>
            </w:r>
          </w:p>
        </w:tc>
        <w:tc>
          <w:tcPr>
            <w:tcW w:w="1156" w:type="dxa"/>
            <w:gridSpan w:val="2"/>
            <w:tcBorders>
              <w:tl2br w:val="nil"/>
              <w:tr2bl w:val="nil"/>
            </w:tcBorders>
            <w:noWrap w:val="0"/>
            <w:vAlign w:val="center"/>
          </w:tcPr>
          <w:p w14:paraId="5987FBB2">
            <w:pPr>
              <w:snapToGrid w:val="0"/>
              <w:jc w:val="center"/>
              <w:rPr>
                <w:rFonts w:hint="default" w:ascii="Times New Roman" w:hAnsi="Times New Roman" w:cs="Times New Roman"/>
                <w:color w:val="auto"/>
                <w:sz w:val="21"/>
                <w:szCs w:val="21"/>
                <w:highlight w:val="none"/>
                <w:u w:val="none" w:color="auto"/>
                <w:lang w:val="en-US" w:eastAsia="zh-CN"/>
              </w:rPr>
            </w:pPr>
            <w:r>
              <w:rPr>
                <w:rFonts w:hint="default" w:ascii="Times New Roman" w:hAnsi="Times New Roman" w:cs="Times New Roman"/>
                <w:color w:val="auto"/>
                <w:sz w:val="21"/>
                <w:szCs w:val="21"/>
                <w:highlight w:val="none"/>
                <w:u w:val="none" w:color="auto"/>
                <w:lang w:bidi="ar"/>
              </w:rPr>
              <w:t>达标</w:t>
            </w:r>
          </w:p>
        </w:tc>
      </w:tr>
      <w:tr w14:paraId="3384CE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3350" w:type="dxa"/>
            <w:gridSpan w:val="2"/>
            <w:tcBorders>
              <w:tl2br w:val="nil"/>
              <w:tr2bl w:val="nil"/>
            </w:tcBorders>
            <w:noWrap w:val="0"/>
            <w:vAlign w:val="center"/>
          </w:tcPr>
          <w:p w14:paraId="71EA1B29">
            <w:pPr>
              <w:jc w:val="center"/>
              <w:rPr>
                <w:rFonts w:hint="default" w:ascii="Times New Roman" w:hAnsi="Times New Roman" w:eastAsia="宋体" w:cs="Times New Roman"/>
                <w:b w:val="0"/>
                <w:bCs/>
                <w:color w:val="auto"/>
                <w:kern w:val="0"/>
                <w:sz w:val="21"/>
                <w:szCs w:val="21"/>
                <w:highlight w:val="none"/>
                <w:u w:val="none" w:color="auto"/>
                <w:lang w:val="en-US" w:eastAsia="zh-CN"/>
              </w:rPr>
            </w:pPr>
            <w:r>
              <w:rPr>
                <w:rFonts w:hint="eastAsia" w:ascii="Times New Roman" w:hAnsi="Times New Roman" w:eastAsia="宋体" w:cs="Times New Roman"/>
                <w:b w:val="0"/>
                <w:bCs/>
                <w:color w:val="auto"/>
                <w:kern w:val="0"/>
                <w:sz w:val="21"/>
                <w:szCs w:val="21"/>
                <w:highlight w:val="none"/>
                <w:u w:val="none" w:color="auto"/>
                <w:lang w:val="en-US" w:eastAsia="zh-CN"/>
              </w:rPr>
              <w:t>标准限值</w:t>
            </w:r>
          </w:p>
        </w:tc>
        <w:tc>
          <w:tcPr>
            <w:tcW w:w="997" w:type="dxa"/>
            <w:tcBorders>
              <w:tl2br w:val="nil"/>
              <w:tr2bl w:val="nil"/>
            </w:tcBorders>
            <w:noWrap w:val="0"/>
            <w:vAlign w:val="center"/>
          </w:tcPr>
          <w:p w14:paraId="78FCCC65">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65</w:t>
            </w:r>
          </w:p>
        </w:tc>
        <w:tc>
          <w:tcPr>
            <w:tcW w:w="997" w:type="dxa"/>
            <w:tcBorders>
              <w:tl2br w:val="nil"/>
              <w:tr2bl w:val="nil"/>
            </w:tcBorders>
            <w:noWrap w:val="0"/>
            <w:vAlign w:val="center"/>
          </w:tcPr>
          <w:p w14:paraId="60809299">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55</w:t>
            </w:r>
          </w:p>
        </w:tc>
        <w:tc>
          <w:tcPr>
            <w:tcW w:w="997" w:type="dxa"/>
            <w:gridSpan w:val="2"/>
            <w:tcBorders>
              <w:tl2br w:val="nil"/>
              <w:tr2bl w:val="nil"/>
            </w:tcBorders>
            <w:noWrap w:val="0"/>
            <w:vAlign w:val="center"/>
          </w:tcPr>
          <w:p w14:paraId="1CC87137">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65</w:t>
            </w:r>
          </w:p>
        </w:tc>
        <w:tc>
          <w:tcPr>
            <w:tcW w:w="999" w:type="dxa"/>
            <w:tcBorders>
              <w:tl2br w:val="nil"/>
              <w:tr2bl w:val="nil"/>
            </w:tcBorders>
            <w:noWrap w:val="0"/>
            <w:vAlign w:val="center"/>
          </w:tcPr>
          <w:p w14:paraId="171CAF70">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55</w:t>
            </w:r>
          </w:p>
        </w:tc>
        <w:tc>
          <w:tcPr>
            <w:tcW w:w="1156" w:type="dxa"/>
            <w:gridSpan w:val="2"/>
            <w:tcBorders>
              <w:tl2br w:val="nil"/>
              <w:tr2bl w:val="nil"/>
            </w:tcBorders>
            <w:noWrap w:val="0"/>
            <w:vAlign w:val="center"/>
          </w:tcPr>
          <w:p w14:paraId="49F60E80">
            <w:pPr>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cs="Times New Roman"/>
                <w:color w:val="auto"/>
                <w:sz w:val="21"/>
                <w:szCs w:val="21"/>
                <w:highlight w:val="none"/>
                <w:u w:val="none" w:color="auto"/>
                <w:lang w:val="en-US" w:eastAsia="zh-CN" w:bidi="ar"/>
              </w:rPr>
              <w:t>/</w:t>
            </w:r>
          </w:p>
        </w:tc>
      </w:tr>
      <w:tr w14:paraId="21B37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2030" w:type="dxa"/>
            <w:tcBorders>
              <w:tl2br w:val="nil"/>
              <w:tr2bl w:val="nil"/>
            </w:tcBorders>
            <w:noWrap w:val="0"/>
            <w:vAlign w:val="center"/>
          </w:tcPr>
          <w:p w14:paraId="72AFFC94">
            <w:pPr>
              <w:jc w:val="center"/>
              <w:rPr>
                <w:rFonts w:hint="default" w:ascii="Times New Roman" w:hAnsi="Times New Roman" w:eastAsia="宋体" w:cs="Times New Roman"/>
                <w:b w:val="0"/>
                <w:bCs/>
                <w:color w:val="auto"/>
                <w:kern w:val="0"/>
                <w:sz w:val="21"/>
                <w:szCs w:val="21"/>
                <w:highlight w:val="none"/>
                <w:u w:val="none" w:color="auto"/>
                <w:lang w:val="en-US" w:eastAsia="zh-CN"/>
              </w:rPr>
            </w:pPr>
            <w:r>
              <w:rPr>
                <w:rFonts w:hint="eastAsia" w:cs="Times New Roman"/>
                <w:b w:val="0"/>
                <w:bCs/>
                <w:color w:val="auto"/>
                <w:kern w:val="0"/>
                <w:sz w:val="21"/>
                <w:szCs w:val="21"/>
                <w:highlight w:val="none"/>
                <w:u w:val="none" w:color="auto"/>
                <w:lang w:val="en-US" w:eastAsia="zh-CN"/>
              </w:rPr>
              <w:t>西侧居民点</w:t>
            </w:r>
          </w:p>
        </w:tc>
        <w:tc>
          <w:tcPr>
            <w:tcW w:w="1320" w:type="dxa"/>
            <w:tcBorders>
              <w:tl2br w:val="nil"/>
              <w:tr2bl w:val="nil"/>
            </w:tcBorders>
            <w:noWrap w:val="0"/>
            <w:vAlign w:val="center"/>
          </w:tcPr>
          <w:p w14:paraId="72AA0A47">
            <w:pPr>
              <w:jc w:val="center"/>
              <w:rPr>
                <w:rFonts w:hint="default" w:cs="Times New Roman"/>
                <w:b w:val="0"/>
                <w:bCs/>
                <w:color w:val="auto"/>
                <w:kern w:val="0"/>
                <w:sz w:val="21"/>
                <w:szCs w:val="21"/>
                <w:highlight w:val="none"/>
                <w:u w:val="none" w:color="auto"/>
                <w:lang w:val="en-US" w:eastAsia="zh-CN"/>
              </w:rPr>
            </w:pPr>
            <w:r>
              <w:rPr>
                <w:rFonts w:hint="eastAsia" w:cs="Times New Roman"/>
                <w:b w:val="0"/>
                <w:bCs/>
                <w:color w:val="auto"/>
                <w:kern w:val="0"/>
                <w:sz w:val="21"/>
                <w:szCs w:val="21"/>
                <w:highlight w:val="none"/>
                <w:u w:val="none" w:color="auto"/>
                <w:lang w:val="en-US" w:eastAsia="zh-CN"/>
              </w:rPr>
              <w:t>环境噪声</w:t>
            </w:r>
          </w:p>
        </w:tc>
        <w:tc>
          <w:tcPr>
            <w:tcW w:w="997" w:type="dxa"/>
            <w:tcBorders>
              <w:tl2br w:val="nil"/>
              <w:tr2bl w:val="nil"/>
            </w:tcBorders>
            <w:noWrap w:val="0"/>
            <w:vAlign w:val="center"/>
          </w:tcPr>
          <w:p w14:paraId="6A4C3766">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53</w:t>
            </w:r>
          </w:p>
        </w:tc>
        <w:tc>
          <w:tcPr>
            <w:tcW w:w="997" w:type="dxa"/>
            <w:tcBorders>
              <w:tl2br w:val="nil"/>
              <w:tr2bl w:val="nil"/>
            </w:tcBorders>
            <w:noWrap w:val="0"/>
            <w:vAlign w:val="center"/>
          </w:tcPr>
          <w:p w14:paraId="737F796E">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45</w:t>
            </w:r>
          </w:p>
        </w:tc>
        <w:tc>
          <w:tcPr>
            <w:tcW w:w="997" w:type="dxa"/>
            <w:gridSpan w:val="2"/>
            <w:tcBorders>
              <w:tl2br w:val="nil"/>
              <w:tr2bl w:val="nil"/>
            </w:tcBorders>
            <w:noWrap w:val="0"/>
            <w:vAlign w:val="center"/>
          </w:tcPr>
          <w:p w14:paraId="3248DD5E">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56</w:t>
            </w:r>
          </w:p>
        </w:tc>
        <w:tc>
          <w:tcPr>
            <w:tcW w:w="999" w:type="dxa"/>
            <w:tcBorders>
              <w:tl2br w:val="nil"/>
              <w:tr2bl w:val="nil"/>
            </w:tcBorders>
            <w:noWrap w:val="0"/>
            <w:vAlign w:val="center"/>
          </w:tcPr>
          <w:p w14:paraId="3AF1C31F">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47</w:t>
            </w:r>
          </w:p>
        </w:tc>
        <w:tc>
          <w:tcPr>
            <w:tcW w:w="1156" w:type="dxa"/>
            <w:gridSpan w:val="2"/>
            <w:tcBorders>
              <w:tl2br w:val="nil"/>
              <w:tr2bl w:val="nil"/>
            </w:tcBorders>
            <w:noWrap w:val="0"/>
            <w:vAlign w:val="center"/>
          </w:tcPr>
          <w:p w14:paraId="65F41FAA">
            <w:pPr>
              <w:snapToGrid w:val="0"/>
              <w:jc w:val="center"/>
              <w:rPr>
                <w:rFonts w:hint="default" w:ascii="Times New Roman" w:hAnsi="Times New Roman" w:cs="Times New Roman"/>
                <w:color w:val="auto"/>
                <w:sz w:val="21"/>
                <w:szCs w:val="21"/>
                <w:highlight w:val="none"/>
                <w:u w:val="none" w:color="auto"/>
                <w:lang w:bidi="ar"/>
              </w:rPr>
            </w:pPr>
            <w:r>
              <w:rPr>
                <w:rFonts w:hint="default" w:ascii="Times New Roman" w:hAnsi="Times New Roman" w:cs="Times New Roman"/>
                <w:color w:val="auto"/>
                <w:sz w:val="21"/>
                <w:szCs w:val="21"/>
                <w:highlight w:val="none"/>
                <w:u w:val="none" w:color="auto"/>
                <w:lang w:bidi="ar"/>
              </w:rPr>
              <w:t>达标</w:t>
            </w:r>
          </w:p>
        </w:tc>
      </w:tr>
      <w:tr w14:paraId="1174E2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3" w:type="dxa"/>
          <w:trHeight w:val="340" w:hRule="atLeast"/>
          <w:jc w:val="center"/>
        </w:trPr>
        <w:tc>
          <w:tcPr>
            <w:tcW w:w="3350" w:type="dxa"/>
            <w:gridSpan w:val="2"/>
            <w:tcBorders>
              <w:tl2br w:val="nil"/>
              <w:tr2bl w:val="nil"/>
            </w:tcBorders>
            <w:noWrap w:val="0"/>
            <w:vAlign w:val="center"/>
          </w:tcPr>
          <w:p w14:paraId="36FB2A94">
            <w:pPr>
              <w:jc w:val="center"/>
              <w:rPr>
                <w:rFonts w:hint="eastAsia" w:cs="Times New Roman"/>
                <w:b w:val="0"/>
                <w:bCs/>
                <w:color w:val="auto"/>
                <w:kern w:val="0"/>
                <w:sz w:val="21"/>
                <w:szCs w:val="21"/>
                <w:highlight w:val="none"/>
                <w:u w:val="none" w:color="auto"/>
                <w:lang w:val="en-US" w:eastAsia="zh-CN"/>
              </w:rPr>
            </w:pPr>
            <w:r>
              <w:rPr>
                <w:rFonts w:hint="eastAsia" w:ascii="Times New Roman" w:hAnsi="Times New Roman" w:eastAsia="宋体" w:cs="Times New Roman"/>
                <w:b w:val="0"/>
                <w:bCs/>
                <w:color w:val="auto"/>
                <w:kern w:val="0"/>
                <w:sz w:val="21"/>
                <w:szCs w:val="21"/>
                <w:highlight w:val="none"/>
                <w:u w:val="none" w:color="auto"/>
                <w:lang w:val="en-US" w:eastAsia="zh-CN"/>
              </w:rPr>
              <w:t>标准限值</w:t>
            </w:r>
          </w:p>
        </w:tc>
        <w:tc>
          <w:tcPr>
            <w:tcW w:w="997" w:type="dxa"/>
            <w:tcBorders>
              <w:tl2br w:val="nil"/>
              <w:tr2bl w:val="nil"/>
            </w:tcBorders>
            <w:noWrap w:val="0"/>
            <w:vAlign w:val="center"/>
          </w:tcPr>
          <w:p w14:paraId="2872963A">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60</w:t>
            </w:r>
          </w:p>
        </w:tc>
        <w:tc>
          <w:tcPr>
            <w:tcW w:w="997" w:type="dxa"/>
            <w:tcBorders>
              <w:tl2br w:val="nil"/>
              <w:tr2bl w:val="nil"/>
            </w:tcBorders>
            <w:noWrap w:val="0"/>
            <w:vAlign w:val="center"/>
          </w:tcPr>
          <w:p w14:paraId="408A6BAF">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c>
          <w:tcPr>
            <w:tcW w:w="997" w:type="dxa"/>
            <w:gridSpan w:val="2"/>
            <w:tcBorders>
              <w:tl2br w:val="nil"/>
              <w:tr2bl w:val="nil"/>
            </w:tcBorders>
            <w:noWrap w:val="0"/>
            <w:vAlign w:val="center"/>
          </w:tcPr>
          <w:p w14:paraId="5B4680E4">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60</w:t>
            </w:r>
          </w:p>
        </w:tc>
        <w:tc>
          <w:tcPr>
            <w:tcW w:w="999" w:type="dxa"/>
            <w:tcBorders>
              <w:tl2br w:val="nil"/>
              <w:tr2bl w:val="nil"/>
            </w:tcBorders>
            <w:noWrap w:val="0"/>
            <w:vAlign w:val="center"/>
          </w:tcPr>
          <w:p w14:paraId="4638059B">
            <w:pPr>
              <w:keepNext w:val="0"/>
              <w:keepLines w:val="0"/>
              <w:pageBreakBefore w:val="0"/>
              <w:widowControl/>
              <w:suppressLineNumbers w:val="0"/>
              <w:kinsoku/>
              <w:wordWrap/>
              <w:overflowPunct/>
              <w:topLinePunct w:val="0"/>
              <w:autoSpaceDE/>
              <w:autoSpaceDN/>
              <w:bidi w:val="0"/>
              <w:adjustRightInd/>
              <w:snapToGrid/>
              <w:spacing w:line="0" w:lineRule="atLeast"/>
              <w:ind w:left="0" w:leftChars="0" w:right="0" w:rightChars="0" w:firstLine="0" w:firstLineChars="0"/>
              <w:jc w:val="center"/>
              <w:textAlignment w:val="center"/>
              <w:outlineLvl w:val="9"/>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c>
          <w:tcPr>
            <w:tcW w:w="1156" w:type="dxa"/>
            <w:gridSpan w:val="2"/>
            <w:tcBorders>
              <w:tl2br w:val="nil"/>
              <w:tr2bl w:val="nil"/>
            </w:tcBorders>
            <w:noWrap w:val="0"/>
            <w:vAlign w:val="center"/>
          </w:tcPr>
          <w:p w14:paraId="66F177AE">
            <w:pPr>
              <w:snapToGrid w:val="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ascii="Times New Roman" w:hAnsi="Times New Roman" w:cs="Times New Roman"/>
                <w:color w:val="auto"/>
                <w:sz w:val="21"/>
                <w:szCs w:val="21"/>
                <w:highlight w:val="none"/>
                <w:u w:val="none" w:color="auto"/>
                <w:lang w:val="en-US" w:eastAsia="zh-CN" w:bidi="ar"/>
              </w:rPr>
              <w:t>/</w:t>
            </w:r>
          </w:p>
        </w:tc>
      </w:tr>
      <w:tr w14:paraId="4C00AF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2"/>
          <w:wAfter w:w="4" w:type="dxa"/>
          <w:trHeight w:val="670" w:hRule="atLeast"/>
          <w:jc w:val="center"/>
        </w:trPr>
        <w:tc>
          <w:tcPr>
            <w:tcW w:w="8495" w:type="dxa"/>
            <w:gridSpan w:val="8"/>
            <w:tcBorders>
              <w:tl2br w:val="nil"/>
              <w:tr2bl w:val="nil"/>
            </w:tcBorders>
            <w:noWrap w:val="0"/>
            <w:vAlign w:val="center"/>
          </w:tcPr>
          <w:p w14:paraId="01728F77">
            <w:pPr>
              <w:pStyle w:val="24"/>
              <w:bidi w:val="0"/>
              <w:jc w:val="left"/>
              <w:rPr>
                <w:rFonts w:hint="default" w:ascii="Times New Roman" w:hAnsi="Times New Roman" w:cs="Times New Roman"/>
                <w:color w:val="auto"/>
                <w:sz w:val="21"/>
                <w:szCs w:val="21"/>
                <w:highlight w:val="none"/>
                <w:u w:val="none" w:color="auto"/>
                <w:lang w:bidi="ar"/>
              </w:rPr>
            </w:pPr>
            <w:r>
              <w:rPr>
                <w:rFonts w:hint="default" w:ascii="Times New Roman" w:hAnsi="Times New Roman" w:cs="Times New Roman"/>
                <w:color w:val="auto"/>
                <w:sz w:val="21"/>
                <w:szCs w:val="21"/>
                <w:highlight w:val="none"/>
                <w:u w:val="none" w:color="auto"/>
                <w:lang w:bidi="ar"/>
              </w:rPr>
              <w:t>项目所在区域厂界执行</w:t>
            </w:r>
            <w:r>
              <w:rPr>
                <w:rFonts w:hint="default" w:ascii="Times New Roman" w:hAnsi="Times New Roman" w:cs="Times New Roman"/>
                <w:color w:val="auto"/>
                <w:u w:val="none" w:color="auto"/>
              </w:rPr>
              <w:t>《工业企业厂界环境噪声排放标准》（GB12348-2008）中的</w:t>
            </w:r>
            <w:r>
              <w:rPr>
                <w:rFonts w:hint="eastAsia" w:cs="Times New Roman"/>
                <w:color w:val="auto"/>
                <w:sz w:val="21"/>
                <w:szCs w:val="21"/>
                <w:highlight w:val="none"/>
                <w:u w:val="none" w:color="auto"/>
                <w:lang w:val="en-US" w:eastAsia="zh-CN" w:bidi="ar"/>
              </w:rPr>
              <w:t>3</w:t>
            </w:r>
            <w:r>
              <w:rPr>
                <w:rFonts w:hint="default" w:ascii="Times New Roman" w:hAnsi="Times New Roman" w:cs="Times New Roman"/>
                <w:color w:val="auto"/>
                <w:sz w:val="21"/>
                <w:szCs w:val="21"/>
                <w:highlight w:val="none"/>
                <w:u w:val="none" w:color="auto"/>
                <w:lang w:bidi="ar"/>
              </w:rPr>
              <w:t>类标准</w:t>
            </w:r>
            <w:r>
              <w:rPr>
                <w:rFonts w:hint="eastAsia" w:ascii="Times New Roman" w:hAnsi="Times New Roman" w:cs="Times New Roman"/>
                <w:color w:val="auto"/>
                <w:sz w:val="21"/>
                <w:szCs w:val="21"/>
                <w:highlight w:val="none"/>
                <w:u w:val="none" w:color="auto"/>
                <w:lang w:eastAsia="zh-CN" w:bidi="ar"/>
              </w:rPr>
              <w:t>；</w:t>
            </w:r>
            <w:r>
              <w:rPr>
                <w:rFonts w:hint="eastAsia" w:ascii="Times New Roman" w:hAnsi="Times New Roman" w:cs="Times New Roman"/>
                <w:color w:val="auto"/>
                <w:sz w:val="21"/>
                <w:szCs w:val="21"/>
                <w:highlight w:val="none"/>
                <w:u w:val="none" w:color="auto"/>
                <w:lang w:val="en-US" w:eastAsia="zh-CN" w:bidi="ar"/>
              </w:rPr>
              <w:t>敏感点执行</w:t>
            </w:r>
            <w:r>
              <w:rPr>
                <w:color w:val="auto"/>
                <w:u w:val="none" w:color="auto"/>
              </w:rPr>
              <w:t>《声环境质量标准》（GB3096-2008）表1中</w:t>
            </w:r>
            <w:r>
              <w:rPr>
                <w:rFonts w:hint="eastAsia"/>
                <w:color w:val="auto"/>
                <w:u w:val="none" w:color="auto"/>
                <w:lang w:val="en-US" w:eastAsia="zh-CN"/>
              </w:rPr>
              <w:t>的2类标准。</w:t>
            </w:r>
          </w:p>
        </w:tc>
      </w:tr>
    </w:tbl>
    <w:p w14:paraId="3271213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从噪声现场监测数据与评价标准对比可知：项目所在地</w:t>
      </w:r>
      <w:r>
        <w:rPr>
          <w:rFonts w:hint="eastAsia" w:ascii="Times New Roman" w:hAnsi="Times New Roman" w:cs="Times New Roman"/>
          <w:color w:val="auto"/>
          <w:u w:val="none" w:color="auto"/>
          <w:lang w:val="en-US" w:eastAsia="zh-CN"/>
        </w:rPr>
        <w:t>厂界</w:t>
      </w:r>
      <w:r>
        <w:rPr>
          <w:rFonts w:hint="default" w:ascii="Times New Roman" w:hAnsi="Times New Roman" w:cs="Times New Roman"/>
          <w:color w:val="auto"/>
          <w:u w:val="none" w:color="auto"/>
        </w:rPr>
        <w:t>的声环境</w:t>
      </w:r>
      <w:r>
        <w:rPr>
          <w:rFonts w:hint="eastAsia" w:ascii="Times New Roman" w:hAnsi="Times New Roman" w:cs="Times New Roman"/>
          <w:color w:val="auto"/>
          <w:u w:val="none" w:color="auto"/>
          <w:lang w:val="en-US" w:eastAsia="zh-CN"/>
        </w:rPr>
        <w:t>噪声满足</w:t>
      </w:r>
      <w:r>
        <w:rPr>
          <w:rFonts w:hint="default" w:ascii="Times New Roman" w:hAnsi="Times New Roman" w:cs="Times New Roman"/>
          <w:color w:val="auto"/>
          <w:u w:val="none" w:color="auto"/>
        </w:rPr>
        <w:t>《工业企业厂界环境噪声排放标准》（GB12348-2008）中的3类标准</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西侧敏感点的声环境噪声满足</w:t>
      </w:r>
      <w:r>
        <w:rPr>
          <w:color w:val="auto"/>
          <w:u w:val="none" w:color="auto"/>
        </w:rPr>
        <w:t>《声环境质量标准》（GB3096-2008）表1中</w:t>
      </w:r>
      <w:r>
        <w:rPr>
          <w:rFonts w:hint="eastAsia"/>
          <w:color w:val="auto"/>
          <w:u w:val="none" w:color="auto"/>
          <w:lang w:val="en-US" w:eastAsia="zh-CN"/>
        </w:rPr>
        <w:t>的2类标准</w:t>
      </w:r>
      <w:r>
        <w:rPr>
          <w:rFonts w:hint="default" w:ascii="Times New Roman" w:hAnsi="Times New Roman" w:cs="Times New Roman"/>
          <w:color w:val="auto"/>
          <w:u w:val="none" w:color="auto"/>
        </w:rPr>
        <w:t>。</w:t>
      </w:r>
    </w:p>
    <w:p w14:paraId="2F9C3FC0">
      <w:pPr>
        <w:pStyle w:val="4"/>
        <w:rPr>
          <w:rFonts w:hint="default" w:ascii="Times New Roman" w:hAnsi="Times New Roman" w:cs="Times New Roman"/>
          <w:color w:val="auto"/>
          <w:u w:val="none" w:color="auto"/>
        </w:rPr>
      </w:pPr>
      <w:bookmarkStart w:id="957" w:name="_Toc6165"/>
      <w:bookmarkStart w:id="958" w:name="_Toc19479"/>
      <w:bookmarkStart w:id="959" w:name="_Toc3308"/>
      <w:bookmarkStart w:id="960" w:name="_Toc31901"/>
      <w:bookmarkStart w:id="961" w:name="_Toc5195"/>
      <w:bookmarkStart w:id="962" w:name="_Toc31434"/>
      <w:bookmarkStart w:id="963" w:name="_Toc10941"/>
      <w:bookmarkStart w:id="964" w:name="_Toc27696"/>
      <w:bookmarkStart w:id="965" w:name="_Toc782"/>
      <w:bookmarkStart w:id="966" w:name="_Toc13467"/>
      <w:bookmarkStart w:id="967" w:name="_Toc22047"/>
      <w:bookmarkStart w:id="968" w:name="_Toc29469"/>
      <w:bookmarkStart w:id="969" w:name="_Toc13854"/>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.5土壤环境现状监测与评价</w:t>
      </w:r>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14:paraId="33BC34D9">
      <w:pPr>
        <w:pStyle w:val="20"/>
        <w:ind w:firstLine="480"/>
        <w:rPr>
          <w:rFonts w:hint="eastAsia" w:ascii="Times New Roman" w:hAnsi="Times New Roman" w:eastAsia="宋体" w:cs="Times New Roman"/>
          <w:color w:val="auto"/>
          <w:kern w:val="2"/>
          <w:sz w:val="24"/>
          <w:szCs w:val="24"/>
          <w:u w:val="none" w:color="auto"/>
          <w:lang w:val="en-US" w:eastAsia="zh-CN" w:bidi="ar-SA"/>
        </w:rPr>
      </w:pPr>
      <w:bookmarkStart w:id="970" w:name="_Toc11094"/>
      <w:bookmarkStart w:id="971" w:name="_Toc28931"/>
      <w:r>
        <w:rPr>
          <w:rFonts w:hint="eastAsia" w:ascii="Times New Roman" w:hAnsi="Times New Roman" w:eastAsia="宋体" w:cs="Times New Roman"/>
          <w:color w:val="auto"/>
          <w:kern w:val="2"/>
          <w:sz w:val="24"/>
          <w:szCs w:val="24"/>
          <w:u w:val="none" w:color="auto"/>
          <w:lang w:val="en-US" w:eastAsia="zh-CN" w:bidi="ar-SA"/>
        </w:rPr>
        <w:t>根据《环境影响评价技术导则-土壤环境》(HJ964-2018)中附录A（规范性附录）土壤环境影响评价行业项目类别表，</w:t>
      </w:r>
      <w:r>
        <w:rPr>
          <w:rFonts w:hint="default" w:ascii="Times New Roman" w:hAnsi="Times New Roman" w:eastAsia="宋体" w:cs="Times New Roman"/>
          <w:color w:val="auto"/>
          <w:kern w:val="2"/>
          <w:sz w:val="24"/>
          <w:szCs w:val="24"/>
          <w:u w:val="none" w:color="auto"/>
          <w:lang w:val="en-US" w:eastAsia="zh-CN" w:bidi="ar-SA"/>
        </w:rPr>
        <w:t>可知本项目</w:t>
      </w:r>
      <w:r>
        <w:rPr>
          <w:rFonts w:hint="eastAsia" w:ascii="宋体" w:hAnsi="宋体" w:eastAsia="宋体" w:cs="宋体"/>
          <w:color w:val="auto"/>
          <w:kern w:val="2"/>
          <w:sz w:val="24"/>
          <w:szCs w:val="24"/>
          <w:u w:val="none" w:color="auto"/>
          <w:lang w:val="en-US" w:eastAsia="zh-CN" w:bidi="ar-SA"/>
        </w:rPr>
        <w:t>属于“环境和公共设施管理业”中的“废旧资源加工、再生利用”</w:t>
      </w:r>
      <w:r>
        <w:rPr>
          <w:rFonts w:hint="eastAsia" w:ascii="宋体" w:hAnsi="宋体" w:cs="宋体"/>
          <w:color w:val="auto"/>
          <w:kern w:val="2"/>
          <w:sz w:val="24"/>
          <w:szCs w:val="24"/>
          <w:u w:val="none" w:color="auto"/>
          <w:lang w:val="en-US" w:eastAsia="zh-CN" w:bidi="ar-SA"/>
        </w:rPr>
        <w:t>、</w:t>
      </w:r>
      <w:r>
        <w:rPr>
          <w:rFonts w:hint="eastAsia" w:ascii="Times New Roman" w:hAnsi="Times New Roman" w:eastAsia="宋体" w:cs="Times New Roman"/>
          <w:color w:val="auto"/>
          <w:kern w:val="2"/>
          <w:sz w:val="24"/>
          <w:szCs w:val="24"/>
          <w:u w:val="none" w:color="auto"/>
          <w:lang w:val="en-US" w:eastAsia="zh-CN" w:bidi="ar-SA"/>
        </w:rPr>
        <w:t>“制造业-其他用品制造”中的“其他”</w:t>
      </w:r>
      <w:r>
        <w:rPr>
          <w:rFonts w:hint="default" w:ascii="Times New Roman" w:hAnsi="Times New Roman" w:eastAsia="宋体" w:cs="Times New Roman"/>
          <w:color w:val="auto"/>
          <w:kern w:val="2"/>
          <w:sz w:val="24"/>
          <w:szCs w:val="24"/>
          <w:u w:val="none" w:color="auto"/>
          <w:lang w:val="en-US" w:eastAsia="zh-CN" w:bidi="ar-SA"/>
        </w:rPr>
        <w:t>，类别为Ⅲ类</w:t>
      </w:r>
      <w:r>
        <w:rPr>
          <w:rFonts w:hint="eastAsia" w:ascii="Times New Roman" w:hAnsi="Times New Roman" w:eastAsia="宋体" w:cs="Times New Roman"/>
          <w:color w:val="auto"/>
          <w:kern w:val="2"/>
          <w:sz w:val="24"/>
          <w:szCs w:val="24"/>
          <w:u w:val="none" w:color="auto"/>
          <w:lang w:val="en-US" w:eastAsia="zh-CN" w:bidi="ar-SA"/>
        </w:rPr>
        <w:t>。</w:t>
      </w:r>
    </w:p>
    <w:p w14:paraId="21E9FC51">
      <w:pPr>
        <w:pStyle w:val="20"/>
        <w:ind w:firstLine="480"/>
        <w:rPr>
          <w:rFonts w:hint="eastAsia" w:ascii="Times New Roman" w:hAnsi="Times New Roman" w:eastAsia="宋体" w:cs="Times New Roman"/>
          <w:color w:val="auto"/>
          <w:kern w:val="2"/>
          <w:sz w:val="24"/>
          <w:szCs w:val="24"/>
          <w:u w:val="none" w:color="auto"/>
          <w:lang w:val="en-US" w:eastAsia="zh-CN" w:bidi="ar-SA"/>
        </w:rPr>
      </w:pPr>
      <w:r>
        <w:rPr>
          <w:rFonts w:hint="eastAsia" w:ascii="Times New Roman" w:hAnsi="Times New Roman" w:eastAsia="宋体" w:cs="Times New Roman"/>
          <w:color w:val="auto"/>
          <w:kern w:val="2"/>
          <w:sz w:val="24"/>
          <w:szCs w:val="24"/>
          <w:u w:val="none" w:color="auto"/>
          <w:lang w:val="en-US" w:eastAsia="zh-CN" w:bidi="ar-SA"/>
        </w:rPr>
        <w:t>本项目占地面积约为</w:t>
      </w:r>
      <w:r>
        <w:rPr>
          <w:rFonts w:hint="eastAsia"/>
          <w:b w:val="0"/>
          <w:bCs w:val="0"/>
          <w:color w:val="auto"/>
          <w:u w:val="none" w:color="auto"/>
          <w:lang w:val="en-US" w:eastAsia="zh-CN"/>
        </w:rPr>
        <w:t>37749.6</w:t>
      </w:r>
      <w:r>
        <w:rPr>
          <w:rFonts w:hint="eastAsia" w:ascii="Times New Roman" w:hAnsi="Times New Roman" w:eastAsia="宋体" w:cs="Times New Roman"/>
          <w:color w:val="auto"/>
          <w:kern w:val="2"/>
          <w:sz w:val="24"/>
          <w:szCs w:val="24"/>
          <w:u w:val="none" w:color="auto"/>
          <w:lang w:val="en-US" w:eastAsia="zh-CN" w:bidi="ar-SA"/>
        </w:rPr>
        <w:t>m</w:t>
      </w:r>
      <w:r>
        <w:rPr>
          <w:rFonts w:hint="eastAsia" w:ascii="Times New Roman" w:hAnsi="Times New Roman" w:eastAsia="宋体" w:cs="Times New Roman"/>
          <w:color w:val="auto"/>
          <w:kern w:val="2"/>
          <w:sz w:val="24"/>
          <w:szCs w:val="24"/>
          <w:u w:val="none" w:color="auto"/>
          <w:vertAlign w:val="superscript"/>
          <w:lang w:val="en-US" w:eastAsia="zh-CN" w:bidi="ar-SA"/>
        </w:rPr>
        <w:t>2</w:t>
      </w:r>
      <w:r>
        <w:rPr>
          <w:rFonts w:hint="eastAsia" w:ascii="Times New Roman" w:hAnsi="Times New Roman" w:eastAsia="宋体" w:cs="Times New Roman"/>
          <w:color w:val="auto"/>
          <w:kern w:val="2"/>
          <w:sz w:val="24"/>
          <w:szCs w:val="24"/>
          <w:u w:val="none" w:color="auto"/>
          <w:lang w:val="en-US" w:eastAsia="zh-CN" w:bidi="ar-SA"/>
        </w:rPr>
        <w:t>≤5hm</w:t>
      </w:r>
      <w:r>
        <w:rPr>
          <w:rFonts w:hint="eastAsia" w:ascii="Times New Roman" w:hAnsi="Times New Roman" w:eastAsia="宋体" w:cs="Times New Roman"/>
          <w:color w:val="auto"/>
          <w:kern w:val="2"/>
          <w:sz w:val="24"/>
          <w:szCs w:val="24"/>
          <w:u w:val="none" w:color="auto"/>
          <w:vertAlign w:val="superscript"/>
          <w:lang w:val="en-US" w:eastAsia="zh-CN" w:bidi="ar-SA"/>
        </w:rPr>
        <w:t>2</w:t>
      </w:r>
      <w:r>
        <w:rPr>
          <w:rFonts w:hint="eastAsia" w:ascii="Times New Roman" w:hAnsi="Times New Roman" w:eastAsia="宋体" w:cs="Times New Roman"/>
          <w:color w:val="auto"/>
          <w:kern w:val="2"/>
          <w:sz w:val="24"/>
          <w:szCs w:val="24"/>
          <w:u w:val="none" w:color="auto"/>
          <w:lang w:val="en-US" w:eastAsia="zh-CN" w:bidi="ar-SA"/>
        </w:rPr>
        <w:t>，占地规模属于小型。</w:t>
      </w:r>
    </w:p>
    <w:p w14:paraId="2EB93666">
      <w:pPr>
        <w:pStyle w:val="20"/>
        <w:ind w:firstLine="480"/>
        <w:rPr>
          <w:rFonts w:hint="eastAsia"/>
          <w:color w:val="auto"/>
          <w:u w:val="none" w:color="auto"/>
        </w:rPr>
      </w:pPr>
      <w:r>
        <w:rPr>
          <w:rFonts w:hint="eastAsia"/>
          <w:color w:val="auto"/>
          <w:u w:val="none" w:color="auto"/>
        </w:rPr>
        <w:t>根据现场调查，根据《环境影响评价技术导则-土壤环境》中表3污染影响型敏感程度分级表，敏感程度为不敏感。</w:t>
      </w:r>
    </w:p>
    <w:p w14:paraId="347C4162">
      <w:pPr>
        <w:pStyle w:val="20"/>
        <w:ind w:firstLine="480"/>
        <w:rPr>
          <w:rFonts w:hint="eastAsia" w:eastAsia="宋体" w:cs="Times New Roman"/>
          <w:color w:val="auto"/>
          <w:kern w:val="2"/>
          <w:sz w:val="24"/>
          <w:szCs w:val="24"/>
          <w:u w:val="none" w:color="auto"/>
          <w:lang w:val="en-US" w:eastAsia="zh-CN" w:bidi="ar-SA"/>
        </w:rPr>
      </w:pPr>
      <w:r>
        <w:rPr>
          <w:rFonts w:hint="eastAsia"/>
          <w:color w:val="auto"/>
          <w:u w:val="none" w:color="auto"/>
        </w:rPr>
        <w:t>本项目属于Ⅲ类项目，占地面积为小型，占地类型为不敏感类型，故本项目可以不开展土壤</w:t>
      </w:r>
      <w:r>
        <w:rPr>
          <w:rFonts w:hint="eastAsia"/>
          <w:color w:val="auto"/>
          <w:u w:val="none" w:color="auto"/>
          <w:lang w:val="en-US" w:eastAsia="zh-CN"/>
        </w:rPr>
        <w:t>环境</w:t>
      </w:r>
      <w:r>
        <w:rPr>
          <w:rFonts w:hint="eastAsia"/>
          <w:color w:val="auto"/>
          <w:u w:val="none" w:color="auto"/>
        </w:rPr>
        <w:t>影响评价工作。</w:t>
      </w:r>
    </w:p>
    <w:p w14:paraId="1E22C9A3">
      <w:pPr>
        <w:pStyle w:val="4"/>
        <w:rPr>
          <w:rFonts w:hint="default" w:ascii="Times New Roman" w:hAnsi="Times New Roman" w:cs="Times New Roman"/>
          <w:color w:val="auto"/>
          <w:u w:val="none" w:color="auto"/>
        </w:rPr>
      </w:pPr>
      <w:bookmarkStart w:id="972" w:name="_Toc26234"/>
      <w:bookmarkStart w:id="973" w:name="_Toc23155"/>
      <w:bookmarkStart w:id="974" w:name="_Toc383"/>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w:t>
      </w:r>
      <w:r>
        <w:rPr>
          <w:rFonts w:hint="eastAsia" w:cs="Times New Roman"/>
          <w:color w:val="auto"/>
          <w:u w:val="none" w:color="auto"/>
          <w:lang w:val="en-US" w:eastAsia="zh-CN"/>
        </w:rPr>
        <w:t>6</w:t>
      </w:r>
      <w:r>
        <w:rPr>
          <w:rFonts w:hint="default" w:ascii="Times New Roman" w:hAnsi="Times New Roman" w:cs="Times New Roman"/>
          <w:color w:val="auto"/>
          <w:u w:val="none" w:color="auto"/>
          <w:lang w:val="en-US" w:eastAsia="zh-CN"/>
        </w:rPr>
        <w:t>生态</w:t>
      </w:r>
      <w:r>
        <w:rPr>
          <w:rFonts w:hint="default" w:ascii="Times New Roman" w:hAnsi="Times New Roman" w:cs="Times New Roman"/>
          <w:color w:val="auto"/>
          <w:u w:val="none" w:color="auto"/>
        </w:rPr>
        <w:t>环境现状监测与评价</w:t>
      </w:r>
      <w:bookmarkEnd w:id="970"/>
      <w:bookmarkEnd w:id="971"/>
      <w:bookmarkEnd w:id="972"/>
      <w:bookmarkEnd w:id="973"/>
      <w:bookmarkEnd w:id="974"/>
    </w:p>
    <w:p w14:paraId="5105286F">
      <w:pPr>
        <w:widowControl/>
        <w:spacing w:line="360" w:lineRule="auto"/>
        <w:ind w:firstLine="480" w:firstLineChars="200"/>
        <w:outlineLvl w:val="9"/>
        <w:rPr>
          <w:rFonts w:hint="eastAsia" w:cs="Times New Roman"/>
          <w:color w:val="auto"/>
          <w:sz w:val="24"/>
          <w:szCs w:val="24"/>
          <w:u w:val="none" w:color="auto"/>
          <w:lang w:eastAsia="zh-CN"/>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975" w:name="_Toc11551"/>
      <w:r>
        <w:rPr>
          <w:rFonts w:hint="default" w:ascii="Times New Roman" w:hAnsi="Times New Roman" w:cs="Times New Roman"/>
          <w:color w:val="auto"/>
          <w:sz w:val="24"/>
          <w:szCs w:val="24"/>
          <w:u w:val="none" w:color="auto"/>
          <w:lang w:val="en-US" w:eastAsia="zh-CN"/>
        </w:rPr>
        <w:t>项目位于工业园区，受人类活动影响较大，根据现场调查，项目选址区域已进行开发平整，项目占地范围目前为闲置空地，地表无植被。项目周边除已开发平整的土地外，总体地表植被仍保持良好，作物生长正常，没受到明显的环境污染影响和生态破坏。区域内有麻雀等一般常见的鸟类和青蛙等动物，据调查未发现国家明文规定的珍稀动、植物群种。由于项目占地已进行平整，项目施工期土方工程量较小，水土流失量不大，不会生产明显水土影响，项目对生态环境影响不大</w:t>
      </w:r>
      <w:r>
        <w:rPr>
          <w:rFonts w:hint="eastAsia" w:cs="Times New Roman"/>
          <w:bCs/>
          <w:color w:val="auto"/>
          <w:sz w:val="24"/>
          <w:u w:val="none" w:color="auto"/>
          <w:lang w:val="en-US" w:eastAsia="zh-CN"/>
        </w:rPr>
        <w:t>。</w:t>
      </w:r>
    </w:p>
    <w:p w14:paraId="4D5F01DA">
      <w:pPr>
        <w:pStyle w:val="3"/>
        <w:bidi w:val="0"/>
        <w:rPr>
          <w:rFonts w:hint="eastAsia"/>
          <w:color w:val="auto"/>
          <w:u w:val="none" w:color="auto"/>
          <w:lang w:val="en-US" w:eastAsia="zh-CN"/>
        </w:rPr>
      </w:pPr>
      <w:bookmarkStart w:id="976" w:name="_Toc28746"/>
      <w:r>
        <w:rPr>
          <w:rFonts w:hint="eastAsia"/>
          <w:color w:val="auto"/>
          <w:u w:val="none" w:color="auto"/>
          <w:lang w:val="en-US" w:eastAsia="zh-CN"/>
        </w:rPr>
        <w:t>5.4区域污染源调查</w:t>
      </w:r>
      <w:bookmarkEnd w:id="976"/>
    </w:p>
    <w:p w14:paraId="132F3FFD">
      <w:pPr>
        <w:pStyle w:val="20"/>
        <w:bidi w:val="0"/>
        <w:rPr>
          <w:rFonts w:hint="eastAsia"/>
          <w:color w:val="auto"/>
          <w:u w:val="none" w:color="auto"/>
          <w:lang w:val="en-US" w:eastAsia="zh-CN"/>
        </w:rPr>
      </w:pPr>
      <w:r>
        <w:rPr>
          <w:rFonts w:hint="default"/>
          <w:color w:val="auto"/>
          <w:u w:val="none" w:color="auto"/>
          <w:lang w:val="en-US" w:eastAsia="zh-CN"/>
        </w:rPr>
        <w:t>本项目选址位于</w:t>
      </w:r>
      <w:r>
        <w:rPr>
          <w:rFonts w:hint="eastAsia"/>
          <w:color w:val="auto"/>
          <w:u w:val="none" w:color="auto"/>
          <w:lang w:val="en-US" w:eastAsia="zh-CN"/>
        </w:rPr>
        <w:t>湖南省岳阳市汨罗市汨罗高新技术产业开发区新市片区西片区龙舟路东侧合心路北侧</w:t>
      </w:r>
      <w:r>
        <w:rPr>
          <w:rFonts w:hint="default"/>
          <w:color w:val="auto"/>
          <w:u w:val="none" w:color="auto"/>
          <w:lang w:val="en-US" w:eastAsia="zh-CN"/>
        </w:rPr>
        <w:t>，项目周边主要为工业用地，根据现场调查，汨罗高新技术产业开发区新市片区</w:t>
      </w:r>
      <w:r>
        <w:rPr>
          <w:rFonts w:hint="eastAsia"/>
          <w:color w:val="auto"/>
          <w:u w:val="none" w:color="auto"/>
          <w:lang w:val="en-US" w:eastAsia="zh-CN"/>
        </w:rPr>
        <w:t>西片区</w:t>
      </w:r>
      <w:r>
        <w:rPr>
          <w:rFonts w:hint="default"/>
          <w:color w:val="auto"/>
          <w:u w:val="none" w:color="auto"/>
          <w:lang w:val="en-US" w:eastAsia="zh-CN"/>
        </w:rPr>
        <w:t>现有主要污染源调查情况</w:t>
      </w:r>
      <w:r>
        <w:rPr>
          <w:rFonts w:hint="eastAsia"/>
          <w:color w:val="auto"/>
          <w:u w:val="none" w:color="auto"/>
          <w:lang w:val="en-US" w:eastAsia="zh-CN"/>
        </w:rPr>
        <w:t>如下。</w:t>
      </w:r>
    </w:p>
    <w:p w14:paraId="613A589C">
      <w:pPr>
        <w:pStyle w:val="38"/>
        <w:bidi w:val="0"/>
        <w:rPr>
          <w:rFonts w:hint="eastAsia"/>
          <w:color w:val="auto"/>
          <w:u w:val="none" w:color="auto"/>
          <w:lang w:val="en-US" w:eastAsia="zh-CN"/>
        </w:rPr>
      </w:pPr>
      <w:r>
        <w:rPr>
          <w:rFonts w:hint="eastAsia"/>
          <w:color w:val="auto"/>
          <w:u w:val="none" w:color="auto"/>
          <w:lang w:val="en-US" w:eastAsia="zh-CN"/>
        </w:rPr>
        <w:t>表5.4-1 汨罗高新技术产业开发区新市片区西片区现有企业基本情况表</w:t>
      </w:r>
    </w:p>
    <w:tbl>
      <w:tblPr>
        <w:tblStyle w:val="33"/>
        <w:tblW w:w="5000" w:type="pct"/>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498"/>
        <w:gridCol w:w="3409"/>
        <w:gridCol w:w="4386"/>
        <w:gridCol w:w="2724"/>
        <w:gridCol w:w="2321"/>
        <w:gridCol w:w="650"/>
      </w:tblGrid>
      <w:tr w14:paraId="4E7960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645FB5E8">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1218" w:type="pct"/>
            <w:tcBorders>
              <w:tl2br w:val="nil"/>
              <w:tr2bl w:val="nil"/>
            </w:tcBorders>
            <w:noWrap w:val="0"/>
            <w:vAlign w:val="center"/>
          </w:tcPr>
          <w:p w14:paraId="361B021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企业名称</w:t>
            </w:r>
          </w:p>
        </w:tc>
        <w:tc>
          <w:tcPr>
            <w:tcW w:w="1567" w:type="pct"/>
            <w:tcBorders>
              <w:tl2br w:val="nil"/>
              <w:tr2bl w:val="nil"/>
            </w:tcBorders>
            <w:noWrap w:val="0"/>
            <w:vAlign w:val="center"/>
          </w:tcPr>
          <w:p w14:paraId="189530C5">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产品及规模</w:t>
            </w:r>
          </w:p>
        </w:tc>
        <w:tc>
          <w:tcPr>
            <w:tcW w:w="973" w:type="pct"/>
            <w:tcBorders>
              <w:tl2br w:val="nil"/>
              <w:tr2bl w:val="nil"/>
            </w:tcBorders>
            <w:noWrap w:val="0"/>
            <w:vAlign w:val="center"/>
          </w:tcPr>
          <w:p w14:paraId="3012767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环评情况</w:t>
            </w:r>
          </w:p>
        </w:tc>
        <w:tc>
          <w:tcPr>
            <w:tcW w:w="829" w:type="pct"/>
            <w:tcBorders>
              <w:tl2br w:val="nil"/>
              <w:tr2bl w:val="nil"/>
            </w:tcBorders>
            <w:noWrap w:val="0"/>
            <w:vAlign w:val="center"/>
          </w:tcPr>
          <w:p w14:paraId="3A84D488">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验收情况</w:t>
            </w:r>
          </w:p>
        </w:tc>
        <w:tc>
          <w:tcPr>
            <w:tcW w:w="232" w:type="pct"/>
            <w:tcBorders>
              <w:tl2br w:val="nil"/>
              <w:tr2bl w:val="nil"/>
            </w:tcBorders>
            <w:noWrap w:val="0"/>
            <w:vAlign w:val="center"/>
          </w:tcPr>
          <w:p w14:paraId="5E54BE9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备注</w:t>
            </w:r>
          </w:p>
        </w:tc>
      </w:tr>
      <w:tr w14:paraId="620B98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78CAAE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1218" w:type="pct"/>
            <w:tcBorders>
              <w:tl2br w:val="nil"/>
              <w:tr2bl w:val="nil"/>
            </w:tcBorders>
            <w:noWrap w:val="0"/>
            <w:vAlign w:val="center"/>
          </w:tcPr>
          <w:p w14:paraId="5D6E032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湖南龙智新材料科技有限公司</w:t>
            </w:r>
          </w:p>
        </w:tc>
        <w:tc>
          <w:tcPr>
            <w:tcW w:w="1567" w:type="pct"/>
            <w:tcBorders>
              <w:tl2br w:val="nil"/>
              <w:tr2bl w:val="nil"/>
            </w:tcBorders>
            <w:noWrap w:val="0"/>
            <w:vAlign w:val="center"/>
          </w:tcPr>
          <w:p w14:paraId="7473559E">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电子电路铜箔 17000t/a</w:t>
            </w:r>
          </w:p>
        </w:tc>
        <w:tc>
          <w:tcPr>
            <w:tcW w:w="973" w:type="pct"/>
            <w:tcBorders>
              <w:tl2br w:val="nil"/>
              <w:tr2bl w:val="nil"/>
            </w:tcBorders>
            <w:noWrap w:val="0"/>
            <w:vAlign w:val="center"/>
          </w:tcPr>
          <w:p w14:paraId="740924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岳环评[2018]113号、岳汨环评[2021]008号</w:t>
            </w:r>
          </w:p>
        </w:tc>
        <w:tc>
          <w:tcPr>
            <w:tcW w:w="829" w:type="pct"/>
            <w:tcBorders>
              <w:tl2br w:val="nil"/>
              <w:tr2bl w:val="nil"/>
            </w:tcBorders>
            <w:noWrap w:val="0"/>
            <w:vAlign w:val="center"/>
          </w:tcPr>
          <w:p w14:paraId="26E90F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2021.1一期阶段性（7000吨电子电路铜箔生产线）自主验收。2024.1自主验收（10000吨铜箔）二期。</w:t>
            </w:r>
          </w:p>
        </w:tc>
        <w:tc>
          <w:tcPr>
            <w:tcW w:w="232" w:type="pct"/>
            <w:tcBorders>
              <w:tl2br w:val="nil"/>
              <w:tr2bl w:val="nil"/>
            </w:tcBorders>
            <w:noWrap w:val="0"/>
            <w:vAlign w:val="center"/>
          </w:tcPr>
          <w:p w14:paraId="6A12DF2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436FAE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7C57DAF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1218" w:type="pct"/>
            <w:tcBorders>
              <w:tl2br w:val="nil"/>
              <w:tr2bl w:val="nil"/>
            </w:tcBorders>
            <w:noWrap w:val="0"/>
            <w:vAlign w:val="center"/>
          </w:tcPr>
          <w:p w14:paraId="7A1C2FF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湖南天惠新材料科技有限公司</w:t>
            </w:r>
          </w:p>
        </w:tc>
        <w:tc>
          <w:tcPr>
            <w:tcW w:w="1567" w:type="pct"/>
            <w:tcBorders>
              <w:tl2br w:val="nil"/>
              <w:tr2bl w:val="nil"/>
            </w:tcBorders>
            <w:noWrap w:val="0"/>
            <w:vAlign w:val="center"/>
          </w:tcPr>
          <w:p w14:paraId="3BB0C9C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铜排24800t/a，铜杆10000t/a，铜棒3000t/a，铜锭18000t/a，紫铜板2000t/a，铜管2000t/a，镀锡铜排200t/a，铝材30000t/a</w:t>
            </w:r>
          </w:p>
        </w:tc>
        <w:tc>
          <w:tcPr>
            <w:tcW w:w="973" w:type="pct"/>
            <w:tcBorders>
              <w:tl2br w:val="nil"/>
              <w:tr2bl w:val="nil"/>
            </w:tcBorders>
            <w:noWrap w:val="0"/>
            <w:vAlign w:val="center"/>
          </w:tcPr>
          <w:p w14:paraId="70EDD9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 [2018] 22号、岳环评函（2019）33号、岳汩环评[2022]053号</w:t>
            </w:r>
          </w:p>
        </w:tc>
        <w:tc>
          <w:tcPr>
            <w:tcW w:w="829" w:type="pct"/>
            <w:tcBorders>
              <w:tl2br w:val="nil"/>
              <w:tr2bl w:val="nil"/>
            </w:tcBorders>
            <w:noWrap w:val="0"/>
            <w:vAlign w:val="center"/>
          </w:tcPr>
          <w:p w14:paraId="60500C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0550984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17E600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5D2760D5">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w:t>
            </w:r>
          </w:p>
        </w:tc>
        <w:tc>
          <w:tcPr>
            <w:tcW w:w="1218" w:type="pct"/>
            <w:tcBorders>
              <w:tl2br w:val="nil"/>
              <w:tr2bl w:val="nil"/>
            </w:tcBorders>
            <w:noWrap w:val="0"/>
            <w:vAlign w:val="center"/>
          </w:tcPr>
          <w:p w14:paraId="68A5E66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湖南宏拓铝业有限公司</w:t>
            </w:r>
          </w:p>
        </w:tc>
        <w:tc>
          <w:tcPr>
            <w:tcW w:w="1567" w:type="pct"/>
            <w:tcBorders>
              <w:tl2br w:val="nil"/>
              <w:tr2bl w:val="nil"/>
            </w:tcBorders>
            <w:noWrap w:val="0"/>
            <w:vAlign w:val="center"/>
          </w:tcPr>
          <w:p w14:paraId="31A9141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再生铝锭10万吨/a</w:t>
            </w:r>
          </w:p>
        </w:tc>
        <w:tc>
          <w:tcPr>
            <w:tcW w:w="973" w:type="pct"/>
            <w:tcBorders>
              <w:tl2br w:val="nil"/>
              <w:tr2bl w:val="nil"/>
            </w:tcBorders>
            <w:noWrap w:val="0"/>
            <w:vAlign w:val="center"/>
          </w:tcPr>
          <w:p w14:paraId="7005E8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岳环评批[2013]13号、岳环评[2016]88号</w:t>
            </w:r>
          </w:p>
        </w:tc>
        <w:tc>
          <w:tcPr>
            <w:tcW w:w="829" w:type="pct"/>
            <w:tcBorders>
              <w:tl2br w:val="nil"/>
              <w:tr2bl w:val="nil"/>
            </w:tcBorders>
            <w:noWrap w:val="0"/>
            <w:vAlign w:val="center"/>
          </w:tcPr>
          <w:p w14:paraId="79713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岳环评验[2011]19号、岳环评验[2017]85号（5万吨）、2020年自主验收（5万吨）。</w:t>
            </w:r>
          </w:p>
        </w:tc>
        <w:tc>
          <w:tcPr>
            <w:tcW w:w="232" w:type="pct"/>
            <w:tcBorders>
              <w:tl2br w:val="nil"/>
              <w:tr2bl w:val="nil"/>
            </w:tcBorders>
            <w:noWrap w:val="0"/>
            <w:vAlign w:val="center"/>
          </w:tcPr>
          <w:p w14:paraId="4EAB1C0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077F1A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403C08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w:t>
            </w:r>
          </w:p>
        </w:tc>
        <w:tc>
          <w:tcPr>
            <w:tcW w:w="1218" w:type="pct"/>
            <w:tcBorders>
              <w:tl2br w:val="nil"/>
              <w:tr2bl w:val="nil"/>
            </w:tcBorders>
            <w:noWrap w:val="0"/>
            <w:vAlign w:val="center"/>
          </w:tcPr>
          <w:p w14:paraId="54116F2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汨罗市联创铝业科技有限公司</w:t>
            </w:r>
          </w:p>
        </w:tc>
        <w:tc>
          <w:tcPr>
            <w:tcW w:w="1567" w:type="pct"/>
            <w:tcBorders>
              <w:tl2br w:val="nil"/>
              <w:tr2bl w:val="nil"/>
            </w:tcBorders>
            <w:noWrap w:val="0"/>
            <w:vAlign w:val="center"/>
          </w:tcPr>
          <w:p w14:paraId="1F03651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再生铝锭10万吨/a</w:t>
            </w:r>
          </w:p>
        </w:tc>
        <w:tc>
          <w:tcPr>
            <w:tcW w:w="973" w:type="pct"/>
            <w:tcBorders>
              <w:tl2br w:val="nil"/>
              <w:tr2bl w:val="nil"/>
            </w:tcBorders>
            <w:noWrap w:val="0"/>
            <w:vAlign w:val="center"/>
          </w:tcPr>
          <w:p w14:paraId="4DD961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岳环评批[2012]042号、岳环评[2020]10号</w:t>
            </w:r>
          </w:p>
        </w:tc>
        <w:tc>
          <w:tcPr>
            <w:tcW w:w="829" w:type="pct"/>
            <w:tcBorders>
              <w:tl2br w:val="nil"/>
              <w:tr2bl w:val="nil"/>
            </w:tcBorders>
            <w:noWrap w:val="0"/>
            <w:vAlign w:val="center"/>
          </w:tcPr>
          <w:p w14:paraId="18E103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岳环评验[2013]18号、</w:t>
            </w:r>
            <w:r>
              <w:rPr>
                <w:rFonts w:hint="default" w:ascii="Times New Roman" w:hAnsi="Times New Roman" w:eastAsia="宋体" w:cs="Times New Roman"/>
                <w:b w:val="0"/>
                <w:bCs/>
                <w:i w:val="0"/>
                <w:snapToGrid w:val="0"/>
                <w:color w:val="auto"/>
                <w:kern w:val="0"/>
                <w:sz w:val="21"/>
                <w:szCs w:val="21"/>
                <w:u w:val="none" w:color="auto"/>
                <w:lang w:val="en-US" w:eastAsia="zh-CN" w:bidi="ar"/>
              </w:rPr>
              <w:br w:type="textWrapping"/>
            </w: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09AEA8B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4029FB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0A0F1E5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w:t>
            </w:r>
          </w:p>
        </w:tc>
        <w:tc>
          <w:tcPr>
            <w:tcW w:w="1218" w:type="pct"/>
            <w:tcBorders>
              <w:tl2br w:val="nil"/>
              <w:tr2bl w:val="nil"/>
            </w:tcBorders>
            <w:noWrap w:val="0"/>
            <w:vAlign w:val="center"/>
          </w:tcPr>
          <w:p w14:paraId="0FFB639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湖南森科有色金属有限公司</w:t>
            </w:r>
          </w:p>
        </w:tc>
        <w:tc>
          <w:tcPr>
            <w:tcW w:w="1567" w:type="pct"/>
            <w:tcBorders>
              <w:tl2br w:val="nil"/>
              <w:tr2bl w:val="nil"/>
            </w:tcBorders>
            <w:noWrap w:val="0"/>
            <w:vAlign w:val="center"/>
          </w:tcPr>
          <w:p w14:paraId="465FC98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再生铝锭7万吨/a</w:t>
            </w:r>
          </w:p>
        </w:tc>
        <w:tc>
          <w:tcPr>
            <w:tcW w:w="973" w:type="pct"/>
            <w:tcBorders>
              <w:tl2br w:val="nil"/>
              <w:tr2bl w:val="nil"/>
            </w:tcBorders>
            <w:noWrap w:val="0"/>
            <w:vAlign w:val="center"/>
          </w:tcPr>
          <w:p w14:paraId="040645E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岳环评[2020]11号</w:t>
            </w:r>
          </w:p>
        </w:tc>
        <w:tc>
          <w:tcPr>
            <w:tcW w:w="829" w:type="pct"/>
            <w:tcBorders>
              <w:tl2br w:val="nil"/>
              <w:tr2bl w:val="nil"/>
            </w:tcBorders>
            <w:noWrap w:val="0"/>
            <w:vAlign w:val="center"/>
          </w:tcPr>
          <w:p w14:paraId="25E2E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2023.5.8 阶段性自主验收意见</w:t>
            </w:r>
          </w:p>
        </w:tc>
        <w:tc>
          <w:tcPr>
            <w:tcW w:w="232" w:type="pct"/>
            <w:tcBorders>
              <w:tl2br w:val="nil"/>
              <w:tr2bl w:val="nil"/>
            </w:tcBorders>
            <w:noWrap w:val="0"/>
            <w:vAlign w:val="center"/>
          </w:tcPr>
          <w:p w14:paraId="744B211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2F2C1D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5926B36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6</w:t>
            </w:r>
          </w:p>
        </w:tc>
        <w:tc>
          <w:tcPr>
            <w:tcW w:w="1218" w:type="pct"/>
            <w:tcBorders>
              <w:tl2br w:val="nil"/>
              <w:tr2bl w:val="nil"/>
            </w:tcBorders>
            <w:noWrap w:val="0"/>
            <w:vAlign w:val="center"/>
          </w:tcPr>
          <w:p w14:paraId="63FE833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汨罗市中天龙舟农机制造有限公司</w:t>
            </w:r>
          </w:p>
        </w:tc>
        <w:tc>
          <w:tcPr>
            <w:tcW w:w="1567" w:type="pct"/>
            <w:tcBorders>
              <w:tl2br w:val="nil"/>
              <w:tr2bl w:val="nil"/>
            </w:tcBorders>
            <w:noWrap w:val="0"/>
            <w:vAlign w:val="center"/>
          </w:tcPr>
          <w:p w14:paraId="0A97750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年产3000 台收割机、5000 台</w:t>
            </w:r>
            <w:r>
              <w:rPr>
                <w:rFonts w:hint="default" w:ascii="Times New Roman" w:hAnsi="Times New Roman" w:eastAsia="宋体" w:cs="Times New Roman"/>
                <w:i w:val="0"/>
                <w:snapToGrid w:val="0"/>
                <w:color w:val="auto"/>
                <w:kern w:val="0"/>
                <w:sz w:val="21"/>
                <w:szCs w:val="21"/>
                <w:u w:val="none" w:color="auto"/>
                <w:lang w:val="en-US" w:eastAsia="zh-CN" w:bidi="ar"/>
              </w:rPr>
              <w:br w:type="textWrapping"/>
            </w:r>
            <w:r>
              <w:rPr>
                <w:rFonts w:hint="default" w:ascii="Times New Roman" w:hAnsi="Times New Roman" w:eastAsia="宋体" w:cs="Times New Roman"/>
                <w:i w:val="0"/>
                <w:snapToGrid w:val="0"/>
                <w:color w:val="auto"/>
                <w:kern w:val="0"/>
                <w:sz w:val="21"/>
                <w:szCs w:val="21"/>
                <w:u w:val="none" w:color="auto"/>
                <w:lang w:val="en-US" w:eastAsia="zh-CN" w:bidi="ar"/>
              </w:rPr>
              <w:t>旋耕机、20000 台侧深施肥装置产品，年产8500吨消失模铸造</w:t>
            </w:r>
          </w:p>
        </w:tc>
        <w:tc>
          <w:tcPr>
            <w:tcW w:w="973" w:type="pct"/>
            <w:tcBorders>
              <w:tl2br w:val="nil"/>
              <w:tr2bl w:val="nil"/>
            </w:tcBorders>
            <w:noWrap w:val="0"/>
            <w:vAlign w:val="center"/>
          </w:tcPr>
          <w:p w14:paraId="3A2C6E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岳环评[2012]138号</w:t>
            </w:r>
          </w:p>
        </w:tc>
        <w:tc>
          <w:tcPr>
            <w:tcW w:w="829" w:type="pct"/>
            <w:tcBorders>
              <w:tl2br w:val="nil"/>
              <w:tr2bl w:val="nil"/>
            </w:tcBorders>
            <w:noWrap w:val="0"/>
            <w:vAlign w:val="center"/>
          </w:tcPr>
          <w:p w14:paraId="2BEC6F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岳环验[2015]57号</w:t>
            </w:r>
          </w:p>
        </w:tc>
        <w:tc>
          <w:tcPr>
            <w:tcW w:w="232" w:type="pct"/>
            <w:tcBorders>
              <w:tl2br w:val="nil"/>
              <w:tr2bl w:val="nil"/>
            </w:tcBorders>
            <w:noWrap w:val="0"/>
            <w:vAlign w:val="center"/>
          </w:tcPr>
          <w:p w14:paraId="71FD629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5322B7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21C2C73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7</w:t>
            </w:r>
          </w:p>
        </w:tc>
        <w:tc>
          <w:tcPr>
            <w:tcW w:w="1218" w:type="pct"/>
            <w:tcBorders>
              <w:tl2br w:val="nil"/>
              <w:tr2bl w:val="nil"/>
            </w:tcBorders>
            <w:noWrap w:val="0"/>
            <w:vAlign w:val="center"/>
          </w:tcPr>
          <w:p w14:paraId="0E706DD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湖南九喜科技股份有限公司</w:t>
            </w:r>
          </w:p>
        </w:tc>
        <w:tc>
          <w:tcPr>
            <w:tcW w:w="1567" w:type="pct"/>
            <w:tcBorders>
              <w:tl2br w:val="nil"/>
              <w:tr2bl w:val="nil"/>
            </w:tcBorders>
            <w:noWrap w:val="0"/>
            <w:vAlign w:val="center"/>
          </w:tcPr>
          <w:p w14:paraId="3AD62B7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蚊香100万箱，3000吨艾草精深加工系列产品</w:t>
            </w:r>
          </w:p>
        </w:tc>
        <w:tc>
          <w:tcPr>
            <w:tcW w:w="973" w:type="pct"/>
            <w:tcBorders>
              <w:tl2br w:val="nil"/>
              <w:tr2bl w:val="nil"/>
            </w:tcBorders>
            <w:noWrap w:val="0"/>
            <w:vAlign w:val="center"/>
          </w:tcPr>
          <w:p w14:paraId="2421AA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已环评（无文号）</w:t>
            </w:r>
          </w:p>
        </w:tc>
        <w:tc>
          <w:tcPr>
            <w:tcW w:w="829" w:type="pct"/>
            <w:tcBorders>
              <w:tl2br w:val="nil"/>
              <w:tr2bl w:val="nil"/>
            </w:tcBorders>
            <w:noWrap w:val="0"/>
            <w:vAlign w:val="center"/>
          </w:tcPr>
          <w:p w14:paraId="36ED90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已验收（无文号）</w:t>
            </w:r>
          </w:p>
        </w:tc>
        <w:tc>
          <w:tcPr>
            <w:tcW w:w="232" w:type="pct"/>
            <w:tcBorders>
              <w:tl2br w:val="nil"/>
              <w:tr2bl w:val="nil"/>
            </w:tcBorders>
            <w:noWrap w:val="0"/>
            <w:vAlign w:val="center"/>
          </w:tcPr>
          <w:p w14:paraId="5E332CF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7E85BF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5F241A09">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8</w:t>
            </w:r>
          </w:p>
        </w:tc>
        <w:tc>
          <w:tcPr>
            <w:tcW w:w="1218" w:type="pct"/>
            <w:tcBorders>
              <w:tl2br w:val="nil"/>
              <w:tr2bl w:val="nil"/>
            </w:tcBorders>
            <w:noWrap w:val="0"/>
            <w:vAlign w:val="center"/>
          </w:tcPr>
          <w:p w14:paraId="0980E5B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湖南炯铜科技有限公司</w:t>
            </w:r>
          </w:p>
        </w:tc>
        <w:tc>
          <w:tcPr>
            <w:tcW w:w="1567" w:type="pct"/>
            <w:tcBorders>
              <w:tl2br w:val="nil"/>
              <w:tr2bl w:val="nil"/>
            </w:tcBorders>
            <w:noWrap w:val="0"/>
            <w:vAlign w:val="center"/>
          </w:tcPr>
          <w:p w14:paraId="24121AC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设计年产阳极铜板2万吨、粗铜4万吨（验收产能为阳极铜板2万吨、粗铜1万吨）</w:t>
            </w:r>
          </w:p>
        </w:tc>
        <w:tc>
          <w:tcPr>
            <w:tcW w:w="973" w:type="pct"/>
            <w:tcBorders>
              <w:tl2br w:val="nil"/>
              <w:tr2bl w:val="nil"/>
            </w:tcBorders>
            <w:noWrap w:val="0"/>
            <w:vAlign w:val="center"/>
          </w:tcPr>
          <w:p w14:paraId="4A9FB7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岳环评[2021]25号</w:t>
            </w:r>
          </w:p>
        </w:tc>
        <w:tc>
          <w:tcPr>
            <w:tcW w:w="829" w:type="pct"/>
            <w:tcBorders>
              <w:tl2br w:val="nil"/>
              <w:tr2bl w:val="nil"/>
            </w:tcBorders>
            <w:noWrap w:val="0"/>
            <w:vAlign w:val="center"/>
          </w:tcPr>
          <w:p w14:paraId="6B27FA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2022年1月阶段性自主验收</w:t>
            </w:r>
          </w:p>
        </w:tc>
        <w:tc>
          <w:tcPr>
            <w:tcW w:w="232" w:type="pct"/>
            <w:tcBorders>
              <w:tl2br w:val="nil"/>
              <w:tr2bl w:val="nil"/>
            </w:tcBorders>
            <w:noWrap w:val="0"/>
            <w:vAlign w:val="center"/>
          </w:tcPr>
          <w:p w14:paraId="207C4A6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187A405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365A00F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w w:val="99"/>
                <w:sz w:val="21"/>
                <w:szCs w:val="21"/>
                <w:u w:val="none" w:color="auto"/>
              </w:rPr>
              <w:t>9</w:t>
            </w:r>
          </w:p>
        </w:tc>
        <w:tc>
          <w:tcPr>
            <w:tcW w:w="1218" w:type="pct"/>
            <w:tcBorders>
              <w:tl2br w:val="nil"/>
              <w:tr2bl w:val="nil"/>
            </w:tcBorders>
            <w:noWrap w:val="0"/>
            <w:vAlign w:val="center"/>
          </w:tcPr>
          <w:p w14:paraId="037E4B0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eastAsia" w:ascii="Times New Roman" w:hAnsi="Times New Roman" w:eastAsia="宋体" w:cs="Times New Roman"/>
                <w:i w:val="0"/>
                <w:snapToGrid w:val="0"/>
                <w:color w:val="auto"/>
                <w:kern w:val="0"/>
                <w:sz w:val="21"/>
                <w:szCs w:val="21"/>
                <w:u w:val="none" w:color="auto"/>
                <w:lang w:val="en-US" w:eastAsia="zh-CN" w:bidi="ar"/>
              </w:rPr>
              <w:t>湖南湘联新材料科技有限公司（原</w:t>
            </w:r>
            <w:r>
              <w:rPr>
                <w:rFonts w:hint="default" w:ascii="Times New Roman" w:hAnsi="Times New Roman" w:eastAsia="宋体" w:cs="Times New Roman"/>
                <w:i w:val="0"/>
                <w:snapToGrid w:val="0"/>
                <w:color w:val="auto"/>
                <w:kern w:val="0"/>
                <w:sz w:val="21"/>
                <w:szCs w:val="21"/>
                <w:u w:val="none" w:color="auto"/>
                <w:lang w:val="en-US" w:eastAsia="zh-CN" w:bidi="ar"/>
              </w:rPr>
              <w:t>湖南展卓新材料科技有限公司</w:t>
            </w:r>
            <w:r>
              <w:rPr>
                <w:rFonts w:hint="eastAsia" w:ascii="Times New Roman" w:hAnsi="Times New Roman" w:eastAsia="宋体" w:cs="Times New Roman"/>
                <w:i w:val="0"/>
                <w:snapToGrid w:val="0"/>
                <w:color w:val="auto"/>
                <w:kern w:val="0"/>
                <w:sz w:val="21"/>
                <w:szCs w:val="21"/>
                <w:u w:val="none" w:color="auto"/>
                <w:lang w:val="en-US" w:eastAsia="zh-CN" w:bidi="ar"/>
              </w:rPr>
              <w:t>）</w:t>
            </w:r>
          </w:p>
        </w:tc>
        <w:tc>
          <w:tcPr>
            <w:tcW w:w="1567" w:type="pct"/>
            <w:tcBorders>
              <w:tl2br w:val="nil"/>
              <w:tr2bl w:val="nil"/>
            </w:tcBorders>
            <w:noWrap w:val="0"/>
            <w:vAlign w:val="center"/>
          </w:tcPr>
          <w:p w14:paraId="16C0A58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低氧光亮铜杆15万t/a 、裸铜线10万 t/a</w:t>
            </w:r>
          </w:p>
        </w:tc>
        <w:tc>
          <w:tcPr>
            <w:tcW w:w="973" w:type="pct"/>
            <w:tcBorders>
              <w:tl2br w:val="nil"/>
              <w:tr2bl w:val="nil"/>
            </w:tcBorders>
            <w:noWrap w:val="0"/>
            <w:vAlign w:val="center"/>
          </w:tcPr>
          <w:p w14:paraId="096B48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岳环评[2021]71号</w:t>
            </w:r>
          </w:p>
        </w:tc>
        <w:tc>
          <w:tcPr>
            <w:tcW w:w="829" w:type="pct"/>
            <w:tcBorders>
              <w:tl2br w:val="nil"/>
              <w:tr2bl w:val="nil"/>
            </w:tcBorders>
            <w:noWrap w:val="0"/>
            <w:vAlign w:val="center"/>
          </w:tcPr>
          <w:p w14:paraId="1DED84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2023.9自主验收</w:t>
            </w:r>
          </w:p>
        </w:tc>
        <w:tc>
          <w:tcPr>
            <w:tcW w:w="232" w:type="pct"/>
            <w:tcBorders>
              <w:tl2br w:val="nil"/>
              <w:tr2bl w:val="nil"/>
            </w:tcBorders>
            <w:noWrap w:val="0"/>
            <w:vAlign w:val="center"/>
          </w:tcPr>
          <w:p w14:paraId="77CC88A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0A631C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7730A54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10</w:t>
            </w:r>
          </w:p>
        </w:tc>
        <w:tc>
          <w:tcPr>
            <w:tcW w:w="1218" w:type="pct"/>
            <w:tcBorders>
              <w:tl2br w:val="nil"/>
              <w:tr2bl w:val="nil"/>
            </w:tcBorders>
            <w:noWrap w:val="0"/>
            <w:vAlign w:val="center"/>
          </w:tcPr>
          <w:p w14:paraId="0AE2961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汨罗市正利有色金属有限公司</w:t>
            </w:r>
          </w:p>
        </w:tc>
        <w:tc>
          <w:tcPr>
            <w:tcW w:w="1567" w:type="pct"/>
            <w:tcBorders>
              <w:tl2br w:val="nil"/>
              <w:tr2bl w:val="nil"/>
            </w:tcBorders>
            <w:noWrap w:val="0"/>
            <w:vAlign w:val="center"/>
          </w:tcPr>
          <w:p w14:paraId="63A9C37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年产5000吨铝合金脱氧剂</w:t>
            </w:r>
          </w:p>
        </w:tc>
        <w:tc>
          <w:tcPr>
            <w:tcW w:w="973" w:type="pct"/>
            <w:tcBorders>
              <w:tl2br w:val="nil"/>
              <w:tr2bl w:val="nil"/>
            </w:tcBorders>
            <w:noWrap w:val="0"/>
            <w:vAlign w:val="center"/>
          </w:tcPr>
          <w:p w14:paraId="3ABE08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岳环评批[2009]66号</w:t>
            </w:r>
          </w:p>
        </w:tc>
        <w:tc>
          <w:tcPr>
            <w:tcW w:w="829" w:type="pct"/>
            <w:tcBorders>
              <w:tl2br w:val="nil"/>
              <w:tr2bl w:val="nil"/>
            </w:tcBorders>
            <w:noWrap w:val="0"/>
            <w:vAlign w:val="center"/>
          </w:tcPr>
          <w:p w14:paraId="79EA5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岳环评验[2015]48号</w:t>
            </w:r>
          </w:p>
        </w:tc>
        <w:tc>
          <w:tcPr>
            <w:tcW w:w="232" w:type="pct"/>
            <w:tcBorders>
              <w:tl2br w:val="nil"/>
              <w:tr2bl w:val="nil"/>
            </w:tcBorders>
            <w:noWrap w:val="0"/>
            <w:vAlign w:val="center"/>
          </w:tcPr>
          <w:p w14:paraId="029E69B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停产</w:t>
            </w:r>
          </w:p>
        </w:tc>
      </w:tr>
      <w:tr w14:paraId="4EBBE7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23F12D9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p>
          <w:p w14:paraId="7B00B92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11</w:t>
            </w:r>
          </w:p>
        </w:tc>
        <w:tc>
          <w:tcPr>
            <w:tcW w:w="1218" w:type="pct"/>
            <w:tcBorders>
              <w:tl2br w:val="nil"/>
              <w:tr2bl w:val="nil"/>
            </w:tcBorders>
            <w:noWrap w:val="0"/>
            <w:vAlign w:val="center"/>
          </w:tcPr>
          <w:p w14:paraId="434BC01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湖南省森阳中科新材料有限公司</w:t>
            </w:r>
          </w:p>
        </w:tc>
        <w:tc>
          <w:tcPr>
            <w:tcW w:w="1567" w:type="pct"/>
            <w:tcBorders>
              <w:tl2br w:val="nil"/>
              <w:tr2bl w:val="nil"/>
            </w:tcBorders>
            <w:noWrap w:val="0"/>
            <w:vAlign w:val="center"/>
          </w:tcPr>
          <w:p w14:paraId="3CC7436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阳极板5万t/a，粗铜（铜锭）3万t/a，冰铜2t/a</w:t>
            </w:r>
          </w:p>
        </w:tc>
        <w:tc>
          <w:tcPr>
            <w:tcW w:w="973" w:type="pct"/>
            <w:tcBorders>
              <w:tl2br w:val="nil"/>
              <w:tr2bl w:val="nil"/>
            </w:tcBorders>
            <w:noWrap w:val="0"/>
            <w:vAlign w:val="center"/>
          </w:tcPr>
          <w:p w14:paraId="760123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岳环评[2019]183号、岳环评[2021]2号</w:t>
            </w:r>
          </w:p>
        </w:tc>
        <w:tc>
          <w:tcPr>
            <w:tcW w:w="829" w:type="pct"/>
            <w:tcBorders>
              <w:tl2br w:val="nil"/>
              <w:tr2bl w:val="nil"/>
            </w:tcBorders>
            <w:noWrap w:val="0"/>
            <w:vAlign w:val="center"/>
          </w:tcPr>
          <w:p w14:paraId="794931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tcBorders>
              <w:tl2br w:val="nil"/>
              <w:tr2bl w:val="nil"/>
            </w:tcBorders>
            <w:noWrap w:val="0"/>
            <w:vAlign w:val="center"/>
          </w:tcPr>
          <w:p w14:paraId="7CE822F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停产</w:t>
            </w:r>
          </w:p>
        </w:tc>
      </w:tr>
      <w:tr w14:paraId="7E5EC8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5543DCC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12</w:t>
            </w:r>
          </w:p>
        </w:tc>
        <w:tc>
          <w:tcPr>
            <w:tcW w:w="1218" w:type="pct"/>
            <w:tcBorders>
              <w:tl2br w:val="nil"/>
              <w:tr2bl w:val="nil"/>
            </w:tcBorders>
            <w:noWrap w:val="0"/>
            <w:vAlign w:val="center"/>
          </w:tcPr>
          <w:p w14:paraId="64D70EF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湖南三兴精密工业股份有限公司</w:t>
            </w:r>
          </w:p>
        </w:tc>
        <w:tc>
          <w:tcPr>
            <w:tcW w:w="1567" w:type="pct"/>
            <w:tcBorders>
              <w:tl2br w:val="nil"/>
              <w:tr2bl w:val="nil"/>
            </w:tcBorders>
            <w:noWrap w:val="0"/>
            <w:vAlign w:val="center"/>
          </w:tcPr>
          <w:p w14:paraId="5BDA05E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丝网印刷设备3000台/a</w:t>
            </w:r>
          </w:p>
        </w:tc>
        <w:tc>
          <w:tcPr>
            <w:tcW w:w="973" w:type="pct"/>
            <w:tcBorders>
              <w:tl2br w:val="nil"/>
              <w:tr2bl w:val="nil"/>
            </w:tcBorders>
            <w:noWrap w:val="0"/>
            <w:vAlign w:val="center"/>
          </w:tcPr>
          <w:p w14:paraId="74F3B8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岳环评[2013]72号、岳环评批[2019]22号</w:t>
            </w:r>
          </w:p>
        </w:tc>
        <w:tc>
          <w:tcPr>
            <w:tcW w:w="829" w:type="pct"/>
            <w:tcBorders>
              <w:tl2br w:val="nil"/>
              <w:tr2bl w:val="nil"/>
            </w:tcBorders>
            <w:noWrap w:val="0"/>
            <w:vAlign w:val="center"/>
          </w:tcPr>
          <w:p w14:paraId="2F67E8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2015年验收、自主验收</w:t>
            </w:r>
          </w:p>
        </w:tc>
        <w:tc>
          <w:tcPr>
            <w:tcW w:w="232" w:type="pct"/>
            <w:tcBorders>
              <w:tl2br w:val="nil"/>
              <w:tr2bl w:val="nil"/>
            </w:tcBorders>
            <w:noWrap w:val="0"/>
            <w:vAlign w:val="center"/>
          </w:tcPr>
          <w:p w14:paraId="2450306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0E1A0B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1ED6644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13</w:t>
            </w:r>
          </w:p>
        </w:tc>
        <w:tc>
          <w:tcPr>
            <w:tcW w:w="1218" w:type="pct"/>
            <w:tcBorders>
              <w:tl2br w:val="nil"/>
              <w:tr2bl w:val="nil"/>
            </w:tcBorders>
            <w:noWrap w:val="0"/>
            <w:vAlign w:val="center"/>
          </w:tcPr>
          <w:p w14:paraId="4D9C758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湖南新威凌新材料有限公司</w:t>
            </w:r>
          </w:p>
        </w:tc>
        <w:tc>
          <w:tcPr>
            <w:tcW w:w="1567" w:type="pct"/>
            <w:tcBorders>
              <w:tl2br w:val="nil"/>
              <w:tr2bl w:val="nil"/>
            </w:tcBorders>
            <w:noWrap w:val="0"/>
            <w:vAlign w:val="center"/>
          </w:tcPr>
          <w:p w14:paraId="4D6B958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超细锌粉2.55万t/a；年加工2000吨片状锌粉、6000吨防锈基料</w:t>
            </w:r>
          </w:p>
        </w:tc>
        <w:tc>
          <w:tcPr>
            <w:tcW w:w="973" w:type="pct"/>
            <w:tcBorders>
              <w:tl2br w:val="nil"/>
              <w:tr2bl w:val="nil"/>
            </w:tcBorders>
            <w:noWrap w:val="0"/>
            <w:vAlign w:val="center"/>
          </w:tcPr>
          <w:p w14:paraId="79EBF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汨环评[2018]15号、汨环评[2019]31号</w:t>
            </w:r>
          </w:p>
        </w:tc>
        <w:tc>
          <w:tcPr>
            <w:tcW w:w="829" w:type="pct"/>
            <w:tcBorders>
              <w:tl2br w:val="nil"/>
              <w:tr2bl w:val="nil"/>
            </w:tcBorders>
            <w:noWrap w:val="0"/>
            <w:vAlign w:val="center"/>
          </w:tcPr>
          <w:p w14:paraId="1A217A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汩环验[2018]20号、2018年自主验收</w:t>
            </w:r>
          </w:p>
        </w:tc>
        <w:tc>
          <w:tcPr>
            <w:tcW w:w="232" w:type="pct"/>
            <w:tcBorders>
              <w:tl2br w:val="nil"/>
              <w:tr2bl w:val="nil"/>
            </w:tcBorders>
            <w:noWrap w:val="0"/>
            <w:vAlign w:val="center"/>
          </w:tcPr>
          <w:p w14:paraId="4651B36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2D607F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0305396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14</w:t>
            </w:r>
          </w:p>
        </w:tc>
        <w:tc>
          <w:tcPr>
            <w:tcW w:w="1218" w:type="pct"/>
            <w:tcBorders>
              <w:tl2br w:val="nil"/>
              <w:tr2bl w:val="nil"/>
            </w:tcBorders>
            <w:noWrap w:val="0"/>
            <w:vAlign w:val="center"/>
          </w:tcPr>
          <w:p w14:paraId="1A85F67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湖南驰优新材料有限公司</w:t>
            </w:r>
          </w:p>
        </w:tc>
        <w:tc>
          <w:tcPr>
            <w:tcW w:w="1567" w:type="pct"/>
            <w:tcBorders>
              <w:tl2br w:val="nil"/>
              <w:tr2bl w:val="nil"/>
            </w:tcBorders>
            <w:noWrap w:val="0"/>
            <w:vAlign w:val="center"/>
          </w:tcPr>
          <w:p w14:paraId="1079BFE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导电镍粉200t/a</w:t>
            </w:r>
          </w:p>
        </w:tc>
        <w:tc>
          <w:tcPr>
            <w:tcW w:w="973" w:type="pct"/>
            <w:tcBorders>
              <w:tl2br w:val="nil"/>
              <w:tr2bl w:val="nil"/>
            </w:tcBorders>
            <w:noWrap w:val="0"/>
            <w:vAlign w:val="center"/>
          </w:tcPr>
          <w:p w14:paraId="1F12F6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岳环评[2017]3号</w:t>
            </w:r>
          </w:p>
        </w:tc>
        <w:tc>
          <w:tcPr>
            <w:tcW w:w="829" w:type="pct"/>
            <w:tcBorders>
              <w:tl2br w:val="nil"/>
              <w:tr2bl w:val="nil"/>
            </w:tcBorders>
            <w:noWrap w:val="0"/>
            <w:vAlign w:val="center"/>
          </w:tcPr>
          <w:p w14:paraId="1C6032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2B9B8E1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15B718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382C90DE">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15</w:t>
            </w:r>
          </w:p>
        </w:tc>
        <w:tc>
          <w:tcPr>
            <w:tcW w:w="1218" w:type="pct"/>
            <w:tcBorders>
              <w:tl2br w:val="nil"/>
              <w:tr2bl w:val="nil"/>
            </w:tcBorders>
            <w:noWrap w:val="0"/>
            <w:vAlign w:val="center"/>
          </w:tcPr>
          <w:p w14:paraId="374143D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湖南拓曼节能科技股份有限公司</w:t>
            </w:r>
          </w:p>
        </w:tc>
        <w:tc>
          <w:tcPr>
            <w:tcW w:w="1567" w:type="pct"/>
            <w:tcBorders>
              <w:tl2br w:val="nil"/>
              <w:tr2bl w:val="nil"/>
            </w:tcBorders>
            <w:noWrap w:val="0"/>
            <w:vAlign w:val="center"/>
          </w:tcPr>
          <w:p w14:paraId="6276D64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10万平方米/a高级铝合金门窗</w:t>
            </w:r>
          </w:p>
        </w:tc>
        <w:tc>
          <w:tcPr>
            <w:tcW w:w="973" w:type="pct"/>
            <w:tcBorders>
              <w:tl2br w:val="nil"/>
              <w:tr2bl w:val="nil"/>
            </w:tcBorders>
            <w:noWrap w:val="0"/>
            <w:vAlign w:val="center"/>
          </w:tcPr>
          <w:p w14:paraId="14CF24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岳环评[2015]50号</w:t>
            </w:r>
          </w:p>
        </w:tc>
        <w:tc>
          <w:tcPr>
            <w:tcW w:w="829" w:type="pct"/>
            <w:tcBorders>
              <w:tl2br w:val="nil"/>
              <w:tr2bl w:val="nil"/>
            </w:tcBorders>
            <w:noWrap w:val="0"/>
            <w:vAlign w:val="center"/>
          </w:tcPr>
          <w:p w14:paraId="131287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汨环验[2016]10号</w:t>
            </w:r>
          </w:p>
        </w:tc>
        <w:tc>
          <w:tcPr>
            <w:tcW w:w="232" w:type="pct"/>
            <w:tcBorders>
              <w:tl2br w:val="nil"/>
              <w:tr2bl w:val="nil"/>
            </w:tcBorders>
            <w:noWrap w:val="0"/>
            <w:vAlign w:val="center"/>
          </w:tcPr>
          <w:p w14:paraId="4C69B19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4E7487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068241A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16</w:t>
            </w:r>
          </w:p>
        </w:tc>
        <w:tc>
          <w:tcPr>
            <w:tcW w:w="1218" w:type="pct"/>
            <w:tcBorders>
              <w:tl2br w:val="nil"/>
              <w:tr2bl w:val="nil"/>
            </w:tcBorders>
            <w:noWrap w:val="0"/>
            <w:vAlign w:val="center"/>
          </w:tcPr>
          <w:p w14:paraId="03DBD0C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湖南盛华源材料科技有限公司</w:t>
            </w:r>
          </w:p>
        </w:tc>
        <w:tc>
          <w:tcPr>
            <w:tcW w:w="1567" w:type="pct"/>
            <w:tcBorders>
              <w:tl2br w:val="nil"/>
              <w:tr2bl w:val="nil"/>
            </w:tcBorders>
            <w:noWrap w:val="0"/>
            <w:vAlign w:val="center"/>
          </w:tcPr>
          <w:p w14:paraId="2EB2137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年产1000吨有色金属焊接新材料（铜基纤料880t/a，焊膏120t/a）</w:t>
            </w:r>
          </w:p>
        </w:tc>
        <w:tc>
          <w:tcPr>
            <w:tcW w:w="973" w:type="pct"/>
            <w:tcBorders>
              <w:tl2br w:val="nil"/>
              <w:tr2bl w:val="nil"/>
            </w:tcBorders>
            <w:noWrap w:val="0"/>
            <w:vAlign w:val="center"/>
          </w:tcPr>
          <w:p w14:paraId="13550A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汨环评函[2017]1号、岳汨环评[2022]15号</w:t>
            </w:r>
          </w:p>
        </w:tc>
        <w:tc>
          <w:tcPr>
            <w:tcW w:w="829" w:type="pct"/>
            <w:tcBorders>
              <w:tl2br w:val="nil"/>
              <w:tr2bl w:val="nil"/>
            </w:tcBorders>
            <w:noWrap w:val="0"/>
            <w:vAlign w:val="center"/>
          </w:tcPr>
          <w:p w14:paraId="6C411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岳环评验[2015]49号、已验收</w:t>
            </w:r>
          </w:p>
        </w:tc>
        <w:tc>
          <w:tcPr>
            <w:tcW w:w="232" w:type="pct"/>
            <w:tcBorders>
              <w:tl2br w:val="nil"/>
              <w:tr2bl w:val="nil"/>
            </w:tcBorders>
            <w:noWrap w:val="0"/>
            <w:vAlign w:val="center"/>
          </w:tcPr>
          <w:p w14:paraId="4864B41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013B27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77A8862">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17</w:t>
            </w:r>
          </w:p>
        </w:tc>
        <w:tc>
          <w:tcPr>
            <w:tcW w:w="1218" w:type="pct"/>
            <w:tcBorders>
              <w:tl2br w:val="nil"/>
              <w:tr2bl w:val="nil"/>
            </w:tcBorders>
            <w:noWrap w:val="0"/>
            <w:vAlign w:val="center"/>
          </w:tcPr>
          <w:p w14:paraId="6FCB218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汨罗市晟泰科技有限公司</w:t>
            </w:r>
          </w:p>
        </w:tc>
        <w:tc>
          <w:tcPr>
            <w:tcW w:w="1567" w:type="pct"/>
            <w:tcBorders>
              <w:tl2br w:val="nil"/>
              <w:tr2bl w:val="nil"/>
            </w:tcBorders>
            <w:noWrap w:val="0"/>
            <w:vAlign w:val="center"/>
          </w:tcPr>
          <w:p w14:paraId="480F95E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铜米4000t/a，年加工800吨含铜废旧开关插座</w:t>
            </w:r>
          </w:p>
        </w:tc>
        <w:tc>
          <w:tcPr>
            <w:tcW w:w="973" w:type="pct"/>
            <w:tcBorders>
              <w:tl2br w:val="nil"/>
              <w:tr2bl w:val="nil"/>
            </w:tcBorders>
            <w:noWrap w:val="0"/>
            <w:vAlign w:val="center"/>
          </w:tcPr>
          <w:p w14:paraId="487A0D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岳环评[2018]064号、岳环评[2019]148号、岳汨环评[2022]019号</w:t>
            </w:r>
          </w:p>
        </w:tc>
        <w:tc>
          <w:tcPr>
            <w:tcW w:w="829" w:type="pct"/>
            <w:tcBorders>
              <w:tl2br w:val="nil"/>
              <w:tr2bl w:val="nil"/>
            </w:tcBorders>
            <w:noWrap w:val="0"/>
            <w:vAlign w:val="center"/>
          </w:tcPr>
          <w:p w14:paraId="52F034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岳环验备202103号，已验收</w:t>
            </w:r>
          </w:p>
        </w:tc>
        <w:tc>
          <w:tcPr>
            <w:tcW w:w="232" w:type="pct"/>
            <w:tcBorders>
              <w:tl2br w:val="nil"/>
              <w:tr2bl w:val="nil"/>
            </w:tcBorders>
            <w:noWrap w:val="0"/>
            <w:vAlign w:val="center"/>
          </w:tcPr>
          <w:p w14:paraId="3D0742F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790E30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0C36A35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18</w:t>
            </w:r>
          </w:p>
        </w:tc>
        <w:tc>
          <w:tcPr>
            <w:tcW w:w="1218" w:type="pct"/>
            <w:tcBorders>
              <w:tl2br w:val="nil"/>
              <w:tr2bl w:val="nil"/>
            </w:tcBorders>
            <w:noWrap w:val="0"/>
            <w:vAlign w:val="center"/>
          </w:tcPr>
          <w:p w14:paraId="799317F9">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湖南湘达环保工程有限公司</w:t>
            </w:r>
          </w:p>
        </w:tc>
        <w:tc>
          <w:tcPr>
            <w:tcW w:w="1567" w:type="pct"/>
            <w:tcBorders>
              <w:tl2br w:val="nil"/>
              <w:tr2bl w:val="nil"/>
            </w:tcBorders>
            <w:noWrap w:val="0"/>
            <w:vAlign w:val="center"/>
          </w:tcPr>
          <w:p w14:paraId="74F00DFE">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电除尘器零部件</w:t>
            </w:r>
          </w:p>
        </w:tc>
        <w:tc>
          <w:tcPr>
            <w:tcW w:w="973" w:type="pct"/>
            <w:tcBorders>
              <w:tl2br w:val="nil"/>
              <w:tr2bl w:val="nil"/>
            </w:tcBorders>
            <w:noWrap w:val="0"/>
            <w:vAlign w:val="center"/>
          </w:tcPr>
          <w:p w14:paraId="1C80DA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已环评（无文号）</w:t>
            </w:r>
          </w:p>
        </w:tc>
        <w:tc>
          <w:tcPr>
            <w:tcW w:w="829" w:type="pct"/>
            <w:tcBorders>
              <w:tl2br w:val="nil"/>
              <w:tr2bl w:val="nil"/>
            </w:tcBorders>
            <w:noWrap w:val="0"/>
            <w:vAlign w:val="center"/>
          </w:tcPr>
          <w:p w14:paraId="328F87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已验收（无文号）</w:t>
            </w:r>
          </w:p>
        </w:tc>
        <w:tc>
          <w:tcPr>
            <w:tcW w:w="232" w:type="pct"/>
            <w:tcBorders>
              <w:tl2br w:val="nil"/>
              <w:tr2bl w:val="nil"/>
            </w:tcBorders>
            <w:noWrap w:val="0"/>
            <w:vAlign w:val="center"/>
          </w:tcPr>
          <w:p w14:paraId="6D8EAB13">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5EBF1A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3B53FB7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19</w:t>
            </w:r>
          </w:p>
        </w:tc>
        <w:tc>
          <w:tcPr>
            <w:tcW w:w="1218" w:type="pct"/>
            <w:tcBorders>
              <w:tl2br w:val="nil"/>
              <w:tr2bl w:val="nil"/>
            </w:tcBorders>
            <w:noWrap w:val="0"/>
            <w:vAlign w:val="center"/>
          </w:tcPr>
          <w:p w14:paraId="385DAF8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汨罗市自强塑料有限公司</w:t>
            </w:r>
          </w:p>
        </w:tc>
        <w:tc>
          <w:tcPr>
            <w:tcW w:w="1567" w:type="pct"/>
            <w:tcBorders>
              <w:tl2br w:val="nil"/>
              <w:tr2bl w:val="nil"/>
            </w:tcBorders>
            <w:noWrap w:val="0"/>
            <w:vAlign w:val="center"/>
          </w:tcPr>
          <w:p w14:paraId="78C41B88">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PVC软质颗粒料2000t/a、PVC软质压片料5000t/a</w:t>
            </w:r>
          </w:p>
        </w:tc>
        <w:tc>
          <w:tcPr>
            <w:tcW w:w="973" w:type="pct"/>
            <w:tcBorders>
              <w:tl2br w:val="nil"/>
              <w:tr2bl w:val="nil"/>
            </w:tcBorders>
            <w:noWrap w:val="0"/>
            <w:vAlign w:val="center"/>
          </w:tcPr>
          <w:p w14:paraId="3F915B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汨环评批[2013]054号、岳环评〔2023〕56号</w:t>
            </w:r>
          </w:p>
        </w:tc>
        <w:tc>
          <w:tcPr>
            <w:tcW w:w="829" w:type="pct"/>
            <w:tcBorders>
              <w:tl2br w:val="nil"/>
              <w:tr2bl w:val="nil"/>
            </w:tcBorders>
            <w:noWrap w:val="0"/>
            <w:vAlign w:val="center"/>
          </w:tcPr>
          <w:p w14:paraId="74F38F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汨环评验[2015]004号，已验收</w:t>
            </w:r>
          </w:p>
        </w:tc>
        <w:tc>
          <w:tcPr>
            <w:tcW w:w="232" w:type="pct"/>
            <w:tcBorders>
              <w:tl2br w:val="nil"/>
              <w:tr2bl w:val="nil"/>
            </w:tcBorders>
            <w:noWrap w:val="0"/>
            <w:vAlign w:val="center"/>
          </w:tcPr>
          <w:p w14:paraId="43750CD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018DF9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62" w:hRule="atLeast"/>
          <w:jc w:val="center"/>
        </w:trPr>
        <w:tc>
          <w:tcPr>
            <w:tcW w:w="178" w:type="pct"/>
            <w:vMerge w:val="restart"/>
            <w:tcBorders>
              <w:tl2br w:val="nil"/>
              <w:tr2bl w:val="nil"/>
            </w:tcBorders>
            <w:noWrap w:val="0"/>
            <w:vAlign w:val="center"/>
          </w:tcPr>
          <w:p w14:paraId="230BFA8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20</w:t>
            </w:r>
          </w:p>
        </w:tc>
        <w:tc>
          <w:tcPr>
            <w:tcW w:w="1218" w:type="pct"/>
            <w:vMerge w:val="restart"/>
            <w:tcBorders>
              <w:tl2br w:val="nil"/>
              <w:tr2bl w:val="nil"/>
            </w:tcBorders>
            <w:noWrap w:val="0"/>
            <w:vAlign w:val="center"/>
          </w:tcPr>
          <w:p w14:paraId="6D9D252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湖南新佳懿环保新材料有限公司</w:t>
            </w:r>
          </w:p>
        </w:tc>
        <w:tc>
          <w:tcPr>
            <w:tcW w:w="1567" w:type="pct"/>
            <w:tcBorders>
              <w:tl2br w:val="nil"/>
              <w:tr2bl w:val="nil"/>
            </w:tcBorders>
            <w:noWrap w:val="0"/>
            <w:vAlign w:val="center"/>
          </w:tcPr>
          <w:p w14:paraId="3E38F54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PVC板材9万平方米/年、PVC线材3万平方米/年</w:t>
            </w:r>
          </w:p>
        </w:tc>
        <w:tc>
          <w:tcPr>
            <w:tcW w:w="973" w:type="pct"/>
            <w:tcBorders>
              <w:tl2br w:val="nil"/>
              <w:tr2bl w:val="nil"/>
            </w:tcBorders>
            <w:noWrap w:val="0"/>
            <w:vAlign w:val="center"/>
          </w:tcPr>
          <w:p w14:paraId="722272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岳环评[2020]70号</w:t>
            </w:r>
          </w:p>
        </w:tc>
        <w:tc>
          <w:tcPr>
            <w:tcW w:w="829" w:type="pct"/>
            <w:tcBorders>
              <w:tl2br w:val="nil"/>
              <w:tr2bl w:val="nil"/>
            </w:tcBorders>
            <w:noWrap w:val="0"/>
            <w:vAlign w:val="center"/>
          </w:tcPr>
          <w:p w14:paraId="21924D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24B4856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在产</w:t>
            </w:r>
          </w:p>
        </w:tc>
      </w:tr>
      <w:tr w14:paraId="20184D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62" w:hRule="atLeast"/>
          <w:jc w:val="center"/>
        </w:trPr>
        <w:tc>
          <w:tcPr>
            <w:tcW w:w="178" w:type="pct"/>
            <w:vMerge w:val="continue"/>
            <w:tcBorders>
              <w:tl2br w:val="nil"/>
              <w:tr2bl w:val="nil"/>
            </w:tcBorders>
            <w:noWrap w:val="0"/>
            <w:vAlign w:val="center"/>
          </w:tcPr>
          <w:p w14:paraId="655B4691">
            <w:pPr>
              <w:pStyle w:val="36"/>
              <w:keepNext w:val="0"/>
              <w:keepLines w:val="0"/>
              <w:pageBreakBefore w:val="0"/>
              <w:kinsoku/>
              <w:wordWrap/>
              <w:overflowPunct/>
              <w:topLinePunct w:val="0"/>
              <w:autoSpaceDE/>
              <w:autoSpaceDN/>
              <w:bidi w:val="0"/>
              <w:adjustRightInd/>
              <w:spacing w:line="240" w:lineRule="auto"/>
              <w:ind w:firstLine="0" w:firstLineChars="0"/>
              <w:jc w:val="center"/>
            </w:pPr>
          </w:p>
        </w:tc>
        <w:tc>
          <w:tcPr>
            <w:tcW w:w="1218" w:type="pct"/>
            <w:vMerge w:val="continue"/>
            <w:tcBorders>
              <w:tl2br w:val="nil"/>
              <w:tr2bl w:val="nil"/>
            </w:tcBorders>
            <w:noWrap w:val="0"/>
            <w:vAlign w:val="center"/>
          </w:tcPr>
          <w:p w14:paraId="44B343EA">
            <w:pPr>
              <w:pStyle w:val="36"/>
              <w:keepNext w:val="0"/>
              <w:keepLines w:val="0"/>
              <w:pageBreakBefore w:val="0"/>
              <w:kinsoku/>
              <w:wordWrap/>
              <w:overflowPunct/>
              <w:topLinePunct w:val="0"/>
              <w:autoSpaceDE/>
              <w:autoSpaceDN/>
              <w:bidi w:val="0"/>
              <w:adjustRightInd/>
              <w:spacing w:line="240" w:lineRule="auto"/>
              <w:ind w:firstLine="0" w:firstLineChars="0"/>
              <w:jc w:val="center"/>
            </w:pPr>
          </w:p>
        </w:tc>
        <w:tc>
          <w:tcPr>
            <w:tcW w:w="1567" w:type="pct"/>
            <w:tcBorders>
              <w:tl2br w:val="nil"/>
              <w:tr2bl w:val="nil"/>
            </w:tcBorders>
            <w:noWrap w:val="0"/>
            <w:vAlign w:val="center"/>
          </w:tcPr>
          <w:p w14:paraId="117FF24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湖南新佳懿环保新材料有限公司封边条改扩建项目</w:t>
            </w:r>
          </w:p>
        </w:tc>
        <w:tc>
          <w:tcPr>
            <w:tcW w:w="973" w:type="pct"/>
            <w:tcBorders>
              <w:tl2br w:val="nil"/>
              <w:tr2bl w:val="nil"/>
            </w:tcBorders>
            <w:noWrap w:val="0"/>
            <w:vAlign w:val="center"/>
          </w:tcPr>
          <w:p w14:paraId="05B5FD97">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066</w:t>
            </w:r>
            <w:r>
              <w:rPr>
                <w:rFonts w:hint="default" w:ascii="Times New Roman" w:hAnsi="Times New Roman" w:eastAsia="宋体" w:cs="Times New Roman"/>
                <w:color w:val="auto"/>
                <w:sz w:val="21"/>
                <w:szCs w:val="21"/>
                <w:u w:val="none" w:color="auto"/>
              </w:rPr>
              <w:t>号</w:t>
            </w:r>
          </w:p>
        </w:tc>
        <w:tc>
          <w:tcPr>
            <w:tcW w:w="829" w:type="pct"/>
            <w:tcBorders>
              <w:tl2br w:val="nil"/>
              <w:tr2bl w:val="nil"/>
            </w:tcBorders>
            <w:noWrap w:val="0"/>
            <w:vAlign w:val="center"/>
          </w:tcPr>
          <w:p w14:paraId="0E34770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cs="Times New Roman"/>
                <w:i w:val="0"/>
                <w:snapToGrid w:val="0"/>
                <w:color w:val="auto"/>
                <w:kern w:val="0"/>
                <w:sz w:val="21"/>
                <w:szCs w:val="21"/>
                <w:u w:val="none" w:color="auto"/>
                <w:lang w:val="en-US" w:eastAsia="zh-CN" w:bidi="ar"/>
              </w:rPr>
              <w:t>未验收</w:t>
            </w:r>
          </w:p>
        </w:tc>
        <w:tc>
          <w:tcPr>
            <w:tcW w:w="232" w:type="pct"/>
            <w:tcBorders>
              <w:tl2br w:val="nil"/>
              <w:tr2bl w:val="nil"/>
            </w:tcBorders>
            <w:noWrap w:val="0"/>
            <w:vAlign w:val="center"/>
          </w:tcPr>
          <w:p w14:paraId="448EF3C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cs="Times New Roman"/>
                <w:i w:val="0"/>
                <w:snapToGrid w:val="0"/>
                <w:color w:val="auto"/>
                <w:kern w:val="0"/>
                <w:sz w:val="21"/>
                <w:szCs w:val="21"/>
                <w:u w:val="none" w:color="auto"/>
                <w:lang w:val="en-US" w:eastAsia="zh-CN" w:bidi="ar"/>
              </w:rPr>
              <w:t>在产</w:t>
            </w:r>
          </w:p>
        </w:tc>
      </w:tr>
      <w:tr w14:paraId="7D0AB8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353F114E">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21</w:t>
            </w:r>
          </w:p>
        </w:tc>
        <w:tc>
          <w:tcPr>
            <w:tcW w:w="1218" w:type="pct"/>
            <w:tcBorders>
              <w:tl2br w:val="nil"/>
              <w:tr2bl w:val="nil"/>
            </w:tcBorders>
            <w:noWrap w:val="0"/>
            <w:vAlign w:val="center"/>
          </w:tcPr>
          <w:p w14:paraId="4B4C8F7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湖南金世联塑业有限公司</w:t>
            </w:r>
          </w:p>
        </w:tc>
        <w:tc>
          <w:tcPr>
            <w:tcW w:w="1567" w:type="pct"/>
            <w:tcBorders>
              <w:tl2br w:val="nil"/>
              <w:tr2bl w:val="nil"/>
            </w:tcBorders>
            <w:noWrap w:val="0"/>
            <w:vAlign w:val="center"/>
          </w:tcPr>
          <w:p w14:paraId="32F6032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PVC硬板5000平方米/年</w:t>
            </w:r>
          </w:p>
        </w:tc>
        <w:tc>
          <w:tcPr>
            <w:tcW w:w="973" w:type="pct"/>
            <w:tcBorders>
              <w:tl2br w:val="nil"/>
              <w:tr2bl w:val="nil"/>
            </w:tcBorders>
            <w:noWrap w:val="0"/>
            <w:vAlign w:val="center"/>
          </w:tcPr>
          <w:p w14:paraId="2993E7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汨环评[2017]015号、岳环评[2023]50号</w:t>
            </w:r>
          </w:p>
        </w:tc>
        <w:tc>
          <w:tcPr>
            <w:tcW w:w="829" w:type="pct"/>
            <w:tcBorders>
              <w:tl2br w:val="nil"/>
              <w:tr2bl w:val="nil"/>
            </w:tcBorders>
            <w:noWrap w:val="0"/>
            <w:vAlign w:val="center"/>
          </w:tcPr>
          <w:p w14:paraId="46DFAE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49F2D76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在产</w:t>
            </w:r>
          </w:p>
        </w:tc>
      </w:tr>
      <w:tr w14:paraId="3823C5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20826089">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22</w:t>
            </w:r>
          </w:p>
        </w:tc>
        <w:tc>
          <w:tcPr>
            <w:tcW w:w="1218" w:type="pct"/>
            <w:tcBorders>
              <w:tl2br w:val="nil"/>
              <w:tr2bl w:val="nil"/>
            </w:tcBorders>
            <w:noWrap w:val="0"/>
            <w:vAlign w:val="center"/>
          </w:tcPr>
          <w:p w14:paraId="04CB6F8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汨罗市华先碳素有限公司</w:t>
            </w:r>
          </w:p>
        </w:tc>
        <w:tc>
          <w:tcPr>
            <w:tcW w:w="1567" w:type="pct"/>
            <w:tcBorders>
              <w:tl2br w:val="nil"/>
              <w:tr2bl w:val="nil"/>
            </w:tcBorders>
            <w:noWrap w:val="0"/>
            <w:vAlign w:val="center"/>
          </w:tcPr>
          <w:p w14:paraId="24D815C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石墨坩埚15000吨</w:t>
            </w:r>
          </w:p>
        </w:tc>
        <w:tc>
          <w:tcPr>
            <w:tcW w:w="973" w:type="pct"/>
            <w:tcBorders>
              <w:tl2br w:val="nil"/>
              <w:tr2bl w:val="nil"/>
            </w:tcBorders>
            <w:noWrap w:val="0"/>
            <w:vAlign w:val="center"/>
          </w:tcPr>
          <w:p w14:paraId="4BCC2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岳环评批[2012]115号</w:t>
            </w:r>
          </w:p>
        </w:tc>
        <w:tc>
          <w:tcPr>
            <w:tcW w:w="829" w:type="pct"/>
            <w:tcBorders>
              <w:tl2br w:val="nil"/>
              <w:tr2bl w:val="nil"/>
            </w:tcBorders>
            <w:noWrap w:val="0"/>
            <w:vAlign w:val="center"/>
          </w:tcPr>
          <w:p w14:paraId="6F6FF4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岳环评验[2018]16号</w:t>
            </w:r>
          </w:p>
        </w:tc>
        <w:tc>
          <w:tcPr>
            <w:tcW w:w="232" w:type="pct"/>
            <w:tcBorders>
              <w:tl2br w:val="nil"/>
              <w:tr2bl w:val="nil"/>
            </w:tcBorders>
            <w:noWrap w:val="0"/>
            <w:vAlign w:val="center"/>
          </w:tcPr>
          <w:p w14:paraId="7981D6F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在产</w:t>
            </w:r>
          </w:p>
        </w:tc>
      </w:tr>
      <w:tr w14:paraId="2DB561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1775145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23</w:t>
            </w:r>
          </w:p>
        </w:tc>
        <w:tc>
          <w:tcPr>
            <w:tcW w:w="1218" w:type="pct"/>
            <w:tcBorders>
              <w:tl2br w:val="nil"/>
              <w:tr2bl w:val="nil"/>
            </w:tcBorders>
            <w:noWrap w:val="0"/>
            <w:vAlign w:val="center"/>
          </w:tcPr>
          <w:p w14:paraId="22C229B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湖南现代家俱装饰有限公司</w:t>
            </w:r>
          </w:p>
        </w:tc>
        <w:tc>
          <w:tcPr>
            <w:tcW w:w="1567" w:type="pct"/>
            <w:tcBorders>
              <w:tl2br w:val="nil"/>
              <w:tr2bl w:val="nil"/>
            </w:tcBorders>
            <w:noWrap w:val="0"/>
            <w:vAlign w:val="center"/>
          </w:tcPr>
          <w:p w14:paraId="483F0CD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沙发 30000套/年、办公家具 50000套/年</w:t>
            </w:r>
          </w:p>
        </w:tc>
        <w:tc>
          <w:tcPr>
            <w:tcW w:w="973" w:type="pct"/>
            <w:tcBorders>
              <w:tl2br w:val="nil"/>
              <w:tr2bl w:val="nil"/>
            </w:tcBorders>
            <w:noWrap w:val="0"/>
            <w:vAlign w:val="center"/>
          </w:tcPr>
          <w:p w14:paraId="1497A2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2005汨罗市环境保护局审批\2013年5月20日岳阳市环境保护局审批</w:t>
            </w:r>
          </w:p>
        </w:tc>
        <w:tc>
          <w:tcPr>
            <w:tcW w:w="829" w:type="pct"/>
            <w:tcBorders>
              <w:tl2br w:val="nil"/>
              <w:tr2bl w:val="nil"/>
            </w:tcBorders>
            <w:noWrap w:val="0"/>
            <w:vAlign w:val="center"/>
          </w:tcPr>
          <w:p w14:paraId="45B010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汨环验[2017]34号</w:t>
            </w:r>
          </w:p>
        </w:tc>
        <w:tc>
          <w:tcPr>
            <w:tcW w:w="232" w:type="pct"/>
            <w:tcBorders>
              <w:tl2br w:val="nil"/>
              <w:tr2bl w:val="nil"/>
            </w:tcBorders>
            <w:noWrap w:val="0"/>
            <w:vAlign w:val="center"/>
          </w:tcPr>
          <w:p w14:paraId="78601CA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在产</w:t>
            </w:r>
          </w:p>
        </w:tc>
      </w:tr>
      <w:tr w14:paraId="13039EB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0B08535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24</w:t>
            </w:r>
          </w:p>
        </w:tc>
        <w:tc>
          <w:tcPr>
            <w:tcW w:w="1218" w:type="pct"/>
            <w:tcBorders>
              <w:tl2br w:val="nil"/>
              <w:tr2bl w:val="nil"/>
            </w:tcBorders>
            <w:noWrap w:val="0"/>
            <w:vAlign w:val="center"/>
          </w:tcPr>
          <w:p w14:paraId="3DCA7EA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汨罗市润达玻璃有限责任公司</w:t>
            </w:r>
          </w:p>
        </w:tc>
        <w:tc>
          <w:tcPr>
            <w:tcW w:w="1567" w:type="pct"/>
            <w:tcBorders>
              <w:tl2br w:val="nil"/>
              <w:tr2bl w:val="nil"/>
            </w:tcBorders>
            <w:noWrap w:val="0"/>
            <w:vAlign w:val="center"/>
          </w:tcPr>
          <w:p w14:paraId="390C168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28万平方米/年钢化玻璃，2万平方米/年中空玻璃</w:t>
            </w:r>
          </w:p>
        </w:tc>
        <w:tc>
          <w:tcPr>
            <w:tcW w:w="973" w:type="pct"/>
            <w:tcBorders>
              <w:tl2br w:val="nil"/>
              <w:tr2bl w:val="nil"/>
            </w:tcBorders>
            <w:noWrap w:val="0"/>
            <w:vAlign w:val="center"/>
          </w:tcPr>
          <w:p w14:paraId="50ACF6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汨环评批[2019]020号</w:t>
            </w:r>
          </w:p>
        </w:tc>
        <w:tc>
          <w:tcPr>
            <w:tcW w:w="829" w:type="pct"/>
            <w:tcBorders>
              <w:tl2br w:val="nil"/>
              <w:tr2bl w:val="nil"/>
            </w:tcBorders>
            <w:noWrap w:val="0"/>
            <w:vAlign w:val="center"/>
          </w:tcPr>
          <w:p w14:paraId="4CD7FE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1AD5E66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63D65B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12431F07">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25</w:t>
            </w:r>
          </w:p>
        </w:tc>
        <w:tc>
          <w:tcPr>
            <w:tcW w:w="1218" w:type="pct"/>
            <w:tcBorders>
              <w:tl2br w:val="nil"/>
              <w:tr2bl w:val="nil"/>
            </w:tcBorders>
            <w:noWrap w:val="0"/>
            <w:vAlign w:val="center"/>
          </w:tcPr>
          <w:p w14:paraId="76E64D3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汨罗市龙舟惠群农机有限公司</w:t>
            </w:r>
          </w:p>
        </w:tc>
        <w:tc>
          <w:tcPr>
            <w:tcW w:w="1567" w:type="pct"/>
            <w:tcBorders>
              <w:tl2br w:val="nil"/>
              <w:tr2bl w:val="nil"/>
            </w:tcBorders>
            <w:noWrap w:val="0"/>
            <w:vAlign w:val="center"/>
          </w:tcPr>
          <w:p w14:paraId="6A0FFCA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年回收利用2000台废旧农机</w:t>
            </w:r>
          </w:p>
        </w:tc>
        <w:tc>
          <w:tcPr>
            <w:tcW w:w="973" w:type="pct"/>
            <w:tcBorders>
              <w:tl2br w:val="nil"/>
              <w:tr2bl w:val="nil"/>
            </w:tcBorders>
            <w:noWrap w:val="0"/>
            <w:vAlign w:val="center"/>
          </w:tcPr>
          <w:p w14:paraId="7E7C4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汨环评批[2017]003号</w:t>
            </w:r>
          </w:p>
        </w:tc>
        <w:tc>
          <w:tcPr>
            <w:tcW w:w="829" w:type="pct"/>
            <w:tcBorders>
              <w:tl2br w:val="nil"/>
              <w:tr2bl w:val="nil"/>
            </w:tcBorders>
            <w:noWrap w:val="0"/>
            <w:vAlign w:val="center"/>
          </w:tcPr>
          <w:p w14:paraId="23646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汨环验[2017]40号</w:t>
            </w:r>
          </w:p>
        </w:tc>
        <w:tc>
          <w:tcPr>
            <w:tcW w:w="232" w:type="pct"/>
            <w:tcBorders>
              <w:tl2br w:val="nil"/>
              <w:tr2bl w:val="nil"/>
            </w:tcBorders>
            <w:noWrap w:val="0"/>
            <w:vAlign w:val="center"/>
          </w:tcPr>
          <w:p w14:paraId="47C0AE9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1182C9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68428823">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26</w:t>
            </w:r>
          </w:p>
        </w:tc>
        <w:tc>
          <w:tcPr>
            <w:tcW w:w="1218" w:type="pct"/>
            <w:tcBorders>
              <w:tl2br w:val="nil"/>
              <w:tr2bl w:val="nil"/>
            </w:tcBorders>
            <w:noWrap w:val="0"/>
            <w:vAlign w:val="center"/>
          </w:tcPr>
          <w:p w14:paraId="544CA56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湖南天永晨威智能装备有限公司(原湖南晨威高科有限公司)</w:t>
            </w:r>
          </w:p>
        </w:tc>
        <w:tc>
          <w:tcPr>
            <w:tcW w:w="1567" w:type="pct"/>
            <w:tcBorders>
              <w:tl2br w:val="nil"/>
              <w:tr2bl w:val="nil"/>
            </w:tcBorders>
            <w:noWrap w:val="0"/>
            <w:vAlign w:val="center"/>
          </w:tcPr>
          <w:p w14:paraId="49058CD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年产4500台高档电池检测设备、10000台电动汽车充电机项目</w:t>
            </w:r>
          </w:p>
        </w:tc>
        <w:tc>
          <w:tcPr>
            <w:tcW w:w="973" w:type="pct"/>
            <w:tcBorders>
              <w:tl2br w:val="nil"/>
              <w:tr2bl w:val="nil"/>
            </w:tcBorders>
            <w:noWrap w:val="0"/>
            <w:vAlign w:val="center"/>
          </w:tcPr>
          <w:p w14:paraId="70B869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岳环评[2015]25号</w:t>
            </w:r>
          </w:p>
        </w:tc>
        <w:tc>
          <w:tcPr>
            <w:tcW w:w="829" w:type="pct"/>
            <w:tcBorders>
              <w:tl2br w:val="nil"/>
              <w:tr2bl w:val="nil"/>
            </w:tcBorders>
            <w:noWrap w:val="0"/>
            <w:vAlign w:val="center"/>
          </w:tcPr>
          <w:p w14:paraId="1007BD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汨环监意[2017]43号</w:t>
            </w:r>
          </w:p>
        </w:tc>
        <w:tc>
          <w:tcPr>
            <w:tcW w:w="232" w:type="pct"/>
            <w:tcBorders>
              <w:tl2br w:val="nil"/>
              <w:tr2bl w:val="nil"/>
            </w:tcBorders>
            <w:noWrap w:val="0"/>
            <w:vAlign w:val="center"/>
          </w:tcPr>
          <w:p w14:paraId="4192CDE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171771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79876C99">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27</w:t>
            </w:r>
          </w:p>
        </w:tc>
        <w:tc>
          <w:tcPr>
            <w:tcW w:w="1218" w:type="pct"/>
            <w:tcBorders>
              <w:tl2br w:val="nil"/>
              <w:tr2bl w:val="nil"/>
            </w:tcBorders>
            <w:noWrap w:val="0"/>
            <w:vAlign w:val="center"/>
          </w:tcPr>
          <w:p w14:paraId="7D57F99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汨罗凯美捷装饰材料有限公司</w:t>
            </w:r>
          </w:p>
        </w:tc>
        <w:tc>
          <w:tcPr>
            <w:tcW w:w="1567" w:type="pct"/>
            <w:tcBorders>
              <w:tl2br w:val="nil"/>
              <w:tr2bl w:val="nil"/>
            </w:tcBorders>
            <w:noWrap w:val="0"/>
            <w:vAlign w:val="center"/>
          </w:tcPr>
          <w:p w14:paraId="4CD047E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PVC 喷绘装饰板6000平米、PVC 硬光装饰板12000平米、竹木纤维喷绘装饰板14000平米、竹木纤维硬光装饰板28000平米，共约6万平米/年</w:t>
            </w:r>
          </w:p>
        </w:tc>
        <w:tc>
          <w:tcPr>
            <w:tcW w:w="973" w:type="pct"/>
            <w:tcBorders>
              <w:tl2br w:val="nil"/>
              <w:tr2bl w:val="nil"/>
            </w:tcBorders>
            <w:noWrap w:val="0"/>
            <w:vAlign w:val="center"/>
          </w:tcPr>
          <w:p w14:paraId="64778D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汨环评批〔2020〕087号</w:t>
            </w:r>
          </w:p>
        </w:tc>
        <w:tc>
          <w:tcPr>
            <w:tcW w:w="829" w:type="pct"/>
            <w:tcBorders>
              <w:tl2br w:val="nil"/>
              <w:tr2bl w:val="nil"/>
            </w:tcBorders>
            <w:noWrap w:val="0"/>
            <w:vAlign w:val="center"/>
          </w:tcPr>
          <w:p w14:paraId="4CEF7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w:t>
            </w:r>
          </w:p>
        </w:tc>
        <w:tc>
          <w:tcPr>
            <w:tcW w:w="232" w:type="pct"/>
            <w:tcBorders>
              <w:tl2br w:val="nil"/>
              <w:tr2bl w:val="nil"/>
            </w:tcBorders>
            <w:noWrap w:val="0"/>
            <w:vAlign w:val="center"/>
          </w:tcPr>
          <w:p w14:paraId="62CD437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11DE08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535E48E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28</w:t>
            </w:r>
          </w:p>
        </w:tc>
        <w:tc>
          <w:tcPr>
            <w:tcW w:w="1218" w:type="pct"/>
            <w:tcBorders>
              <w:tl2br w:val="nil"/>
              <w:tr2bl w:val="nil"/>
            </w:tcBorders>
            <w:noWrap w:val="0"/>
            <w:vAlign w:val="center"/>
          </w:tcPr>
          <w:p w14:paraId="10E12415">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汨罗市鑫祥碳素制品有限公司</w:t>
            </w:r>
          </w:p>
        </w:tc>
        <w:tc>
          <w:tcPr>
            <w:tcW w:w="1567" w:type="pct"/>
            <w:tcBorders>
              <w:tl2br w:val="nil"/>
              <w:tr2bl w:val="nil"/>
            </w:tcBorders>
            <w:noWrap w:val="0"/>
            <w:vAlign w:val="center"/>
          </w:tcPr>
          <w:p w14:paraId="089614F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高品质石墨增碳剂47200t/a、高峰品质石墨粉锂离子电池负极材料4000t/a、石墨异性制品1000t/a、中低档石墨增碳剂2000t/a</w:t>
            </w:r>
          </w:p>
        </w:tc>
        <w:tc>
          <w:tcPr>
            <w:tcW w:w="973" w:type="pct"/>
            <w:tcBorders>
              <w:tl2br w:val="nil"/>
              <w:tr2bl w:val="nil"/>
            </w:tcBorders>
            <w:noWrap w:val="0"/>
            <w:vAlign w:val="center"/>
          </w:tcPr>
          <w:p w14:paraId="0CA951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岳环评批[2011]13号、岳汨环评〔2022〕008号</w:t>
            </w:r>
          </w:p>
        </w:tc>
        <w:tc>
          <w:tcPr>
            <w:tcW w:w="829" w:type="pct"/>
            <w:tcBorders>
              <w:tl2br w:val="nil"/>
              <w:tr2bl w:val="nil"/>
            </w:tcBorders>
            <w:noWrap w:val="0"/>
            <w:vAlign w:val="center"/>
          </w:tcPr>
          <w:p w14:paraId="7334C6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岳环评验[2012]18号，</w:t>
            </w:r>
            <w:r>
              <w:rPr>
                <w:rStyle w:val="40"/>
                <w:rFonts w:hint="default" w:ascii="Times New Roman" w:hAnsi="Times New Roman" w:eastAsia="宋体" w:cs="Times New Roman"/>
                <w:b w:val="0"/>
                <w:bCs/>
                <w:snapToGrid w:val="0"/>
                <w:color w:val="auto"/>
                <w:sz w:val="21"/>
                <w:szCs w:val="21"/>
                <w:u w:val="none" w:color="auto"/>
                <w:lang w:val="en-US" w:eastAsia="zh-CN" w:bidi="ar"/>
              </w:rPr>
              <w:t>2022</w:t>
            </w:r>
            <w:r>
              <w:rPr>
                <w:rFonts w:hint="default" w:ascii="Times New Roman" w:hAnsi="Times New Roman" w:eastAsia="宋体" w:cs="Times New Roman"/>
                <w:b w:val="0"/>
                <w:bCs/>
                <w:i w:val="0"/>
                <w:snapToGrid w:val="0"/>
                <w:color w:val="auto"/>
                <w:kern w:val="0"/>
                <w:sz w:val="21"/>
                <w:szCs w:val="21"/>
                <w:u w:val="none" w:color="auto"/>
                <w:lang w:val="en-US" w:eastAsia="zh-CN" w:bidi="ar"/>
              </w:rPr>
              <w:t>年项目未验收</w:t>
            </w:r>
          </w:p>
        </w:tc>
        <w:tc>
          <w:tcPr>
            <w:tcW w:w="232" w:type="pct"/>
            <w:tcBorders>
              <w:tl2br w:val="nil"/>
              <w:tr2bl w:val="nil"/>
            </w:tcBorders>
            <w:noWrap w:val="0"/>
            <w:vAlign w:val="center"/>
          </w:tcPr>
          <w:p w14:paraId="1D1997C0">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停产</w:t>
            </w:r>
          </w:p>
        </w:tc>
      </w:tr>
      <w:tr w14:paraId="31DCE7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5025E4D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29</w:t>
            </w:r>
          </w:p>
        </w:tc>
        <w:tc>
          <w:tcPr>
            <w:tcW w:w="1218" w:type="pct"/>
            <w:tcBorders>
              <w:tl2br w:val="nil"/>
              <w:tr2bl w:val="nil"/>
            </w:tcBorders>
            <w:noWrap w:val="0"/>
            <w:vAlign w:val="center"/>
          </w:tcPr>
          <w:p w14:paraId="0DDEA46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湖南金炬电子科技有限公司</w:t>
            </w:r>
          </w:p>
        </w:tc>
        <w:tc>
          <w:tcPr>
            <w:tcW w:w="1567" w:type="pct"/>
            <w:tcBorders>
              <w:tl2br w:val="nil"/>
              <w:tr2bl w:val="nil"/>
            </w:tcBorders>
            <w:noWrap w:val="0"/>
            <w:vAlign w:val="center"/>
          </w:tcPr>
          <w:p w14:paraId="1F04CDE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开关电源（LED开关电源）、年产500万个开关电源</w:t>
            </w:r>
          </w:p>
        </w:tc>
        <w:tc>
          <w:tcPr>
            <w:tcW w:w="973" w:type="pct"/>
            <w:tcBorders>
              <w:tl2br w:val="nil"/>
              <w:tr2bl w:val="nil"/>
            </w:tcBorders>
            <w:noWrap w:val="0"/>
            <w:vAlign w:val="center"/>
          </w:tcPr>
          <w:p w14:paraId="06F59C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 [2019]044号</w:t>
            </w:r>
          </w:p>
        </w:tc>
        <w:tc>
          <w:tcPr>
            <w:tcW w:w="829" w:type="pct"/>
            <w:tcBorders>
              <w:tl2br w:val="nil"/>
              <w:tr2bl w:val="nil"/>
            </w:tcBorders>
            <w:noWrap w:val="0"/>
            <w:vAlign w:val="center"/>
          </w:tcPr>
          <w:p w14:paraId="03D869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509D6862">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3562E5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3C7AEA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30</w:t>
            </w:r>
          </w:p>
        </w:tc>
        <w:tc>
          <w:tcPr>
            <w:tcW w:w="1218" w:type="pct"/>
            <w:tcBorders>
              <w:tl2br w:val="nil"/>
              <w:tr2bl w:val="nil"/>
            </w:tcBorders>
            <w:noWrap w:val="0"/>
            <w:vAlign w:val="center"/>
          </w:tcPr>
          <w:p w14:paraId="58EF110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汨罗市铭鸿电子有限公司</w:t>
            </w:r>
          </w:p>
        </w:tc>
        <w:tc>
          <w:tcPr>
            <w:tcW w:w="1567" w:type="pct"/>
            <w:tcBorders>
              <w:tl2br w:val="nil"/>
              <w:tr2bl w:val="nil"/>
            </w:tcBorders>
            <w:noWrap w:val="0"/>
            <w:vAlign w:val="center"/>
          </w:tcPr>
          <w:p w14:paraId="3855DEE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年产电脑连接线1500t/a、通讯线材1500t/a</w:t>
            </w:r>
          </w:p>
        </w:tc>
        <w:tc>
          <w:tcPr>
            <w:tcW w:w="973" w:type="pct"/>
            <w:tcBorders>
              <w:tl2br w:val="nil"/>
              <w:tr2bl w:val="nil"/>
            </w:tcBorders>
            <w:noWrap w:val="0"/>
            <w:vAlign w:val="center"/>
          </w:tcPr>
          <w:p w14:paraId="199092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汨环评批[2015]025号</w:t>
            </w:r>
          </w:p>
        </w:tc>
        <w:tc>
          <w:tcPr>
            <w:tcW w:w="829" w:type="pct"/>
            <w:tcBorders>
              <w:tl2br w:val="nil"/>
              <w:tr2bl w:val="nil"/>
            </w:tcBorders>
            <w:noWrap w:val="0"/>
            <w:vAlign w:val="center"/>
          </w:tcPr>
          <w:p w14:paraId="03A7B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汨环验[2016]15号</w:t>
            </w:r>
          </w:p>
        </w:tc>
        <w:tc>
          <w:tcPr>
            <w:tcW w:w="232" w:type="pct"/>
            <w:tcBorders>
              <w:tl2br w:val="nil"/>
              <w:tr2bl w:val="nil"/>
            </w:tcBorders>
            <w:noWrap w:val="0"/>
            <w:vAlign w:val="center"/>
          </w:tcPr>
          <w:p w14:paraId="5EF740F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3B6E50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D44BFF0">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31</w:t>
            </w:r>
          </w:p>
        </w:tc>
        <w:tc>
          <w:tcPr>
            <w:tcW w:w="1218" w:type="pct"/>
            <w:tcBorders>
              <w:tl2br w:val="nil"/>
              <w:tr2bl w:val="nil"/>
            </w:tcBorders>
            <w:noWrap w:val="0"/>
            <w:vAlign w:val="center"/>
          </w:tcPr>
          <w:p w14:paraId="270FA9C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湖南联基电子有限公司</w:t>
            </w:r>
          </w:p>
        </w:tc>
        <w:tc>
          <w:tcPr>
            <w:tcW w:w="1567" w:type="pct"/>
            <w:tcBorders>
              <w:tl2br w:val="nil"/>
              <w:tr2bl w:val="nil"/>
            </w:tcBorders>
            <w:noWrap w:val="0"/>
            <w:vAlign w:val="center"/>
          </w:tcPr>
          <w:p w14:paraId="447D6F0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手机数据线-计算机连接线-电视机连接线、年产8000万条数据线建设项目</w:t>
            </w:r>
          </w:p>
        </w:tc>
        <w:tc>
          <w:tcPr>
            <w:tcW w:w="973" w:type="pct"/>
            <w:tcBorders>
              <w:tl2br w:val="nil"/>
              <w:tr2bl w:val="nil"/>
            </w:tcBorders>
            <w:noWrap w:val="0"/>
            <w:vAlign w:val="center"/>
          </w:tcPr>
          <w:p w14:paraId="318AD9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汨环评批[2019]029号</w:t>
            </w:r>
          </w:p>
        </w:tc>
        <w:tc>
          <w:tcPr>
            <w:tcW w:w="829" w:type="pct"/>
            <w:tcBorders>
              <w:tl2br w:val="nil"/>
              <w:tr2bl w:val="nil"/>
            </w:tcBorders>
            <w:noWrap w:val="0"/>
            <w:vAlign w:val="center"/>
          </w:tcPr>
          <w:p w14:paraId="79E2CF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6E1D70C0">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67DFD9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1593B299">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32</w:t>
            </w:r>
          </w:p>
        </w:tc>
        <w:tc>
          <w:tcPr>
            <w:tcW w:w="1218" w:type="pct"/>
            <w:tcBorders>
              <w:tl2br w:val="nil"/>
              <w:tr2bl w:val="nil"/>
            </w:tcBorders>
            <w:noWrap w:val="0"/>
            <w:vAlign w:val="center"/>
          </w:tcPr>
          <w:p w14:paraId="458A843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湖南音品电子有限公司</w:t>
            </w:r>
          </w:p>
        </w:tc>
        <w:tc>
          <w:tcPr>
            <w:tcW w:w="1567" w:type="pct"/>
            <w:tcBorders>
              <w:tl2br w:val="nil"/>
              <w:tr2bl w:val="nil"/>
            </w:tcBorders>
            <w:noWrap w:val="0"/>
            <w:vAlign w:val="center"/>
          </w:tcPr>
          <w:p w14:paraId="3B145B1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新型二合一和弦扬声器、和弦扬声器2000万PCS建设项目</w:t>
            </w:r>
          </w:p>
        </w:tc>
        <w:tc>
          <w:tcPr>
            <w:tcW w:w="973" w:type="pct"/>
            <w:tcBorders>
              <w:tl2br w:val="nil"/>
              <w:tr2bl w:val="nil"/>
            </w:tcBorders>
            <w:noWrap w:val="0"/>
            <w:vAlign w:val="center"/>
          </w:tcPr>
          <w:p w14:paraId="34123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已环评（无文号）</w:t>
            </w:r>
          </w:p>
        </w:tc>
        <w:tc>
          <w:tcPr>
            <w:tcW w:w="829" w:type="pct"/>
            <w:tcBorders>
              <w:tl2br w:val="nil"/>
              <w:tr2bl w:val="nil"/>
            </w:tcBorders>
            <w:noWrap w:val="0"/>
            <w:vAlign w:val="center"/>
          </w:tcPr>
          <w:p w14:paraId="3891B5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岳环评验[2013]11号</w:t>
            </w:r>
          </w:p>
        </w:tc>
        <w:tc>
          <w:tcPr>
            <w:tcW w:w="232" w:type="pct"/>
            <w:tcBorders>
              <w:tl2br w:val="nil"/>
              <w:tr2bl w:val="nil"/>
            </w:tcBorders>
            <w:noWrap w:val="0"/>
            <w:vAlign w:val="center"/>
          </w:tcPr>
          <w:p w14:paraId="0EEA829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32B17F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24B20087">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33</w:t>
            </w:r>
          </w:p>
        </w:tc>
        <w:tc>
          <w:tcPr>
            <w:tcW w:w="1218" w:type="pct"/>
            <w:tcBorders>
              <w:tl2br w:val="nil"/>
              <w:tr2bl w:val="nil"/>
            </w:tcBorders>
            <w:noWrap w:val="0"/>
            <w:vAlign w:val="center"/>
          </w:tcPr>
          <w:p w14:paraId="4415357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汨罗市协音电子有限公司</w:t>
            </w:r>
          </w:p>
        </w:tc>
        <w:tc>
          <w:tcPr>
            <w:tcW w:w="1567" w:type="pct"/>
            <w:tcBorders>
              <w:tl2br w:val="nil"/>
              <w:tr2bl w:val="nil"/>
            </w:tcBorders>
            <w:noWrap w:val="0"/>
            <w:vAlign w:val="center"/>
          </w:tcPr>
          <w:p w14:paraId="21C1D0F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日网（090030021MG）2700万个、GASKET（XQ-1511YS-RW01）2500万个</w:t>
            </w:r>
          </w:p>
        </w:tc>
        <w:tc>
          <w:tcPr>
            <w:tcW w:w="973" w:type="pct"/>
            <w:tcBorders>
              <w:tl2br w:val="nil"/>
              <w:tr2bl w:val="nil"/>
            </w:tcBorders>
            <w:noWrap w:val="0"/>
            <w:vAlign w:val="center"/>
          </w:tcPr>
          <w:p w14:paraId="2ED4B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汨环评审[2012]052号</w:t>
            </w:r>
          </w:p>
        </w:tc>
        <w:tc>
          <w:tcPr>
            <w:tcW w:w="829" w:type="pct"/>
            <w:tcBorders>
              <w:tl2br w:val="nil"/>
              <w:tr2bl w:val="nil"/>
            </w:tcBorders>
            <w:noWrap w:val="0"/>
            <w:vAlign w:val="center"/>
          </w:tcPr>
          <w:p w14:paraId="327257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汨环验[2016]1号</w:t>
            </w:r>
          </w:p>
        </w:tc>
        <w:tc>
          <w:tcPr>
            <w:tcW w:w="232" w:type="pct"/>
            <w:tcBorders>
              <w:tl2br w:val="nil"/>
              <w:tr2bl w:val="nil"/>
            </w:tcBorders>
            <w:noWrap w:val="0"/>
            <w:vAlign w:val="center"/>
          </w:tcPr>
          <w:p w14:paraId="04A0DFE8">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060BF73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7EC5D06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34</w:t>
            </w:r>
          </w:p>
        </w:tc>
        <w:tc>
          <w:tcPr>
            <w:tcW w:w="1218" w:type="pct"/>
            <w:tcBorders>
              <w:tl2br w:val="nil"/>
              <w:tr2bl w:val="nil"/>
            </w:tcBorders>
            <w:noWrap w:val="0"/>
            <w:vAlign w:val="center"/>
          </w:tcPr>
          <w:p w14:paraId="52E863F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湖南省晨钰新材料有限公司</w:t>
            </w:r>
          </w:p>
        </w:tc>
        <w:tc>
          <w:tcPr>
            <w:tcW w:w="1567" w:type="pct"/>
            <w:tcBorders>
              <w:tl2br w:val="nil"/>
              <w:tr2bl w:val="nil"/>
            </w:tcBorders>
            <w:noWrap w:val="0"/>
            <w:vAlign w:val="center"/>
          </w:tcPr>
          <w:p w14:paraId="6945C85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年产15000吨三元乙丙橡胶颗粒</w:t>
            </w:r>
          </w:p>
        </w:tc>
        <w:tc>
          <w:tcPr>
            <w:tcW w:w="973" w:type="pct"/>
            <w:tcBorders>
              <w:tl2br w:val="nil"/>
              <w:tr2bl w:val="nil"/>
            </w:tcBorders>
            <w:noWrap w:val="0"/>
            <w:vAlign w:val="center"/>
          </w:tcPr>
          <w:p w14:paraId="408933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汨环评批[2020]019号</w:t>
            </w:r>
          </w:p>
        </w:tc>
        <w:tc>
          <w:tcPr>
            <w:tcW w:w="829" w:type="pct"/>
            <w:tcBorders>
              <w:tl2br w:val="nil"/>
              <w:tr2bl w:val="nil"/>
            </w:tcBorders>
            <w:noWrap w:val="0"/>
            <w:vAlign w:val="center"/>
          </w:tcPr>
          <w:p w14:paraId="6B8AA9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0CEEDB6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016A47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718FB7D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35</w:t>
            </w:r>
          </w:p>
        </w:tc>
        <w:tc>
          <w:tcPr>
            <w:tcW w:w="1218" w:type="pct"/>
            <w:tcBorders>
              <w:tl2br w:val="nil"/>
              <w:tr2bl w:val="nil"/>
            </w:tcBorders>
            <w:noWrap w:val="0"/>
            <w:vAlign w:val="center"/>
          </w:tcPr>
          <w:p w14:paraId="1AD76E3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湖南速环新材料有限公司</w:t>
            </w:r>
          </w:p>
        </w:tc>
        <w:tc>
          <w:tcPr>
            <w:tcW w:w="1567" w:type="pct"/>
            <w:tcBorders>
              <w:tl2br w:val="nil"/>
              <w:tr2bl w:val="nil"/>
            </w:tcBorders>
            <w:noWrap w:val="0"/>
            <w:vAlign w:val="center"/>
          </w:tcPr>
          <w:p w14:paraId="55C2474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年产36000件PVC阴阳角线</w:t>
            </w:r>
          </w:p>
        </w:tc>
        <w:tc>
          <w:tcPr>
            <w:tcW w:w="973" w:type="pct"/>
            <w:tcBorders>
              <w:tl2br w:val="nil"/>
              <w:tr2bl w:val="nil"/>
            </w:tcBorders>
            <w:noWrap w:val="0"/>
            <w:vAlign w:val="center"/>
          </w:tcPr>
          <w:p w14:paraId="185AA8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汩环评批[2020]042号</w:t>
            </w:r>
          </w:p>
        </w:tc>
        <w:tc>
          <w:tcPr>
            <w:tcW w:w="829" w:type="pct"/>
            <w:tcBorders>
              <w:tl2br w:val="nil"/>
              <w:tr2bl w:val="nil"/>
            </w:tcBorders>
            <w:noWrap w:val="0"/>
            <w:vAlign w:val="center"/>
          </w:tcPr>
          <w:p w14:paraId="5CFC19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1E15085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6262E9E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278A1A6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36</w:t>
            </w:r>
          </w:p>
        </w:tc>
        <w:tc>
          <w:tcPr>
            <w:tcW w:w="1218" w:type="pct"/>
            <w:tcBorders>
              <w:tl2br w:val="nil"/>
              <w:tr2bl w:val="nil"/>
            </w:tcBorders>
            <w:noWrap w:val="0"/>
            <w:vAlign w:val="center"/>
          </w:tcPr>
          <w:p w14:paraId="6BE3761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湖南博盈新材料有限公司</w:t>
            </w:r>
          </w:p>
        </w:tc>
        <w:tc>
          <w:tcPr>
            <w:tcW w:w="1567" w:type="pct"/>
            <w:tcBorders>
              <w:tl2br w:val="nil"/>
              <w:tr2bl w:val="nil"/>
            </w:tcBorders>
            <w:noWrap w:val="0"/>
            <w:vAlign w:val="center"/>
          </w:tcPr>
          <w:p w14:paraId="5033833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年产10000吨竹炭纤维饰板</w:t>
            </w:r>
          </w:p>
        </w:tc>
        <w:tc>
          <w:tcPr>
            <w:tcW w:w="973" w:type="pct"/>
            <w:tcBorders>
              <w:tl2br w:val="nil"/>
              <w:tr2bl w:val="nil"/>
            </w:tcBorders>
            <w:noWrap w:val="0"/>
            <w:vAlign w:val="center"/>
          </w:tcPr>
          <w:p w14:paraId="0ED0BD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 [2020]030号</w:t>
            </w:r>
          </w:p>
        </w:tc>
        <w:tc>
          <w:tcPr>
            <w:tcW w:w="829" w:type="pct"/>
            <w:tcBorders>
              <w:tl2br w:val="nil"/>
              <w:tr2bl w:val="nil"/>
            </w:tcBorders>
            <w:noWrap w:val="0"/>
            <w:vAlign w:val="center"/>
          </w:tcPr>
          <w:p w14:paraId="537AAD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21A05E8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782A24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F18D1B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37</w:t>
            </w:r>
          </w:p>
        </w:tc>
        <w:tc>
          <w:tcPr>
            <w:tcW w:w="1218" w:type="pct"/>
            <w:tcBorders>
              <w:tl2br w:val="nil"/>
              <w:tr2bl w:val="nil"/>
            </w:tcBorders>
            <w:noWrap w:val="0"/>
            <w:vAlign w:val="center"/>
          </w:tcPr>
          <w:p w14:paraId="343F655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汨罗市宏丽装饰材料厂</w:t>
            </w:r>
          </w:p>
        </w:tc>
        <w:tc>
          <w:tcPr>
            <w:tcW w:w="1567" w:type="pct"/>
            <w:tcBorders>
              <w:tl2br w:val="nil"/>
              <w:tr2bl w:val="nil"/>
            </w:tcBorders>
            <w:noWrap w:val="0"/>
            <w:vAlign w:val="center"/>
          </w:tcPr>
          <w:p w14:paraId="2820C29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年产1500吨PVC装饰板材</w:t>
            </w:r>
          </w:p>
        </w:tc>
        <w:tc>
          <w:tcPr>
            <w:tcW w:w="973" w:type="pct"/>
            <w:tcBorders>
              <w:tl2br w:val="nil"/>
              <w:tr2bl w:val="nil"/>
            </w:tcBorders>
            <w:noWrap w:val="0"/>
            <w:vAlign w:val="center"/>
          </w:tcPr>
          <w:p w14:paraId="590662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汨环评批[2017]028号</w:t>
            </w:r>
          </w:p>
        </w:tc>
        <w:tc>
          <w:tcPr>
            <w:tcW w:w="829" w:type="pct"/>
            <w:tcBorders>
              <w:tl2br w:val="nil"/>
              <w:tr2bl w:val="nil"/>
            </w:tcBorders>
            <w:noWrap w:val="0"/>
            <w:vAlign w:val="center"/>
          </w:tcPr>
          <w:p w14:paraId="604620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汨环验[2018]05号</w:t>
            </w:r>
          </w:p>
        </w:tc>
        <w:tc>
          <w:tcPr>
            <w:tcW w:w="232" w:type="pct"/>
            <w:tcBorders>
              <w:tl2br w:val="nil"/>
              <w:tr2bl w:val="nil"/>
            </w:tcBorders>
            <w:noWrap w:val="0"/>
            <w:vAlign w:val="center"/>
          </w:tcPr>
          <w:p w14:paraId="1B41E48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71022E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5E9E55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38</w:t>
            </w:r>
          </w:p>
        </w:tc>
        <w:tc>
          <w:tcPr>
            <w:tcW w:w="1218" w:type="pct"/>
            <w:tcBorders>
              <w:tl2br w:val="nil"/>
              <w:tr2bl w:val="nil"/>
            </w:tcBorders>
            <w:noWrap w:val="0"/>
            <w:vAlign w:val="center"/>
          </w:tcPr>
          <w:p w14:paraId="5B6C96F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汨罗市宇翔新材料有限公司</w:t>
            </w:r>
          </w:p>
        </w:tc>
        <w:tc>
          <w:tcPr>
            <w:tcW w:w="1567" w:type="pct"/>
            <w:tcBorders>
              <w:tl2br w:val="nil"/>
              <w:tr2bl w:val="nil"/>
            </w:tcBorders>
            <w:noWrap w:val="0"/>
            <w:vAlign w:val="center"/>
          </w:tcPr>
          <w:p w14:paraId="17AF0FD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年产20000吨装饰板</w:t>
            </w:r>
          </w:p>
        </w:tc>
        <w:tc>
          <w:tcPr>
            <w:tcW w:w="973" w:type="pct"/>
            <w:tcBorders>
              <w:tl2br w:val="nil"/>
              <w:tr2bl w:val="nil"/>
            </w:tcBorders>
            <w:noWrap w:val="0"/>
            <w:vAlign w:val="center"/>
          </w:tcPr>
          <w:p w14:paraId="76AA96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 [2019]56号</w:t>
            </w:r>
          </w:p>
        </w:tc>
        <w:tc>
          <w:tcPr>
            <w:tcW w:w="829" w:type="pct"/>
            <w:tcBorders>
              <w:tl2br w:val="nil"/>
              <w:tr2bl w:val="nil"/>
            </w:tcBorders>
            <w:noWrap w:val="0"/>
            <w:vAlign w:val="center"/>
          </w:tcPr>
          <w:p w14:paraId="77070F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已验收（无文号）</w:t>
            </w:r>
          </w:p>
        </w:tc>
        <w:tc>
          <w:tcPr>
            <w:tcW w:w="232" w:type="pct"/>
            <w:tcBorders>
              <w:tl2br w:val="nil"/>
              <w:tr2bl w:val="nil"/>
            </w:tcBorders>
            <w:noWrap w:val="0"/>
            <w:vAlign w:val="center"/>
          </w:tcPr>
          <w:p w14:paraId="5D068C2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535742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02F73E4E">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39</w:t>
            </w:r>
          </w:p>
        </w:tc>
        <w:tc>
          <w:tcPr>
            <w:tcW w:w="1218" w:type="pct"/>
            <w:vMerge w:val="restart"/>
            <w:tcBorders>
              <w:tl2br w:val="nil"/>
              <w:tr2bl w:val="nil"/>
            </w:tcBorders>
            <w:noWrap w:val="0"/>
            <w:vAlign w:val="center"/>
          </w:tcPr>
          <w:p w14:paraId="35D50D4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湖南海鑫新材料有限公司</w:t>
            </w:r>
          </w:p>
        </w:tc>
        <w:tc>
          <w:tcPr>
            <w:tcW w:w="1567" w:type="pct"/>
            <w:tcBorders>
              <w:tl2br w:val="nil"/>
              <w:tr2bl w:val="nil"/>
            </w:tcBorders>
            <w:noWrap w:val="0"/>
            <w:vAlign w:val="center"/>
          </w:tcPr>
          <w:p w14:paraId="1634EE8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PVC层压板40000t/a</w:t>
            </w:r>
          </w:p>
        </w:tc>
        <w:tc>
          <w:tcPr>
            <w:tcW w:w="973" w:type="pct"/>
            <w:tcBorders>
              <w:tl2br w:val="nil"/>
              <w:tr2bl w:val="nil"/>
            </w:tcBorders>
            <w:noWrap w:val="0"/>
            <w:vAlign w:val="center"/>
          </w:tcPr>
          <w:p w14:paraId="4813E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岳环评批[2011]29号、汩环评批[2019]046号</w:t>
            </w:r>
          </w:p>
        </w:tc>
        <w:tc>
          <w:tcPr>
            <w:tcW w:w="829" w:type="pct"/>
            <w:tcBorders>
              <w:tl2br w:val="nil"/>
              <w:tr2bl w:val="nil"/>
            </w:tcBorders>
            <w:noWrap w:val="0"/>
            <w:vAlign w:val="center"/>
          </w:tcPr>
          <w:p w14:paraId="6406CC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岳环评验[2012]09号</w:t>
            </w:r>
          </w:p>
        </w:tc>
        <w:tc>
          <w:tcPr>
            <w:tcW w:w="232" w:type="pct"/>
            <w:tcBorders>
              <w:tl2br w:val="nil"/>
              <w:tr2bl w:val="nil"/>
            </w:tcBorders>
            <w:noWrap w:val="0"/>
            <w:vAlign w:val="center"/>
          </w:tcPr>
          <w:p w14:paraId="5FE22703">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5E7D5E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66F001B3">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40</w:t>
            </w:r>
          </w:p>
        </w:tc>
        <w:tc>
          <w:tcPr>
            <w:tcW w:w="1218" w:type="pct"/>
            <w:vMerge w:val="continue"/>
            <w:tcBorders>
              <w:tl2br w:val="nil"/>
              <w:tr2bl w:val="nil"/>
            </w:tcBorders>
            <w:noWrap w:val="0"/>
            <w:vAlign w:val="center"/>
          </w:tcPr>
          <w:p w14:paraId="0C2002A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p>
        </w:tc>
        <w:tc>
          <w:tcPr>
            <w:tcW w:w="1567" w:type="pct"/>
            <w:tcBorders>
              <w:tl2br w:val="nil"/>
              <w:tr2bl w:val="nil"/>
            </w:tcBorders>
            <w:noWrap w:val="0"/>
            <w:vAlign w:val="center"/>
          </w:tcPr>
          <w:p w14:paraId="2A64D61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PVC粉3000t/a</w:t>
            </w:r>
          </w:p>
        </w:tc>
        <w:tc>
          <w:tcPr>
            <w:tcW w:w="973" w:type="pct"/>
            <w:tcBorders>
              <w:tl2br w:val="nil"/>
              <w:tr2bl w:val="nil"/>
            </w:tcBorders>
            <w:noWrap w:val="0"/>
            <w:vAlign w:val="center"/>
          </w:tcPr>
          <w:p w14:paraId="3FCF08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岳汨环评[2022]24号</w:t>
            </w:r>
          </w:p>
        </w:tc>
        <w:tc>
          <w:tcPr>
            <w:tcW w:w="829" w:type="pct"/>
            <w:tcBorders>
              <w:tl2br w:val="nil"/>
              <w:tr2bl w:val="nil"/>
            </w:tcBorders>
            <w:noWrap w:val="0"/>
            <w:vAlign w:val="center"/>
          </w:tcPr>
          <w:p w14:paraId="0ACE3A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tcBorders>
              <w:tl2br w:val="nil"/>
              <w:tr2bl w:val="nil"/>
            </w:tcBorders>
            <w:noWrap w:val="0"/>
            <w:vAlign w:val="center"/>
          </w:tcPr>
          <w:p w14:paraId="5631A04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snapToGrid w:val="0"/>
                <w:color w:val="auto"/>
                <w:kern w:val="0"/>
                <w:sz w:val="21"/>
                <w:szCs w:val="21"/>
                <w:u w:val="none" w:color="auto"/>
                <w:lang w:val="en-US" w:eastAsia="zh-CN" w:bidi="ar"/>
              </w:rPr>
              <w:t>在建</w:t>
            </w:r>
          </w:p>
        </w:tc>
      </w:tr>
      <w:tr w14:paraId="43D3A9D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6C6589E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41</w:t>
            </w:r>
          </w:p>
        </w:tc>
        <w:tc>
          <w:tcPr>
            <w:tcW w:w="1218" w:type="pct"/>
            <w:tcBorders>
              <w:tl2br w:val="nil"/>
              <w:tr2bl w:val="nil"/>
            </w:tcBorders>
            <w:noWrap w:val="0"/>
            <w:vAlign w:val="center"/>
          </w:tcPr>
          <w:p w14:paraId="5B6317F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汨罗市福雅居集成墙板厂</w:t>
            </w:r>
          </w:p>
        </w:tc>
        <w:tc>
          <w:tcPr>
            <w:tcW w:w="1567" w:type="pct"/>
            <w:tcBorders>
              <w:tl2br w:val="nil"/>
              <w:tr2bl w:val="nil"/>
            </w:tcBorders>
            <w:noWrap w:val="0"/>
            <w:vAlign w:val="center"/>
          </w:tcPr>
          <w:p w14:paraId="4F27AFF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年产5万平方米PVC集成墙板</w:t>
            </w:r>
          </w:p>
        </w:tc>
        <w:tc>
          <w:tcPr>
            <w:tcW w:w="973" w:type="pct"/>
            <w:tcBorders>
              <w:tl2br w:val="nil"/>
              <w:tr2bl w:val="nil"/>
            </w:tcBorders>
            <w:noWrap w:val="0"/>
            <w:vAlign w:val="center"/>
          </w:tcPr>
          <w:p w14:paraId="3C8FC4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汨环评批[2018]001号、岳环评[2020]132号</w:t>
            </w:r>
          </w:p>
        </w:tc>
        <w:tc>
          <w:tcPr>
            <w:tcW w:w="829" w:type="pct"/>
            <w:tcBorders>
              <w:tl2br w:val="nil"/>
              <w:tr2bl w:val="nil"/>
            </w:tcBorders>
            <w:noWrap w:val="0"/>
            <w:vAlign w:val="center"/>
          </w:tcPr>
          <w:p w14:paraId="54C42C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4ABD16D7">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768CCC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652D67D5">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42</w:t>
            </w:r>
          </w:p>
        </w:tc>
        <w:tc>
          <w:tcPr>
            <w:tcW w:w="1218" w:type="pct"/>
            <w:tcBorders>
              <w:tl2br w:val="nil"/>
              <w:tr2bl w:val="nil"/>
            </w:tcBorders>
            <w:noWrap w:val="0"/>
            <w:vAlign w:val="center"/>
          </w:tcPr>
          <w:p w14:paraId="0F1AB1A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湖南金佰利新材料有限公司</w:t>
            </w:r>
          </w:p>
        </w:tc>
        <w:tc>
          <w:tcPr>
            <w:tcW w:w="1567" w:type="pct"/>
            <w:tcBorders>
              <w:tl2br w:val="nil"/>
              <w:tr2bl w:val="nil"/>
            </w:tcBorders>
            <w:noWrap w:val="0"/>
            <w:vAlign w:val="center"/>
          </w:tcPr>
          <w:p w14:paraId="049776B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年产6000吨PVC板材、线材</w:t>
            </w:r>
          </w:p>
        </w:tc>
        <w:tc>
          <w:tcPr>
            <w:tcW w:w="973" w:type="pct"/>
            <w:tcBorders>
              <w:tl2br w:val="nil"/>
              <w:tr2bl w:val="nil"/>
            </w:tcBorders>
            <w:noWrap w:val="0"/>
            <w:vAlign w:val="center"/>
          </w:tcPr>
          <w:p w14:paraId="047BC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汨环评批[2017]033号</w:t>
            </w:r>
          </w:p>
        </w:tc>
        <w:tc>
          <w:tcPr>
            <w:tcW w:w="829" w:type="pct"/>
            <w:tcBorders>
              <w:tl2br w:val="nil"/>
              <w:tr2bl w:val="nil"/>
            </w:tcBorders>
            <w:noWrap w:val="0"/>
            <w:vAlign w:val="center"/>
          </w:tcPr>
          <w:p w14:paraId="6481E8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02A2106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6C2E5E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3FC4A3E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43</w:t>
            </w:r>
          </w:p>
        </w:tc>
        <w:tc>
          <w:tcPr>
            <w:tcW w:w="1218" w:type="pct"/>
            <w:tcBorders>
              <w:tl2br w:val="nil"/>
              <w:tr2bl w:val="nil"/>
            </w:tcBorders>
            <w:noWrap w:val="0"/>
            <w:vAlign w:val="center"/>
          </w:tcPr>
          <w:p w14:paraId="3CF85D5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湖南五祥新材料科技有限公司</w:t>
            </w:r>
          </w:p>
        </w:tc>
        <w:tc>
          <w:tcPr>
            <w:tcW w:w="1567" w:type="pct"/>
            <w:tcBorders>
              <w:tl2br w:val="nil"/>
              <w:tr2bl w:val="nil"/>
            </w:tcBorders>
            <w:noWrap w:val="0"/>
            <w:vAlign w:val="center"/>
          </w:tcPr>
          <w:p w14:paraId="367C019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年产13万吨再生塑料制品</w:t>
            </w:r>
          </w:p>
        </w:tc>
        <w:tc>
          <w:tcPr>
            <w:tcW w:w="973" w:type="pct"/>
            <w:tcBorders>
              <w:tl2br w:val="nil"/>
              <w:tr2bl w:val="nil"/>
            </w:tcBorders>
            <w:noWrap w:val="0"/>
            <w:vAlign w:val="center"/>
          </w:tcPr>
          <w:p w14:paraId="15FDCD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岳环评批[2010]15号</w:t>
            </w:r>
          </w:p>
        </w:tc>
        <w:tc>
          <w:tcPr>
            <w:tcW w:w="829" w:type="pct"/>
            <w:tcBorders>
              <w:tl2br w:val="nil"/>
              <w:tr2bl w:val="nil"/>
            </w:tcBorders>
            <w:noWrap w:val="0"/>
            <w:vAlign w:val="center"/>
          </w:tcPr>
          <w:p w14:paraId="485FF3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岳环评验[2012]11号</w:t>
            </w:r>
          </w:p>
        </w:tc>
        <w:tc>
          <w:tcPr>
            <w:tcW w:w="232" w:type="pct"/>
            <w:tcBorders>
              <w:tl2br w:val="nil"/>
              <w:tr2bl w:val="nil"/>
            </w:tcBorders>
            <w:noWrap w:val="0"/>
            <w:vAlign w:val="center"/>
          </w:tcPr>
          <w:p w14:paraId="21BB11B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62376E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6FD16F3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44</w:t>
            </w:r>
          </w:p>
        </w:tc>
        <w:tc>
          <w:tcPr>
            <w:tcW w:w="1218" w:type="pct"/>
            <w:tcBorders>
              <w:tl2br w:val="nil"/>
              <w:tr2bl w:val="nil"/>
            </w:tcBorders>
            <w:noWrap w:val="0"/>
            <w:vAlign w:val="center"/>
          </w:tcPr>
          <w:p w14:paraId="4796AF7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湖南平桂制塑科技实业有限公司</w:t>
            </w:r>
          </w:p>
        </w:tc>
        <w:tc>
          <w:tcPr>
            <w:tcW w:w="1567" w:type="pct"/>
            <w:tcBorders>
              <w:tl2br w:val="nil"/>
              <w:tr2bl w:val="nil"/>
            </w:tcBorders>
            <w:noWrap w:val="0"/>
            <w:vAlign w:val="center"/>
          </w:tcPr>
          <w:p w14:paraId="4DB4D10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46000吨/年高品质塑材制品</w:t>
            </w:r>
          </w:p>
        </w:tc>
        <w:tc>
          <w:tcPr>
            <w:tcW w:w="973" w:type="pct"/>
            <w:tcBorders>
              <w:tl2br w:val="nil"/>
              <w:tr2bl w:val="nil"/>
            </w:tcBorders>
            <w:noWrap w:val="0"/>
            <w:vAlign w:val="center"/>
          </w:tcPr>
          <w:p w14:paraId="47F00F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岳环评批[2010]15号</w:t>
            </w:r>
          </w:p>
        </w:tc>
        <w:tc>
          <w:tcPr>
            <w:tcW w:w="829" w:type="pct"/>
            <w:tcBorders>
              <w:tl2br w:val="nil"/>
              <w:tr2bl w:val="nil"/>
            </w:tcBorders>
            <w:noWrap w:val="0"/>
            <w:vAlign w:val="center"/>
          </w:tcPr>
          <w:p w14:paraId="4DF56E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岳环评验[2012]19号</w:t>
            </w:r>
          </w:p>
        </w:tc>
        <w:tc>
          <w:tcPr>
            <w:tcW w:w="232" w:type="pct"/>
            <w:tcBorders>
              <w:tl2br w:val="nil"/>
              <w:tr2bl w:val="nil"/>
            </w:tcBorders>
            <w:noWrap w:val="0"/>
            <w:vAlign w:val="center"/>
          </w:tcPr>
          <w:p w14:paraId="0795AE9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2DA296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7351098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45</w:t>
            </w:r>
          </w:p>
        </w:tc>
        <w:tc>
          <w:tcPr>
            <w:tcW w:w="1218" w:type="pct"/>
            <w:tcBorders>
              <w:tl2br w:val="nil"/>
              <w:tr2bl w:val="nil"/>
            </w:tcBorders>
            <w:noWrap w:val="0"/>
            <w:vAlign w:val="center"/>
          </w:tcPr>
          <w:p w14:paraId="369BAEC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长沙东睿建筑工程设备有限责任公司汨罗分公司</w:t>
            </w:r>
          </w:p>
        </w:tc>
        <w:tc>
          <w:tcPr>
            <w:tcW w:w="1567" w:type="pct"/>
            <w:tcBorders>
              <w:tl2br w:val="nil"/>
              <w:tr2bl w:val="nil"/>
            </w:tcBorders>
            <w:noWrap w:val="0"/>
            <w:vAlign w:val="center"/>
          </w:tcPr>
          <w:p w14:paraId="65A5AB2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年产4万吨喷涂钢结构建设项目</w:t>
            </w:r>
          </w:p>
        </w:tc>
        <w:tc>
          <w:tcPr>
            <w:tcW w:w="973" w:type="pct"/>
            <w:tcBorders>
              <w:tl2br w:val="nil"/>
              <w:tr2bl w:val="nil"/>
            </w:tcBorders>
            <w:noWrap w:val="0"/>
            <w:vAlign w:val="center"/>
          </w:tcPr>
          <w:p w14:paraId="7B7991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汨环评批[2020]006号</w:t>
            </w:r>
          </w:p>
        </w:tc>
        <w:tc>
          <w:tcPr>
            <w:tcW w:w="829" w:type="pct"/>
            <w:tcBorders>
              <w:tl2br w:val="nil"/>
              <w:tr2bl w:val="nil"/>
            </w:tcBorders>
            <w:noWrap w:val="0"/>
            <w:vAlign w:val="center"/>
          </w:tcPr>
          <w:p w14:paraId="29749C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w:t>
            </w:r>
          </w:p>
        </w:tc>
        <w:tc>
          <w:tcPr>
            <w:tcW w:w="232" w:type="pct"/>
            <w:tcBorders>
              <w:tl2br w:val="nil"/>
              <w:tr2bl w:val="nil"/>
            </w:tcBorders>
            <w:noWrap w:val="0"/>
            <w:vAlign w:val="center"/>
          </w:tcPr>
          <w:p w14:paraId="048CC20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470713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0158E0B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46</w:t>
            </w:r>
          </w:p>
        </w:tc>
        <w:tc>
          <w:tcPr>
            <w:tcW w:w="1218" w:type="pct"/>
            <w:tcBorders>
              <w:tl2br w:val="nil"/>
              <w:tr2bl w:val="nil"/>
            </w:tcBorders>
            <w:noWrap w:val="0"/>
            <w:vAlign w:val="center"/>
          </w:tcPr>
          <w:p w14:paraId="251BD96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汨罗市通变电气有限公司</w:t>
            </w:r>
          </w:p>
        </w:tc>
        <w:tc>
          <w:tcPr>
            <w:tcW w:w="1567" w:type="pct"/>
            <w:tcBorders>
              <w:tl2br w:val="nil"/>
              <w:tr2bl w:val="nil"/>
            </w:tcBorders>
            <w:noWrap w:val="0"/>
            <w:vAlign w:val="center"/>
          </w:tcPr>
          <w:p w14:paraId="3F1F0A8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年产8000台变压器</w:t>
            </w:r>
          </w:p>
        </w:tc>
        <w:tc>
          <w:tcPr>
            <w:tcW w:w="973" w:type="pct"/>
            <w:tcBorders>
              <w:tl2br w:val="nil"/>
              <w:tr2bl w:val="nil"/>
            </w:tcBorders>
            <w:noWrap w:val="0"/>
            <w:vAlign w:val="center"/>
          </w:tcPr>
          <w:p w14:paraId="1425B6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汨环评批[2014]043号</w:t>
            </w:r>
          </w:p>
        </w:tc>
        <w:tc>
          <w:tcPr>
            <w:tcW w:w="829" w:type="pct"/>
            <w:tcBorders>
              <w:tl2br w:val="nil"/>
              <w:tr2bl w:val="nil"/>
            </w:tcBorders>
            <w:noWrap w:val="0"/>
            <w:vAlign w:val="center"/>
          </w:tcPr>
          <w:p w14:paraId="07ED4F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汨环验[2017]25号</w:t>
            </w:r>
          </w:p>
        </w:tc>
        <w:tc>
          <w:tcPr>
            <w:tcW w:w="232" w:type="pct"/>
            <w:tcBorders>
              <w:tl2br w:val="nil"/>
              <w:tr2bl w:val="nil"/>
            </w:tcBorders>
            <w:noWrap w:val="0"/>
            <w:vAlign w:val="center"/>
          </w:tcPr>
          <w:p w14:paraId="0DC42E7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i w:val="0"/>
                <w:snapToGrid w:val="0"/>
                <w:color w:val="auto"/>
                <w:kern w:val="0"/>
                <w:sz w:val="21"/>
                <w:szCs w:val="21"/>
                <w:u w:val="none" w:color="auto"/>
                <w:lang w:val="en-US" w:eastAsia="zh-CN" w:bidi="ar"/>
              </w:rPr>
              <w:t>停产</w:t>
            </w:r>
          </w:p>
        </w:tc>
      </w:tr>
      <w:tr w14:paraId="4F3B46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03CE54B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47</w:t>
            </w:r>
          </w:p>
        </w:tc>
        <w:tc>
          <w:tcPr>
            <w:tcW w:w="1218" w:type="pct"/>
            <w:tcBorders>
              <w:tl2br w:val="nil"/>
              <w:tr2bl w:val="nil"/>
            </w:tcBorders>
            <w:noWrap w:val="0"/>
            <w:vAlign w:val="center"/>
          </w:tcPr>
          <w:p w14:paraId="1DEFC35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湖南鑫太阳门窗幕墙有限公司</w:t>
            </w:r>
          </w:p>
        </w:tc>
        <w:tc>
          <w:tcPr>
            <w:tcW w:w="1567" w:type="pct"/>
            <w:tcBorders>
              <w:tl2br w:val="nil"/>
              <w:tr2bl w:val="nil"/>
            </w:tcBorders>
            <w:noWrap w:val="0"/>
            <w:vAlign w:val="center"/>
          </w:tcPr>
          <w:p w14:paraId="42EB49A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年组装铝合金门窗5万平方米</w:t>
            </w:r>
          </w:p>
        </w:tc>
        <w:tc>
          <w:tcPr>
            <w:tcW w:w="973" w:type="pct"/>
            <w:tcBorders>
              <w:tl2br w:val="nil"/>
              <w:tr2bl w:val="nil"/>
            </w:tcBorders>
            <w:noWrap w:val="0"/>
            <w:vAlign w:val="center"/>
          </w:tcPr>
          <w:p w14:paraId="3CC3A3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汨环评批[2014]084号</w:t>
            </w:r>
          </w:p>
        </w:tc>
        <w:tc>
          <w:tcPr>
            <w:tcW w:w="829" w:type="pct"/>
            <w:tcBorders>
              <w:tl2br w:val="nil"/>
              <w:tr2bl w:val="nil"/>
            </w:tcBorders>
            <w:noWrap w:val="0"/>
            <w:vAlign w:val="center"/>
          </w:tcPr>
          <w:p w14:paraId="3A2B8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汨环验[2016]27号</w:t>
            </w:r>
          </w:p>
        </w:tc>
        <w:tc>
          <w:tcPr>
            <w:tcW w:w="232" w:type="pct"/>
            <w:tcBorders>
              <w:tl2br w:val="nil"/>
              <w:tr2bl w:val="nil"/>
            </w:tcBorders>
            <w:noWrap w:val="0"/>
            <w:vAlign w:val="center"/>
          </w:tcPr>
          <w:p w14:paraId="1AC6F663">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0796EA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616CB2E5">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48</w:t>
            </w:r>
          </w:p>
        </w:tc>
        <w:tc>
          <w:tcPr>
            <w:tcW w:w="1218" w:type="pct"/>
            <w:tcBorders>
              <w:tl2br w:val="nil"/>
              <w:tr2bl w:val="nil"/>
            </w:tcBorders>
            <w:noWrap w:val="0"/>
            <w:vAlign w:val="center"/>
          </w:tcPr>
          <w:p w14:paraId="06FCC05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湖南三邦环保科技有限公司</w:t>
            </w:r>
          </w:p>
        </w:tc>
        <w:tc>
          <w:tcPr>
            <w:tcW w:w="1567" w:type="pct"/>
            <w:tcBorders>
              <w:tl2br w:val="nil"/>
              <w:tr2bl w:val="nil"/>
            </w:tcBorders>
            <w:noWrap w:val="0"/>
            <w:vAlign w:val="center"/>
          </w:tcPr>
          <w:p w14:paraId="0DB52F6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年产6000吨铜米、2000吨铝米、塑料碎屑5179.6吨，年拆解报废共享单车、小家电、摩托车、电动摩托车及动力7万吨。</w:t>
            </w:r>
          </w:p>
        </w:tc>
        <w:tc>
          <w:tcPr>
            <w:tcW w:w="973" w:type="pct"/>
            <w:tcBorders>
              <w:tl2br w:val="nil"/>
              <w:tr2bl w:val="nil"/>
            </w:tcBorders>
            <w:noWrap w:val="0"/>
            <w:vAlign w:val="center"/>
          </w:tcPr>
          <w:p w14:paraId="263133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岳环评[2020]134号、岳环评[2020]135号、汨环评批〔2021〕007号</w:t>
            </w:r>
          </w:p>
        </w:tc>
        <w:tc>
          <w:tcPr>
            <w:tcW w:w="829" w:type="pct"/>
            <w:tcBorders>
              <w:tl2br w:val="nil"/>
              <w:tr2bl w:val="nil"/>
            </w:tcBorders>
            <w:noWrap w:val="0"/>
            <w:vAlign w:val="center"/>
          </w:tcPr>
          <w:p w14:paraId="698377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w:t>
            </w:r>
          </w:p>
        </w:tc>
        <w:tc>
          <w:tcPr>
            <w:tcW w:w="232" w:type="pct"/>
            <w:tcBorders>
              <w:tl2br w:val="nil"/>
              <w:tr2bl w:val="nil"/>
            </w:tcBorders>
            <w:noWrap w:val="0"/>
            <w:vAlign w:val="center"/>
          </w:tcPr>
          <w:p w14:paraId="18612BC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i w:val="0"/>
                <w:snapToGrid w:val="0"/>
                <w:color w:val="auto"/>
                <w:kern w:val="0"/>
                <w:sz w:val="21"/>
                <w:szCs w:val="21"/>
                <w:u w:val="none" w:color="auto"/>
                <w:lang w:val="en-US" w:eastAsia="zh-CN" w:bidi="ar"/>
              </w:rPr>
              <w:t>在产</w:t>
            </w:r>
            <w:r>
              <w:rPr>
                <w:rFonts w:hint="eastAsia" w:ascii="Times New Roman" w:hAnsi="Times New Roman" w:eastAsia="宋体" w:cs="Times New Roman"/>
                <w:i w:val="0"/>
                <w:snapToGrid w:val="0"/>
                <w:color w:val="auto"/>
                <w:kern w:val="0"/>
                <w:sz w:val="21"/>
                <w:szCs w:val="21"/>
                <w:u w:val="none" w:color="auto"/>
                <w:lang w:val="en-US" w:eastAsia="zh-CN" w:bidi="ar"/>
              </w:rPr>
              <w:t>，拟搬迁</w:t>
            </w:r>
          </w:p>
        </w:tc>
      </w:tr>
      <w:tr w14:paraId="71F2CD9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1C877D7">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49</w:t>
            </w:r>
          </w:p>
        </w:tc>
        <w:tc>
          <w:tcPr>
            <w:tcW w:w="1218" w:type="pct"/>
            <w:tcBorders>
              <w:tl2br w:val="nil"/>
              <w:tr2bl w:val="nil"/>
            </w:tcBorders>
            <w:noWrap w:val="0"/>
            <w:vAlign w:val="center"/>
          </w:tcPr>
          <w:p w14:paraId="180678A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湖南金正科技有限公司</w:t>
            </w:r>
          </w:p>
        </w:tc>
        <w:tc>
          <w:tcPr>
            <w:tcW w:w="1567" w:type="pct"/>
            <w:tcBorders>
              <w:tl2br w:val="nil"/>
              <w:tr2bl w:val="nil"/>
            </w:tcBorders>
            <w:noWrap w:val="0"/>
            <w:vAlign w:val="center"/>
          </w:tcPr>
          <w:p w14:paraId="4F4DA17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年产6.4万套（台）安保设备</w:t>
            </w:r>
          </w:p>
        </w:tc>
        <w:tc>
          <w:tcPr>
            <w:tcW w:w="973" w:type="pct"/>
            <w:tcBorders>
              <w:tl2br w:val="nil"/>
              <w:tr2bl w:val="nil"/>
            </w:tcBorders>
            <w:noWrap w:val="0"/>
            <w:vAlign w:val="center"/>
          </w:tcPr>
          <w:p w14:paraId="6C2A92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岳环评[2014]15号</w:t>
            </w:r>
          </w:p>
        </w:tc>
        <w:tc>
          <w:tcPr>
            <w:tcW w:w="829" w:type="pct"/>
            <w:tcBorders>
              <w:tl2br w:val="nil"/>
              <w:tr2bl w:val="nil"/>
            </w:tcBorders>
            <w:noWrap w:val="0"/>
            <w:vAlign w:val="center"/>
          </w:tcPr>
          <w:p w14:paraId="6BB22D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岳环评验[2015]52号</w:t>
            </w:r>
          </w:p>
        </w:tc>
        <w:tc>
          <w:tcPr>
            <w:tcW w:w="232" w:type="pct"/>
            <w:tcBorders>
              <w:tl2br w:val="nil"/>
              <w:tr2bl w:val="nil"/>
            </w:tcBorders>
            <w:noWrap w:val="0"/>
            <w:vAlign w:val="center"/>
          </w:tcPr>
          <w:p w14:paraId="7C41DA2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在产</w:t>
            </w:r>
          </w:p>
        </w:tc>
      </w:tr>
      <w:tr w14:paraId="5398C63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1C759900">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50</w:t>
            </w:r>
          </w:p>
        </w:tc>
        <w:tc>
          <w:tcPr>
            <w:tcW w:w="1218" w:type="pct"/>
            <w:tcBorders>
              <w:tl2br w:val="nil"/>
              <w:tr2bl w:val="nil"/>
            </w:tcBorders>
            <w:noWrap w:val="0"/>
            <w:vAlign w:val="center"/>
          </w:tcPr>
          <w:p w14:paraId="78A5EB9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湖南给力达电子有限公司</w:t>
            </w:r>
          </w:p>
        </w:tc>
        <w:tc>
          <w:tcPr>
            <w:tcW w:w="1567" w:type="pct"/>
            <w:tcBorders>
              <w:tl2br w:val="nil"/>
              <w:tr2bl w:val="nil"/>
            </w:tcBorders>
            <w:noWrap w:val="0"/>
            <w:vAlign w:val="center"/>
          </w:tcPr>
          <w:p w14:paraId="53487C6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液晶显示模组500万片每年、摄像头模组500万只每年</w:t>
            </w:r>
          </w:p>
        </w:tc>
        <w:tc>
          <w:tcPr>
            <w:tcW w:w="973" w:type="pct"/>
            <w:tcBorders>
              <w:tl2br w:val="nil"/>
              <w:tr2bl w:val="nil"/>
            </w:tcBorders>
            <w:noWrap w:val="0"/>
            <w:vAlign w:val="center"/>
          </w:tcPr>
          <w:p w14:paraId="507459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汨环评批[2017]11号</w:t>
            </w:r>
          </w:p>
        </w:tc>
        <w:tc>
          <w:tcPr>
            <w:tcW w:w="829" w:type="pct"/>
            <w:tcBorders>
              <w:tl2br w:val="nil"/>
              <w:tr2bl w:val="nil"/>
            </w:tcBorders>
            <w:noWrap w:val="0"/>
            <w:vAlign w:val="center"/>
          </w:tcPr>
          <w:p w14:paraId="036347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4283692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688706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1892F322">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51</w:t>
            </w:r>
          </w:p>
        </w:tc>
        <w:tc>
          <w:tcPr>
            <w:tcW w:w="1218" w:type="pct"/>
            <w:tcBorders>
              <w:tl2br w:val="nil"/>
              <w:tr2bl w:val="nil"/>
            </w:tcBorders>
            <w:noWrap w:val="0"/>
            <w:vAlign w:val="center"/>
          </w:tcPr>
          <w:p w14:paraId="5CD78E8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湖南科众达电子科技有限公司</w:t>
            </w:r>
          </w:p>
        </w:tc>
        <w:tc>
          <w:tcPr>
            <w:tcW w:w="1567" w:type="pct"/>
            <w:tcBorders>
              <w:tl2br w:val="nil"/>
              <w:tr2bl w:val="nil"/>
            </w:tcBorders>
            <w:noWrap w:val="0"/>
            <w:vAlign w:val="center"/>
          </w:tcPr>
          <w:p w14:paraId="09D42ED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各类数据线、信号线、高清线、安防监控线</w:t>
            </w:r>
          </w:p>
        </w:tc>
        <w:tc>
          <w:tcPr>
            <w:tcW w:w="973" w:type="pct"/>
            <w:tcBorders>
              <w:tl2br w:val="nil"/>
              <w:tr2bl w:val="nil"/>
            </w:tcBorders>
            <w:noWrap w:val="0"/>
            <w:vAlign w:val="center"/>
          </w:tcPr>
          <w:p w14:paraId="0C60BC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豁免</w:t>
            </w:r>
          </w:p>
        </w:tc>
        <w:tc>
          <w:tcPr>
            <w:tcW w:w="829" w:type="pct"/>
            <w:tcBorders>
              <w:tl2br w:val="nil"/>
              <w:tr2bl w:val="nil"/>
            </w:tcBorders>
            <w:noWrap w:val="0"/>
            <w:vAlign w:val="center"/>
          </w:tcPr>
          <w:p w14:paraId="2DE564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w:t>
            </w:r>
          </w:p>
        </w:tc>
        <w:tc>
          <w:tcPr>
            <w:tcW w:w="232" w:type="pct"/>
            <w:tcBorders>
              <w:tl2br w:val="nil"/>
              <w:tr2bl w:val="nil"/>
            </w:tcBorders>
            <w:noWrap w:val="0"/>
            <w:vAlign w:val="center"/>
          </w:tcPr>
          <w:p w14:paraId="54A600E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781CDC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B902592">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52</w:t>
            </w:r>
          </w:p>
        </w:tc>
        <w:tc>
          <w:tcPr>
            <w:tcW w:w="1218" w:type="pct"/>
            <w:tcBorders>
              <w:tl2br w:val="nil"/>
              <w:tr2bl w:val="nil"/>
            </w:tcBorders>
            <w:noWrap w:val="0"/>
            <w:vAlign w:val="center"/>
          </w:tcPr>
          <w:p w14:paraId="5165A44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湖南铭腾新材料有限公司</w:t>
            </w:r>
          </w:p>
        </w:tc>
        <w:tc>
          <w:tcPr>
            <w:tcW w:w="1567" w:type="pct"/>
            <w:tcBorders>
              <w:tl2br w:val="nil"/>
              <w:tr2bl w:val="nil"/>
            </w:tcBorders>
            <w:noWrap w:val="0"/>
            <w:vAlign w:val="center"/>
          </w:tcPr>
          <w:p w14:paraId="4B0CBE7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年产13300吨PVC墙板、5700吨PVC装饰线条</w:t>
            </w:r>
          </w:p>
        </w:tc>
        <w:tc>
          <w:tcPr>
            <w:tcW w:w="973" w:type="pct"/>
            <w:tcBorders>
              <w:tl2br w:val="nil"/>
              <w:tr2bl w:val="nil"/>
            </w:tcBorders>
            <w:noWrap w:val="0"/>
            <w:vAlign w:val="center"/>
          </w:tcPr>
          <w:p w14:paraId="1E8C5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岳环评[2020]129号</w:t>
            </w:r>
          </w:p>
        </w:tc>
        <w:tc>
          <w:tcPr>
            <w:tcW w:w="829" w:type="pct"/>
            <w:tcBorders>
              <w:tl2br w:val="nil"/>
              <w:tr2bl w:val="nil"/>
            </w:tcBorders>
            <w:noWrap w:val="0"/>
            <w:vAlign w:val="center"/>
          </w:tcPr>
          <w:p w14:paraId="17A32C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2023自主验收</w:t>
            </w:r>
          </w:p>
        </w:tc>
        <w:tc>
          <w:tcPr>
            <w:tcW w:w="232" w:type="pct"/>
            <w:tcBorders>
              <w:tl2br w:val="nil"/>
              <w:tr2bl w:val="nil"/>
            </w:tcBorders>
            <w:noWrap w:val="0"/>
            <w:vAlign w:val="center"/>
          </w:tcPr>
          <w:p w14:paraId="3552862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665338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15D13AA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53</w:t>
            </w:r>
          </w:p>
        </w:tc>
        <w:tc>
          <w:tcPr>
            <w:tcW w:w="1218" w:type="pct"/>
            <w:tcBorders>
              <w:tl2br w:val="nil"/>
              <w:tr2bl w:val="nil"/>
            </w:tcBorders>
            <w:noWrap w:val="0"/>
            <w:vAlign w:val="center"/>
          </w:tcPr>
          <w:p w14:paraId="322F6EA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汨罗市双兴高温耐火材料有限公司</w:t>
            </w:r>
          </w:p>
        </w:tc>
        <w:tc>
          <w:tcPr>
            <w:tcW w:w="1567" w:type="pct"/>
            <w:tcBorders>
              <w:tl2br w:val="nil"/>
              <w:tr2bl w:val="nil"/>
            </w:tcBorders>
            <w:noWrap w:val="0"/>
            <w:vAlign w:val="center"/>
          </w:tcPr>
          <w:p w14:paraId="13322C3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bottom"/>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年产熔抽高温耐热不锈钢纤维系列产品4万吨；冷拉／剪切钢纤维产品1.12万吨</w:t>
            </w:r>
          </w:p>
        </w:tc>
        <w:tc>
          <w:tcPr>
            <w:tcW w:w="973" w:type="pct"/>
            <w:tcBorders>
              <w:tl2br w:val="nil"/>
              <w:tr2bl w:val="nil"/>
            </w:tcBorders>
            <w:noWrap w:val="0"/>
            <w:vAlign w:val="center"/>
          </w:tcPr>
          <w:p w14:paraId="75BE94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岳环评批[2009]42号</w:t>
            </w:r>
          </w:p>
        </w:tc>
        <w:tc>
          <w:tcPr>
            <w:tcW w:w="829" w:type="pct"/>
            <w:tcBorders>
              <w:tl2br w:val="nil"/>
              <w:tr2bl w:val="nil"/>
            </w:tcBorders>
            <w:noWrap w:val="0"/>
            <w:vAlign w:val="center"/>
          </w:tcPr>
          <w:p w14:paraId="02B0F1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已验收（无文号）</w:t>
            </w:r>
          </w:p>
        </w:tc>
        <w:tc>
          <w:tcPr>
            <w:tcW w:w="232" w:type="pct"/>
            <w:tcBorders>
              <w:tl2br w:val="nil"/>
              <w:tr2bl w:val="nil"/>
            </w:tcBorders>
            <w:noWrap w:val="0"/>
            <w:vAlign w:val="center"/>
          </w:tcPr>
          <w:p w14:paraId="578FC9D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1D0FFD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629B2A7E">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54</w:t>
            </w:r>
          </w:p>
        </w:tc>
        <w:tc>
          <w:tcPr>
            <w:tcW w:w="1218" w:type="pct"/>
            <w:tcBorders>
              <w:tl2br w:val="nil"/>
              <w:tr2bl w:val="nil"/>
            </w:tcBorders>
            <w:noWrap w:val="0"/>
            <w:vAlign w:val="center"/>
          </w:tcPr>
          <w:p w14:paraId="1372585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湖南金智达金属材料科技有限公司</w:t>
            </w:r>
          </w:p>
        </w:tc>
        <w:tc>
          <w:tcPr>
            <w:tcW w:w="1567" w:type="pct"/>
            <w:tcBorders>
              <w:tl2br w:val="nil"/>
              <w:tr2bl w:val="nil"/>
            </w:tcBorders>
            <w:noWrap w:val="0"/>
            <w:vAlign w:val="center"/>
          </w:tcPr>
          <w:p w14:paraId="290DF95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年产6000吨金属材料添加剂</w:t>
            </w:r>
          </w:p>
        </w:tc>
        <w:tc>
          <w:tcPr>
            <w:tcW w:w="973" w:type="pct"/>
            <w:tcBorders>
              <w:tl2br w:val="nil"/>
              <w:tr2bl w:val="nil"/>
            </w:tcBorders>
            <w:noWrap w:val="0"/>
            <w:vAlign w:val="center"/>
          </w:tcPr>
          <w:p w14:paraId="6C7838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汨环评批[2017]043号</w:t>
            </w:r>
          </w:p>
        </w:tc>
        <w:tc>
          <w:tcPr>
            <w:tcW w:w="829" w:type="pct"/>
            <w:tcBorders>
              <w:tl2br w:val="nil"/>
              <w:tr2bl w:val="nil"/>
            </w:tcBorders>
            <w:noWrap w:val="0"/>
            <w:vAlign w:val="center"/>
          </w:tcPr>
          <w:p w14:paraId="12B8CF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汨环验[2018]17号</w:t>
            </w:r>
          </w:p>
        </w:tc>
        <w:tc>
          <w:tcPr>
            <w:tcW w:w="232" w:type="pct"/>
            <w:tcBorders>
              <w:tl2br w:val="nil"/>
              <w:tr2bl w:val="nil"/>
            </w:tcBorders>
            <w:noWrap w:val="0"/>
            <w:vAlign w:val="center"/>
          </w:tcPr>
          <w:p w14:paraId="35669D0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56E18B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0FF6D795">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55</w:t>
            </w:r>
          </w:p>
        </w:tc>
        <w:tc>
          <w:tcPr>
            <w:tcW w:w="1218" w:type="pct"/>
            <w:tcBorders>
              <w:tl2br w:val="nil"/>
              <w:tr2bl w:val="nil"/>
            </w:tcBorders>
            <w:noWrap w:val="0"/>
            <w:vAlign w:val="center"/>
          </w:tcPr>
          <w:p w14:paraId="66F62D1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汨罗市凯胜塑业有限公司</w:t>
            </w:r>
          </w:p>
        </w:tc>
        <w:tc>
          <w:tcPr>
            <w:tcW w:w="1567" w:type="pct"/>
            <w:tcBorders>
              <w:tl2br w:val="nil"/>
              <w:tr2bl w:val="nil"/>
            </w:tcBorders>
            <w:noWrap w:val="0"/>
            <w:vAlign w:val="center"/>
          </w:tcPr>
          <w:p w14:paraId="74B3421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竹木纤维板4000 、竹木纤维线2000</w:t>
            </w:r>
          </w:p>
        </w:tc>
        <w:tc>
          <w:tcPr>
            <w:tcW w:w="973" w:type="pct"/>
            <w:tcBorders>
              <w:tl2br w:val="nil"/>
              <w:tr2bl w:val="nil"/>
            </w:tcBorders>
            <w:noWrap w:val="0"/>
            <w:vAlign w:val="center"/>
          </w:tcPr>
          <w:p w14:paraId="73C58C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岳环评[2019]23号</w:t>
            </w:r>
          </w:p>
        </w:tc>
        <w:tc>
          <w:tcPr>
            <w:tcW w:w="829" w:type="pct"/>
            <w:tcBorders>
              <w:tl2br w:val="nil"/>
              <w:tr2bl w:val="nil"/>
            </w:tcBorders>
            <w:noWrap w:val="0"/>
            <w:vAlign w:val="center"/>
          </w:tcPr>
          <w:p w14:paraId="4767A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38CEFE2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5DFB3E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4C7FA66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56</w:t>
            </w:r>
          </w:p>
        </w:tc>
        <w:tc>
          <w:tcPr>
            <w:tcW w:w="1218" w:type="pct"/>
            <w:tcBorders>
              <w:tl2br w:val="nil"/>
              <w:tr2bl w:val="nil"/>
            </w:tcBorders>
            <w:noWrap w:val="0"/>
            <w:vAlign w:val="center"/>
          </w:tcPr>
          <w:p w14:paraId="38F5805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湖南常骏新材料科技有限公司(原汨罗市博鑫冶金模具有限公司）</w:t>
            </w:r>
          </w:p>
        </w:tc>
        <w:tc>
          <w:tcPr>
            <w:tcW w:w="1567" w:type="pct"/>
            <w:tcBorders>
              <w:tl2br w:val="nil"/>
              <w:tr2bl w:val="nil"/>
            </w:tcBorders>
            <w:noWrap w:val="0"/>
            <w:vAlign w:val="center"/>
          </w:tcPr>
          <w:p w14:paraId="1872F89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年产2 万吨半导体特种石墨</w:t>
            </w:r>
          </w:p>
        </w:tc>
        <w:tc>
          <w:tcPr>
            <w:tcW w:w="973" w:type="pct"/>
            <w:tcBorders>
              <w:tl2br w:val="nil"/>
              <w:tr2bl w:val="nil"/>
            </w:tcBorders>
            <w:noWrap w:val="0"/>
            <w:vAlign w:val="center"/>
          </w:tcPr>
          <w:p w14:paraId="099BEE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汨环评批[2020]066号</w:t>
            </w:r>
          </w:p>
        </w:tc>
        <w:tc>
          <w:tcPr>
            <w:tcW w:w="829" w:type="pct"/>
            <w:tcBorders>
              <w:tl2br w:val="nil"/>
              <w:tr2bl w:val="nil"/>
            </w:tcBorders>
            <w:noWrap w:val="0"/>
            <w:vAlign w:val="center"/>
          </w:tcPr>
          <w:p w14:paraId="51DEA8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0D02801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70F99E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1729DE9E">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57</w:t>
            </w:r>
          </w:p>
        </w:tc>
        <w:tc>
          <w:tcPr>
            <w:tcW w:w="1218" w:type="pct"/>
            <w:tcBorders>
              <w:tl2br w:val="nil"/>
              <w:tr2bl w:val="nil"/>
            </w:tcBorders>
            <w:noWrap w:val="0"/>
            <w:vAlign w:val="center"/>
          </w:tcPr>
          <w:p w14:paraId="357DA26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岳阳市杭星机电有限公司</w:t>
            </w:r>
          </w:p>
        </w:tc>
        <w:tc>
          <w:tcPr>
            <w:tcW w:w="1567" w:type="pct"/>
            <w:tcBorders>
              <w:tl2br w:val="nil"/>
              <w:tr2bl w:val="nil"/>
            </w:tcBorders>
            <w:noWrap w:val="0"/>
            <w:vAlign w:val="center"/>
          </w:tcPr>
          <w:p w14:paraId="0C8A607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电动理牌机塑料配件 40万套/年</w:t>
            </w:r>
          </w:p>
        </w:tc>
        <w:tc>
          <w:tcPr>
            <w:tcW w:w="973" w:type="pct"/>
            <w:tcBorders>
              <w:tl2br w:val="nil"/>
              <w:tr2bl w:val="nil"/>
            </w:tcBorders>
            <w:noWrap w:val="0"/>
            <w:vAlign w:val="center"/>
          </w:tcPr>
          <w:p w14:paraId="2AD629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 [2021]40号</w:t>
            </w:r>
          </w:p>
        </w:tc>
        <w:tc>
          <w:tcPr>
            <w:tcW w:w="829" w:type="pct"/>
            <w:tcBorders>
              <w:tl2br w:val="nil"/>
              <w:tr2bl w:val="nil"/>
            </w:tcBorders>
            <w:noWrap w:val="0"/>
            <w:vAlign w:val="center"/>
          </w:tcPr>
          <w:p w14:paraId="085C67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5D076AE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3F3024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15668C2E">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58</w:t>
            </w:r>
          </w:p>
        </w:tc>
        <w:tc>
          <w:tcPr>
            <w:tcW w:w="1218" w:type="pct"/>
            <w:tcBorders>
              <w:tl2br w:val="nil"/>
              <w:tr2bl w:val="nil"/>
            </w:tcBorders>
            <w:noWrap w:val="0"/>
            <w:vAlign w:val="center"/>
          </w:tcPr>
          <w:p w14:paraId="6697711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汨罗市万泉新材料有限公司</w:t>
            </w:r>
          </w:p>
        </w:tc>
        <w:tc>
          <w:tcPr>
            <w:tcW w:w="1567" w:type="pct"/>
            <w:tcBorders>
              <w:tl2br w:val="nil"/>
              <w:tr2bl w:val="nil"/>
            </w:tcBorders>
            <w:noWrap w:val="0"/>
            <w:vAlign w:val="center"/>
          </w:tcPr>
          <w:p w14:paraId="770358A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钢化玻璃30万m2/a、夹胶玻璃4万m2/a、中空合片玻璃8万m2/a、铝合金玻璃门窗5万m2/a</w:t>
            </w:r>
          </w:p>
        </w:tc>
        <w:tc>
          <w:tcPr>
            <w:tcW w:w="973" w:type="pct"/>
            <w:tcBorders>
              <w:tl2br w:val="nil"/>
              <w:tr2bl w:val="nil"/>
            </w:tcBorders>
            <w:noWrap w:val="0"/>
            <w:vAlign w:val="center"/>
          </w:tcPr>
          <w:p w14:paraId="2F0F21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汨环评批[2019]034号</w:t>
            </w:r>
          </w:p>
        </w:tc>
        <w:tc>
          <w:tcPr>
            <w:tcW w:w="829" w:type="pct"/>
            <w:tcBorders>
              <w:tl2br w:val="nil"/>
              <w:tr2bl w:val="nil"/>
            </w:tcBorders>
            <w:noWrap w:val="0"/>
            <w:vAlign w:val="center"/>
          </w:tcPr>
          <w:p w14:paraId="05A76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w:t>
            </w:r>
          </w:p>
        </w:tc>
        <w:tc>
          <w:tcPr>
            <w:tcW w:w="232" w:type="pct"/>
            <w:tcBorders>
              <w:tl2br w:val="nil"/>
              <w:tr2bl w:val="nil"/>
            </w:tcBorders>
            <w:noWrap w:val="0"/>
            <w:vAlign w:val="center"/>
          </w:tcPr>
          <w:p w14:paraId="02B8DCC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05C8B0A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65B6F630">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59</w:t>
            </w:r>
          </w:p>
        </w:tc>
        <w:tc>
          <w:tcPr>
            <w:tcW w:w="1218" w:type="pct"/>
            <w:tcBorders>
              <w:tl2br w:val="nil"/>
              <w:tr2bl w:val="nil"/>
            </w:tcBorders>
            <w:noWrap w:val="0"/>
            <w:vAlign w:val="center"/>
          </w:tcPr>
          <w:p w14:paraId="690ED79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湖南省葛天湘豫废旧金属回收有限责任公司</w:t>
            </w:r>
          </w:p>
        </w:tc>
        <w:tc>
          <w:tcPr>
            <w:tcW w:w="1567" w:type="pct"/>
            <w:tcBorders>
              <w:tl2br w:val="nil"/>
              <w:tr2bl w:val="nil"/>
            </w:tcBorders>
            <w:noWrap w:val="0"/>
            <w:vAlign w:val="center"/>
          </w:tcPr>
          <w:p w14:paraId="5AEF19B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年产废不锈钢压块产品20万吨</w:t>
            </w:r>
          </w:p>
        </w:tc>
        <w:tc>
          <w:tcPr>
            <w:tcW w:w="973" w:type="pct"/>
            <w:tcBorders>
              <w:tl2br w:val="nil"/>
              <w:tr2bl w:val="nil"/>
            </w:tcBorders>
            <w:noWrap w:val="0"/>
            <w:vAlign w:val="center"/>
          </w:tcPr>
          <w:p w14:paraId="4E84E0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汨环评批[2020]113号</w:t>
            </w:r>
          </w:p>
        </w:tc>
        <w:tc>
          <w:tcPr>
            <w:tcW w:w="829" w:type="pct"/>
            <w:tcBorders>
              <w:tl2br w:val="nil"/>
              <w:tr2bl w:val="nil"/>
            </w:tcBorders>
            <w:noWrap w:val="0"/>
            <w:vAlign w:val="center"/>
          </w:tcPr>
          <w:p w14:paraId="123BD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2021.4.28自主验收</w:t>
            </w:r>
          </w:p>
        </w:tc>
        <w:tc>
          <w:tcPr>
            <w:tcW w:w="232" w:type="pct"/>
            <w:tcBorders>
              <w:tl2br w:val="nil"/>
              <w:tr2bl w:val="nil"/>
            </w:tcBorders>
            <w:noWrap w:val="0"/>
            <w:vAlign w:val="center"/>
          </w:tcPr>
          <w:p w14:paraId="71B5C4F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044EA4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178" w:type="pct"/>
            <w:tcBorders>
              <w:tl2br w:val="nil"/>
              <w:tr2bl w:val="nil"/>
            </w:tcBorders>
            <w:noWrap w:val="0"/>
            <w:vAlign w:val="center"/>
          </w:tcPr>
          <w:p w14:paraId="398E7689">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60</w:t>
            </w:r>
          </w:p>
        </w:tc>
        <w:tc>
          <w:tcPr>
            <w:tcW w:w="1218" w:type="pct"/>
            <w:tcBorders>
              <w:tl2br w:val="nil"/>
              <w:tr2bl w:val="nil"/>
            </w:tcBorders>
            <w:noWrap w:val="0"/>
            <w:vAlign w:val="center"/>
          </w:tcPr>
          <w:p w14:paraId="08C177D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湖南远盛钢结构有限公司</w:t>
            </w:r>
          </w:p>
        </w:tc>
        <w:tc>
          <w:tcPr>
            <w:tcW w:w="1567" w:type="pct"/>
            <w:tcBorders>
              <w:tl2br w:val="nil"/>
              <w:tr2bl w:val="nil"/>
            </w:tcBorders>
            <w:noWrap w:val="0"/>
            <w:vAlign w:val="center"/>
          </w:tcPr>
          <w:p w14:paraId="308890C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钢结构主构件4000吨/年、副构件1000吨/年</w:t>
            </w:r>
          </w:p>
        </w:tc>
        <w:tc>
          <w:tcPr>
            <w:tcW w:w="973" w:type="pct"/>
            <w:tcBorders>
              <w:tl2br w:val="nil"/>
              <w:tr2bl w:val="nil"/>
            </w:tcBorders>
            <w:noWrap w:val="0"/>
            <w:vAlign w:val="center"/>
          </w:tcPr>
          <w:p w14:paraId="141EC1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汨环评批〔2021〕034号</w:t>
            </w:r>
          </w:p>
        </w:tc>
        <w:tc>
          <w:tcPr>
            <w:tcW w:w="829" w:type="pct"/>
            <w:tcBorders>
              <w:tl2br w:val="nil"/>
              <w:tr2bl w:val="nil"/>
            </w:tcBorders>
            <w:noWrap w:val="0"/>
            <w:vAlign w:val="center"/>
          </w:tcPr>
          <w:p w14:paraId="75338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自主验收</w:t>
            </w:r>
          </w:p>
        </w:tc>
        <w:tc>
          <w:tcPr>
            <w:tcW w:w="232" w:type="pct"/>
            <w:tcBorders>
              <w:tl2br w:val="nil"/>
              <w:tr2bl w:val="nil"/>
            </w:tcBorders>
            <w:noWrap w:val="0"/>
            <w:vAlign w:val="center"/>
          </w:tcPr>
          <w:p w14:paraId="7C4A226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661523C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5862BC23">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61</w:t>
            </w:r>
          </w:p>
        </w:tc>
        <w:tc>
          <w:tcPr>
            <w:tcW w:w="0" w:type="auto"/>
            <w:noWrap w:val="0"/>
            <w:vAlign w:val="center"/>
          </w:tcPr>
          <w:p w14:paraId="5991164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汨罗市德晨机械厂</w:t>
            </w:r>
          </w:p>
        </w:tc>
        <w:tc>
          <w:tcPr>
            <w:tcW w:w="0" w:type="auto"/>
            <w:noWrap w:val="0"/>
            <w:vAlign w:val="center"/>
          </w:tcPr>
          <w:p w14:paraId="77E8612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铝塑板100万吨/年，配件950吨/年</w:t>
            </w:r>
          </w:p>
        </w:tc>
        <w:tc>
          <w:tcPr>
            <w:tcW w:w="0" w:type="auto"/>
            <w:noWrap w:val="0"/>
            <w:vAlign w:val="center"/>
          </w:tcPr>
          <w:p w14:paraId="0C654B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岳环评[2021]21号</w:t>
            </w:r>
          </w:p>
        </w:tc>
        <w:tc>
          <w:tcPr>
            <w:tcW w:w="0" w:type="auto"/>
            <w:noWrap w:val="0"/>
            <w:vAlign w:val="center"/>
          </w:tcPr>
          <w:p w14:paraId="18589E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2022.11自主验收</w:t>
            </w:r>
          </w:p>
        </w:tc>
        <w:tc>
          <w:tcPr>
            <w:tcW w:w="232" w:type="pct"/>
            <w:noWrap w:val="0"/>
            <w:vAlign w:val="center"/>
          </w:tcPr>
          <w:p w14:paraId="6AB2BAE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2F30F4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265EBAB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62</w:t>
            </w:r>
          </w:p>
        </w:tc>
        <w:tc>
          <w:tcPr>
            <w:tcW w:w="0" w:type="auto"/>
            <w:noWrap w:val="0"/>
            <w:vAlign w:val="center"/>
          </w:tcPr>
          <w:p w14:paraId="006BCD9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湖南瑞居金属制品有限公司</w:t>
            </w:r>
          </w:p>
        </w:tc>
        <w:tc>
          <w:tcPr>
            <w:tcW w:w="0" w:type="auto"/>
            <w:noWrap w:val="0"/>
            <w:vAlign w:val="center"/>
          </w:tcPr>
          <w:p w14:paraId="39BA102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500t/a铜工艺制品</w:t>
            </w:r>
          </w:p>
        </w:tc>
        <w:tc>
          <w:tcPr>
            <w:tcW w:w="0" w:type="auto"/>
            <w:noWrap w:val="0"/>
            <w:vAlign w:val="center"/>
          </w:tcPr>
          <w:p w14:paraId="728988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岳汨环评[2021]19号</w:t>
            </w:r>
          </w:p>
        </w:tc>
        <w:tc>
          <w:tcPr>
            <w:tcW w:w="0" w:type="auto"/>
            <w:noWrap w:val="0"/>
            <w:vAlign w:val="center"/>
          </w:tcPr>
          <w:p w14:paraId="019E08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2022年10月25日已验收（自主验收）</w:t>
            </w:r>
          </w:p>
        </w:tc>
        <w:tc>
          <w:tcPr>
            <w:tcW w:w="232" w:type="pct"/>
            <w:noWrap w:val="0"/>
            <w:vAlign w:val="center"/>
          </w:tcPr>
          <w:p w14:paraId="79B9895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785263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3439A81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63</w:t>
            </w:r>
          </w:p>
        </w:tc>
        <w:tc>
          <w:tcPr>
            <w:tcW w:w="0" w:type="auto"/>
            <w:noWrap w:val="0"/>
            <w:vAlign w:val="center"/>
          </w:tcPr>
          <w:p w14:paraId="0427D81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湖南恒清智能装备有限公司汨罗分公司</w:t>
            </w:r>
          </w:p>
        </w:tc>
        <w:tc>
          <w:tcPr>
            <w:tcW w:w="0" w:type="auto"/>
            <w:noWrap w:val="0"/>
            <w:vAlign w:val="center"/>
          </w:tcPr>
          <w:p w14:paraId="1A1B06A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年产5000吨钢结构、5000台收尘机</w:t>
            </w:r>
          </w:p>
        </w:tc>
        <w:tc>
          <w:tcPr>
            <w:tcW w:w="0" w:type="auto"/>
            <w:noWrap w:val="0"/>
            <w:vAlign w:val="center"/>
          </w:tcPr>
          <w:p w14:paraId="22C67B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岳汨环评〔2021〕026号</w:t>
            </w:r>
          </w:p>
        </w:tc>
        <w:tc>
          <w:tcPr>
            <w:tcW w:w="0" w:type="auto"/>
            <w:noWrap w:val="0"/>
            <w:vAlign w:val="center"/>
          </w:tcPr>
          <w:p w14:paraId="47BDE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0" w:type="auto"/>
            <w:noWrap w:val="0"/>
            <w:vAlign w:val="center"/>
          </w:tcPr>
          <w:p w14:paraId="6DCB1EE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停产</w:t>
            </w:r>
          </w:p>
        </w:tc>
      </w:tr>
      <w:tr w14:paraId="6239DE1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60126EE0">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64</w:t>
            </w:r>
          </w:p>
        </w:tc>
        <w:tc>
          <w:tcPr>
            <w:tcW w:w="0" w:type="auto"/>
            <w:noWrap w:val="0"/>
            <w:vAlign w:val="center"/>
          </w:tcPr>
          <w:p w14:paraId="435AE5C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湖南川拓再生资源有限公司</w:t>
            </w:r>
          </w:p>
        </w:tc>
        <w:tc>
          <w:tcPr>
            <w:tcW w:w="0" w:type="auto"/>
            <w:noWrap w:val="0"/>
            <w:vAlign w:val="center"/>
          </w:tcPr>
          <w:p w14:paraId="08753CA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年拆解2万吨动力设备及1万辆摩托车</w:t>
            </w:r>
          </w:p>
        </w:tc>
        <w:tc>
          <w:tcPr>
            <w:tcW w:w="0" w:type="auto"/>
            <w:noWrap w:val="0"/>
            <w:vAlign w:val="center"/>
          </w:tcPr>
          <w:p w14:paraId="28D311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岳汨环评（2022）007号</w:t>
            </w:r>
          </w:p>
        </w:tc>
        <w:tc>
          <w:tcPr>
            <w:tcW w:w="0" w:type="auto"/>
            <w:noWrap w:val="0"/>
            <w:vAlign w:val="center"/>
          </w:tcPr>
          <w:p w14:paraId="1C2785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2022.10自主验收</w:t>
            </w:r>
          </w:p>
        </w:tc>
        <w:tc>
          <w:tcPr>
            <w:tcW w:w="232" w:type="pct"/>
            <w:noWrap w:val="0"/>
            <w:vAlign w:val="center"/>
          </w:tcPr>
          <w:p w14:paraId="4E0A683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22AD4D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0391F2B7">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65</w:t>
            </w:r>
          </w:p>
        </w:tc>
        <w:tc>
          <w:tcPr>
            <w:tcW w:w="0" w:type="auto"/>
            <w:noWrap w:val="0"/>
            <w:vAlign w:val="center"/>
          </w:tcPr>
          <w:p w14:paraId="5C09C39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汨罗市林辉再生资源有限公司</w:t>
            </w:r>
          </w:p>
        </w:tc>
        <w:tc>
          <w:tcPr>
            <w:tcW w:w="0" w:type="auto"/>
            <w:noWrap w:val="0"/>
            <w:vAlign w:val="center"/>
          </w:tcPr>
          <w:p w14:paraId="4530404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年收购废旧铅酸蓄电池6 万吨、新能源电池1.5万吨、废手机电池0.1万吨</w:t>
            </w:r>
          </w:p>
        </w:tc>
        <w:tc>
          <w:tcPr>
            <w:tcW w:w="0" w:type="auto"/>
            <w:noWrap w:val="0"/>
            <w:vAlign w:val="center"/>
          </w:tcPr>
          <w:p w14:paraId="58D39B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岳汨环评[2022]013号</w:t>
            </w:r>
          </w:p>
        </w:tc>
        <w:tc>
          <w:tcPr>
            <w:tcW w:w="0" w:type="auto"/>
            <w:noWrap w:val="0"/>
            <w:vAlign w:val="center"/>
          </w:tcPr>
          <w:p w14:paraId="394D7E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2023.11自主验收</w:t>
            </w:r>
          </w:p>
        </w:tc>
        <w:tc>
          <w:tcPr>
            <w:tcW w:w="232" w:type="pct"/>
            <w:noWrap w:val="0"/>
            <w:vAlign w:val="center"/>
          </w:tcPr>
          <w:p w14:paraId="5B72971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219164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62" w:hRule="atLeast"/>
          <w:jc w:val="center"/>
        </w:trPr>
        <w:tc>
          <w:tcPr>
            <w:tcW w:w="0" w:type="auto"/>
            <w:vMerge w:val="restart"/>
            <w:noWrap w:val="0"/>
            <w:vAlign w:val="center"/>
          </w:tcPr>
          <w:p w14:paraId="5B23D167">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66</w:t>
            </w:r>
          </w:p>
        </w:tc>
        <w:tc>
          <w:tcPr>
            <w:tcW w:w="0" w:type="auto"/>
            <w:vMerge w:val="restart"/>
            <w:noWrap w:val="0"/>
            <w:vAlign w:val="center"/>
          </w:tcPr>
          <w:p w14:paraId="70D118F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汨罗市雅洁废旧物资回收有限公司</w:t>
            </w:r>
          </w:p>
        </w:tc>
        <w:tc>
          <w:tcPr>
            <w:tcW w:w="1567" w:type="pct"/>
            <w:noWrap w:val="0"/>
            <w:vAlign w:val="center"/>
          </w:tcPr>
          <w:p w14:paraId="4673F43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年拆解13500吨废电机、废压缩机、废发电机、废摩托车动力建设项目</w:t>
            </w:r>
          </w:p>
        </w:tc>
        <w:tc>
          <w:tcPr>
            <w:tcW w:w="973" w:type="pct"/>
            <w:noWrap w:val="0"/>
            <w:vAlign w:val="center"/>
          </w:tcPr>
          <w:p w14:paraId="12913A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color="auto"/>
                <w:lang w:val="en-US" w:eastAsia="zh-CN" w:bidi="ar"/>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岳汨环评[2022]0</w:t>
            </w:r>
            <w:r>
              <w:rPr>
                <w:rFonts w:hint="eastAsia" w:ascii="Times New Roman" w:hAnsi="Times New Roman" w:eastAsia="宋体" w:cs="Times New Roman"/>
                <w:b w:val="0"/>
                <w:bCs/>
                <w:i w:val="0"/>
                <w:snapToGrid w:val="0"/>
                <w:color w:val="auto"/>
                <w:kern w:val="0"/>
                <w:sz w:val="21"/>
                <w:szCs w:val="21"/>
                <w:u w:val="none" w:color="auto"/>
                <w:lang w:val="en-US" w:eastAsia="zh-CN" w:bidi="ar"/>
              </w:rPr>
              <w:t>02</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829" w:type="pct"/>
            <w:noWrap w:val="0"/>
            <w:vAlign w:val="center"/>
          </w:tcPr>
          <w:p w14:paraId="24A197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color="auto"/>
                <w:lang w:val="en-US" w:eastAsia="zh-CN" w:bidi="ar"/>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06D470E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0F7476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262" w:hRule="atLeast"/>
          <w:jc w:val="center"/>
        </w:trPr>
        <w:tc>
          <w:tcPr>
            <w:tcW w:w="0" w:type="auto"/>
            <w:vMerge w:val="continue"/>
            <w:noWrap w:val="0"/>
            <w:vAlign w:val="center"/>
          </w:tcPr>
          <w:p w14:paraId="5252119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pPr>
          </w:p>
        </w:tc>
        <w:tc>
          <w:tcPr>
            <w:tcW w:w="0" w:type="auto"/>
            <w:vMerge w:val="continue"/>
            <w:noWrap w:val="0"/>
            <w:vAlign w:val="center"/>
          </w:tcPr>
          <w:p w14:paraId="12E7906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pPr>
          </w:p>
        </w:tc>
        <w:tc>
          <w:tcPr>
            <w:tcW w:w="0" w:type="auto"/>
            <w:noWrap w:val="0"/>
            <w:vAlign w:val="center"/>
          </w:tcPr>
          <w:p w14:paraId="138E3C6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年拆解10000吨废变压器及电力物资扩建项目</w:t>
            </w:r>
          </w:p>
        </w:tc>
        <w:tc>
          <w:tcPr>
            <w:tcW w:w="0" w:type="auto"/>
            <w:noWrap w:val="0"/>
            <w:vAlign w:val="center"/>
          </w:tcPr>
          <w:p w14:paraId="668CC7A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岳汨环评[202</w:t>
            </w:r>
            <w:r>
              <w:rPr>
                <w:rFonts w:hint="eastAsia" w:ascii="Times New Roman" w:hAnsi="Times New Roman" w:eastAsia="宋体" w:cs="Times New Roman"/>
                <w:b w:val="0"/>
                <w:bCs/>
                <w:i w:val="0"/>
                <w:snapToGrid w:val="0"/>
                <w:color w:val="auto"/>
                <w:kern w:val="0"/>
                <w:sz w:val="21"/>
                <w:szCs w:val="21"/>
                <w:u w:val="none" w:color="auto"/>
                <w:lang w:val="en-US" w:eastAsia="zh-CN" w:bidi="ar"/>
              </w:rPr>
              <w:t>4</w:t>
            </w:r>
            <w:r>
              <w:rPr>
                <w:rFonts w:hint="default" w:ascii="Times New Roman" w:hAnsi="Times New Roman" w:eastAsia="宋体" w:cs="Times New Roman"/>
                <w:b w:val="0"/>
                <w:bCs/>
                <w:i w:val="0"/>
                <w:snapToGrid w:val="0"/>
                <w:color w:val="auto"/>
                <w:kern w:val="0"/>
                <w:sz w:val="21"/>
                <w:szCs w:val="21"/>
                <w:u w:val="none" w:color="auto"/>
                <w:lang w:val="en-US" w:eastAsia="zh-CN" w:bidi="ar"/>
              </w:rPr>
              <w:t>]0</w:t>
            </w:r>
            <w:r>
              <w:rPr>
                <w:rFonts w:hint="eastAsia" w:ascii="Times New Roman" w:hAnsi="Times New Roman" w:eastAsia="宋体" w:cs="Times New Roman"/>
                <w:b w:val="0"/>
                <w:bCs/>
                <w:i w:val="0"/>
                <w:snapToGrid w:val="0"/>
                <w:color w:val="auto"/>
                <w:kern w:val="0"/>
                <w:sz w:val="21"/>
                <w:szCs w:val="21"/>
                <w:u w:val="none" w:color="auto"/>
                <w:lang w:val="en-US" w:eastAsia="zh-CN" w:bidi="ar"/>
              </w:rPr>
              <w:t>26</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02668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color="auto"/>
                <w:lang w:val="en-US" w:eastAsia="zh-CN" w:bidi="ar"/>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6ADFAA2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2B7741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53B9A26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67</w:t>
            </w:r>
          </w:p>
        </w:tc>
        <w:tc>
          <w:tcPr>
            <w:tcW w:w="0" w:type="auto"/>
            <w:noWrap w:val="0"/>
            <w:vAlign w:val="center"/>
          </w:tcPr>
          <w:p w14:paraId="1E5DC15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湖南中松百顺电子科技有限公司</w:t>
            </w:r>
          </w:p>
        </w:tc>
        <w:tc>
          <w:tcPr>
            <w:tcW w:w="0" w:type="auto"/>
            <w:noWrap w:val="0"/>
            <w:vAlign w:val="center"/>
          </w:tcPr>
          <w:p w14:paraId="342626C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年产120万平方米多层及双面线路板、年产120万平方米单面及铝基线路板</w:t>
            </w:r>
          </w:p>
        </w:tc>
        <w:tc>
          <w:tcPr>
            <w:tcW w:w="0" w:type="auto"/>
            <w:noWrap w:val="0"/>
            <w:vAlign w:val="center"/>
          </w:tcPr>
          <w:p w14:paraId="657E45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岳环评[2022]26号</w:t>
            </w:r>
          </w:p>
        </w:tc>
        <w:tc>
          <w:tcPr>
            <w:tcW w:w="0" w:type="auto"/>
            <w:noWrap w:val="0"/>
            <w:vAlign w:val="center"/>
          </w:tcPr>
          <w:p w14:paraId="038044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2024.3自主验收</w:t>
            </w:r>
          </w:p>
        </w:tc>
        <w:tc>
          <w:tcPr>
            <w:tcW w:w="232" w:type="pct"/>
            <w:noWrap w:val="0"/>
            <w:vAlign w:val="center"/>
          </w:tcPr>
          <w:p w14:paraId="152E4DD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0F474A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1F3B3A8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68</w:t>
            </w:r>
          </w:p>
        </w:tc>
        <w:tc>
          <w:tcPr>
            <w:tcW w:w="0" w:type="auto"/>
            <w:noWrap w:val="0"/>
            <w:vAlign w:val="center"/>
          </w:tcPr>
          <w:p w14:paraId="3D4EA34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湖南德沃新材料科技有限公司</w:t>
            </w:r>
          </w:p>
        </w:tc>
        <w:tc>
          <w:tcPr>
            <w:tcW w:w="0" w:type="auto"/>
            <w:noWrap w:val="0"/>
            <w:vAlign w:val="center"/>
          </w:tcPr>
          <w:p w14:paraId="2EC9B9D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年产2万吨金属制品</w:t>
            </w:r>
          </w:p>
        </w:tc>
        <w:tc>
          <w:tcPr>
            <w:tcW w:w="0" w:type="auto"/>
            <w:noWrap w:val="0"/>
            <w:vAlign w:val="center"/>
          </w:tcPr>
          <w:p w14:paraId="2195F9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岳汨环评[2021]025号</w:t>
            </w:r>
          </w:p>
        </w:tc>
        <w:tc>
          <w:tcPr>
            <w:tcW w:w="0" w:type="auto"/>
            <w:noWrap w:val="0"/>
            <w:vAlign w:val="center"/>
          </w:tcPr>
          <w:p w14:paraId="597DDA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2023.8阶段性自主验收</w:t>
            </w:r>
          </w:p>
        </w:tc>
        <w:tc>
          <w:tcPr>
            <w:tcW w:w="232" w:type="pct"/>
            <w:noWrap w:val="0"/>
            <w:vAlign w:val="center"/>
          </w:tcPr>
          <w:p w14:paraId="559602A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168635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16D2C330">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69</w:t>
            </w:r>
          </w:p>
        </w:tc>
        <w:tc>
          <w:tcPr>
            <w:tcW w:w="0" w:type="auto"/>
            <w:noWrap w:val="0"/>
            <w:vAlign w:val="center"/>
          </w:tcPr>
          <w:p w14:paraId="12546E5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湖南省巨帆臻鼎环保有限公司（汨罗市PCB产业园7600t/d污水处理厂）</w:t>
            </w:r>
          </w:p>
        </w:tc>
        <w:tc>
          <w:tcPr>
            <w:tcW w:w="0" w:type="auto"/>
            <w:noWrap w:val="0"/>
            <w:vAlign w:val="center"/>
          </w:tcPr>
          <w:p w14:paraId="584C100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含镍废水设计预处理规模为250m</w:t>
            </w:r>
            <w:r>
              <w:rPr>
                <w:rFonts w:hint="default" w:ascii="Times New Roman" w:hAnsi="Times New Roman" w:eastAsia="宋体" w:cs="Times New Roman"/>
                <w:i w:val="0"/>
                <w:snapToGrid w:val="0"/>
                <w:color w:val="auto"/>
                <w:kern w:val="0"/>
                <w:sz w:val="21"/>
                <w:szCs w:val="21"/>
                <w:u w:val="none" w:color="auto"/>
                <w:vertAlign w:val="superscript"/>
                <w:lang w:val="en-US" w:eastAsia="zh-CN" w:bidi="ar"/>
              </w:rPr>
              <w:t>3</w:t>
            </w:r>
            <w:r>
              <w:rPr>
                <w:rFonts w:hint="default" w:ascii="Times New Roman" w:hAnsi="Times New Roman" w:eastAsia="宋体" w:cs="Times New Roman"/>
                <w:i w:val="0"/>
                <w:snapToGrid w:val="0"/>
                <w:color w:val="auto"/>
                <w:kern w:val="0"/>
                <w:sz w:val="21"/>
                <w:szCs w:val="21"/>
                <w:u w:val="none" w:color="auto"/>
                <w:lang w:val="en-US" w:eastAsia="zh-CN" w:bidi="ar"/>
              </w:rPr>
              <w:t>/d，含氰废水设计预处理规模为250m</w:t>
            </w:r>
            <w:r>
              <w:rPr>
                <w:rFonts w:hint="default" w:ascii="Times New Roman" w:hAnsi="Times New Roman" w:eastAsia="宋体" w:cs="Times New Roman"/>
                <w:i w:val="0"/>
                <w:snapToGrid w:val="0"/>
                <w:color w:val="auto"/>
                <w:kern w:val="0"/>
                <w:sz w:val="21"/>
                <w:szCs w:val="21"/>
                <w:u w:val="none" w:color="auto"/>
                <w:vertAlign w:val="superscript"/>
                <w:lang w:val="en-US" w:eastAsia="zh-CN" w:bidi="ar"/>
              </w:rPr>
              <w:t>3</w:t>
            </w:r>
            <w:r>
              <w:rPr>
                <w:rFonts w:hint="default" w:ascii="Times New Roman" w:hAnsi="Times New Roman" w:eastAsia="宋体" w:cs="Times New Roman"/>
                <w:i w:val="0"/>
                <w:snapToGrid w:val="0"/>
                <w:color w:val="auto"/>
                <w:kern w:val="0"/>
                <w:sz w:val="21"/>
                <w:szCs w:val="21"/>
                <w:u w:val="none" w:color="auto"/>
                <w:lang w:val="en-US" w:eastAsia="zh-CN" w:bidi="ar"/>
              </w:rPr>
              <w:t>/d，一般清洗废水设计预处理规模为4000m</w:t>
            </w:r>
            <w:r>
              <w:rPr>
                <w:rFonts w:hint="default" w:ascii="Times New Roman" w:hAnsi="Times New Roman" w:eastAsia="宋体" w:cs="Times New Roman"/>
                <w:i w:val="0"/>
                <w:snapToGrid w:val="0"/>
                <w:color w:val="auto"/>
                <w:kern w:val="0"/>
                <w:sz w:val="21"/>
                <w:szCs w:val="21"/>
                <w:u w:val="none" w:color="auto"/>
                <w:vertAlign w:val="superscript"/>
                <w:lang w:val="en-US" w:eastAsia="zh-CN" w:bidi="ar"/>
              </w:rPr>
              <w:t>3</w:t>
            </w:r>
            <w:r>
              <w:rPr>
                <w:rFonts w:hint="default" w:ascii="Times New Roman" w:hAnsi="Times New Roman" w:eastAsia="宋体" w:cs="Times New Roman"/>
                <w:i w:val="0"/>
                <w:snapToGrid w:val="0"/>
                <w:color w:val="auto"/>
                <w:kern w:val="0"/>
                <w:sz w:val="21"/>
                <w:szCs w:val="21"/>
                <w:u w:val="none" w:color="auto"/>
                <w:lang w:val="en-US" w:eastAsia="zh-CN" w:bidi="ar"/>
              </w:rPr>
              <w:t>/d，氨氮废水设计预处理规模为400m</w:t>
            </w:r>
            <w:r>
              <w:rPr>
                <w:rFonts w:hint="default" w:ascii="Times New Roman" w:hAnsi="Times New Roman" w:eastAsia="宋体" w:cs="Times New Roman"/>
                <w:i w:val="0"/>
                <w:snapToGrid w:val="0"/>
                <w:color w:val="auto"/>
                <w:kern w:val="0"/>
                <w:sz w:val="21"/>
                <w:szCs w:val="21"/>
                <w:u w:val="none" w:color="auto"/>
                <w:vertAlign w:val="superscript"/>
                <w:lang w:val="en-US" w:eastAsia="zh-CN" w:bidi="ar"/>
              </w:rPr>
              <w:t>3</w:t>
            </w:r>
            <w:r>
              <w:rPr>
                <w:rFonts w:hint="default" w:ascii="Times New Roman" w:hAnsi="Times New Roman" w:eastAsia="宋体" w:cs="Times New Roman"/>
                <w:i w:val="0"/>
                <w:snapToGrid w:val="0"/>
                <w:color w:val="auto"/>
                <w:kern w:val="0"/>
                <w:sz w:val="21"/>
                <w:szCs w:val="21"/>
                <w:u w:val="none" w:color="auto"/>
                <w:lang w:val="en-US" w:eastAsia="zh-CN" w:bidi="ar"/>
              </w:rPr>
              <w:t>/d，油墨废水设计预处理规模为500m</w:t>
            </w:r>
            <w:r>
              <w:rPr>
                <w:rFonts w:hint="default" w:ascii="Times New Roman" w:hAnsi="Times New Roman" w:eastAsia="宋体" w:cs="Times New Roman"/>
                <w:i w:val="0"/>
                <w:snapToGrid w:val="0"/>
                <w:color w:val="auto"/>
                <w:kern w:val="0"/>
                <w:sz w:val="21"/>
                <w:szCs w:val="21"/>
                <w:u w:val="none" w:color="auto"/>
                <w:vertAlign w:val="superscript"/>
                <w:lang w:val="en-US" w:eastAsia="zh-CN" w:bidi="ar"/>
              </w:rPr>
              <w:t>3</w:t>
            </w:r>
            <w:r>
              <w:rPr>
                <w:rFonts w:hint="default" w:ascii="Times New Roman" w:hAnsi="Times New Roman" w:eastAsia="宋体" w:cs="Times New Roman"/>
                <w:i w:val="0"/>
                <w:snapToGrid w:val="0"/>
                <w:color w:val="auto"/>
                <w:kern w:val="0"/>
                <w:sz w:val="21"/>
                <w:szCs w:val="21"/>
                <w:u w:val="none" w:color="auto"/>
                <w:lang w:val="en-US" w:eastAsia="zh-CN" w:bidi="ar"/>
              </w:rPr>
              <w:t>/d，综合废水设计处理规模为5000m</w:t>
            </w:r>
            <w:r>
              <w:rPr>
                <w:rFonts w:hint="default" w:ascii="Times New Roman" w:hAnsi="Times New Roman" w:eastAsia="宋体" w:cs="Times New Roman"/>
                <w:i w:val="0"/>
                <w:snapToGrid w:val="0"/>
                <w:color w:val="auto"/>
                <w:kern w:val="0"/>
                <w:sz w:val="21"/>
                <w:szCs w:val="21"/>
                <w:u w:val="none" w:color="auto"/>
                <w:vertAlign w:val="superscript"/>
                <w:lang w:val="en-US" w:eastAsia="zh-CN" w:bidi="ar"/>
              </w:rPr>
              <w:t>3</w:t>
            </w:r>
            <w:r>
              <w:rPr>
                <w:rFonts w:hint="default" w:ascii="Times New Roman" w:hAnsi="Times New Roman" w:eastAsia="宋体" w:cs="Times New Roman"/>
                <w:i w:val="0"/>
                <w:snapToGrid w:val="0"/>
                <w:color w:val="auto"/>
                <w:kern w:val="0"/>
                <w:sz w:val="21"/>
                <w:szCs w:val="21"/>
                <w:u w:val="none" w:color="auto"/>
                <w:lang w:val="en-US" w:eastAsia="zh-CN" w:bidi="ar"/>
              </w:rPr>
              <w:t>/d</w:t>
            </w:r>
          </w:p>
        </w:tc>
        <w:tc>
          <w:tcPr>
            <w:tcW w:w="0" w:type="auto"/>
            <w:noWrap w:val="0"/>
            <w:vAlign w:val="center"/>
          </w:tcPr>
          <w:p w14:paraId="45B1A9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 [2021]51号</w:t>
            </w:r>
          </w:p>
        </w:tc>
        <w:tc>
          <w:tcPr>
            <w:tcW w:w="0" w:type="auto"/>
            <w:noWrap w:val="0"/>
            <w:vAlign w:val="center"/>
          </w:tcPr>
          <w:p w14:paraId="21584A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1462D1D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7DA763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35C7E1F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70</w:t>
            </w:r>
          </w:p>
        </w:tc>
        <w:tc>
          <w:tcPr>
            <w:tcW w:w="0" w:type="auto"/>
            <w:noWrap w:val="0"/>
            <w:vAlign w:val="center"/>
          </w:tcPr>
          <w:p w14:paraId="07BBE0B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湖南骅拓电子电路制造有限公司</w:t>
            </w:r>
          </w:p>
        </w:tc>
        <w:tc>
          <w:tcPr>
            <w:tcW w:w="0" w:type="auto"/>
            <w:noWrap w:val="0"/>
            <w:vAlign w:val="center"/>
          </w:tcPr>
          <w:p w14:paraId="088D8E8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双面、多层线路板70万平方米/年，单面、铝基线路板50万平方米/年，提铜线副产品铜粉237.858吨/年</w:t>
            </w:r>
          </w:p>
        </w:tc>
        <w:tc>
          <w:tcPr>
            <w:tcW w:w="0" w:type="auto"/>
            <w:noWrap w:val="0"/>
            <w:vAlign w:val="center"/>
          </w:tcPr>
          <w:p w14:paraId="3315F3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Style w:val="41"/>
                <w:rFonts w:hint="default" w:ascii="Times New Roman" w:hAnsi="Times New Roman" w:eastAsia="宋体" w:cs="Times New Roman"/>
                <w:b w:val="0"/>
                <w:bCs/>
                <w:snapToGrid w:val="0"/>
                <w:color w:val="auto"/>
                <w:sz w:val="21"/>
                <w:szCs w:val="21"/>
                <w:u w:val="none" w:color="auto"/>
                <w:lang w:val="en-US" w:eastAsia="zh-CN" w:bidi="ar"/>
              </w:rPr>
              <w:t>岳环评</w:t>
            </w:r>
            <w:r>
              <w:rPr>
                <w:rStyle w:val="42"/>
                <w:rFonts w:hint="default" w:ascii="Times New Roman" w:hAnsi="Times New Roman" w:eastAsia="宋体" w:cs="Times New Roman"/>
                <w:b w:val="0"/>
                <w:bCs/>
                <w:snapToGrid w:val="0"/>
                <w:color w:val="auto"/>
                <w:sz w:val="21"/>
                <w:szCs w:val="21"/>
                <w:u w:val="none" w:color="auto"/>
                <w:lang w:val="en-US" w:eastAsia="zh-CN" w:bidi="ar"/>
              </w:rPr>
              <w:t xml:space="preserve"> [2022] 62</w:t>
            </w:r>
            <w:r>
              <w:rPr>
                <w:rStyle w:val="41"/>
                <w:rFonts w:hint="default" w:ascii="Times New Roman" w:hAnsi="Times New Roman" w:eastAsia="宋体" w:cs="Times New Roman"/>
                <w:b w:val="0"/>
                <w:bCs/>
                <w:snapToGrid w:val="0"/>
                <w:color w:val="auto"/>
                <w:sz w:val="21"/>
                <w:szCs w:val="21"/>
                <w:u w:val="none" w:color="auto"/>
                <w:lang w:val="en-US" w:eastAsia="zh-CN" w:bidi="ar"/>
              </w:rPr>
              <w:t>号</w:t>
            </w:r>
          </w:p>
        </w:tc>
        <w:tc>
          <w:tcPr>
            <w:tcW w:w="0" w:type="auto"/>
            <w:noWrap w:val="0"/>
            <w:vAlign w:val="center"/>
          </w:tcPr>
          <w:p w14:paraId="4F6D7CE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Style w:val="43"/>
                <w:rFonts w:hint="default" w:ascii="Times New Roman" w:hAnsi="Times New Roman" w:eastAsia="宋体" w:cs="Times New Roman"/>
                <w:b w:val="0"/>
                <w:bCs/>
                <w:snapToGrid w:val="0"/>
                <w:color w:val="auto"/>
                <w:sz w:val="21"/>
                <w:szCs w:val="21"/>
                <w:u w:val="none" w:color="auto"/>
                <w:lang w:val="en-US" w:eastAsia="zh-CN" w:bidi="ar"/>
              </w:rPr>
              <w:t>未验收</w:t>
            </w:r>
          </w:p>
        </w:tc>
        <w:tc>
          <w:tcPr>
            <w:tcW w:w="232" w:type="pct"/>
            <w:noWrap w:val="0"/>
            <w:vAlign w:val="center"/>
          </w:tcPr>
          <w:p w14:paraId="15E7575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4FF69D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20642B9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71</w:t>
            </w:r>
          </w:p>
        </w:tc>
        <w:tc>
          <w:tcPr>
            <w:tcW w:w="0" w:type="auto"/>
            <w:noWrap w:val="0"/>
            <w:vAlign w:val="center"/>
          </w:tcPr>
          <w:p w14:paraId="228CA90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湖南晟飞电子科技有限公司</w:t>
            </w:r>
          </w:p>
        </w:tc>
        <w:tc>
          <w:tcPr>
            <w:tcW w:w="0" w:type="auto"/>
            <w:noWrap w:val="0"/>
            <w:vAlign w:val="center"/>
          </w:tcPr>
          <w:p w14:paraId="6308BC6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年产120万平方米单面线路板</w:t>
            </w:r>
          </w:p>
        </w:tc>
        <w:tc>
          <w:tcPr>
            <w:tcW w:w="0" w:type="auto"/>
            <w:noWrap w:val="0"/>
            <w:vAlign w:val="center"/>
          </w:tcPr>
          <w:p w14:paraId="735A7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w:t>
            </w:r>
            <w:r>
              <w:rPr>
                <w:rStyle w:val="44"/>
                <w:rFonts w:hint="default" w:ascii="Times New Roman" w:hAnsi="Times New Roman" w:eastAsia="宋体" w:cs="Times New Roman"/>
                <w:b w:val="0"/>
                <w:bCs/>
                <w:snapToGrid w:val="0"/>
                <w:color w:val="auto"/>
                <w:sz w:val="21"/>
                <w:szCs w:val="21"/>
                <w:u w:val="none" w:color="auto"/>
                <w:lang w:val="en-US" w:eastAsia="zh-CN" w:bidi="ar"/>
              </w:rPr>
              <w:t>2022</w:t>
            </w:r>
            <w:r>
              <w:rPr>
                <w:rFonts w:hint="default" w:ascii="Times New Roman" w:hAnsi="Times New Roman" w:eastAsia="宋体" w:cs="Times New Roman"/>
                <w:b w:val="0"/>
                <w:bCs/>
                <w:i w:val="0"/>
                <w:snapToGrid w:val="0"/>
                <w:color w:val="auto"/>
                <w:kern w:val="0"/>
                <w:sz w:val="21"/>
                <w:szCs w:val="21"/>
                <w:u w:val="none" w:color="auto"/>
                <w:lang w:val="en-US" w:eastAsia="zh-CN" w:bidi="ar"/>
              </w:rPr>
              <w:t>〕</w:t>
            </w:r>
            <w:r>
              <w:rPr>
                <w:rStyle w:val="44"/>
                <w:rFonts w:hint="default" w:ascii="Times New Roman" w:hAnsi="Times New Roman" w:eastAsia="宋体" w:cs="Times New Roman"/>
                <w:b w:val="0"/>
                <w:bCs/>
                <w:snapToGrid w:val="0"/>
                <w:color w:val="auto"/>
                <w:sz w:val="21"/>
                <w:szCs w:val="21"/>
                <w:u w:val="none" w:color="auto"/>
                <w:lang w:val="en-US" w:eastAsia="zh-CN" w:bidi="ar"/>
              </w:rPr>
              <w:t>63</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1C405E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Style w:val="43"/>
                <w:rFonts w:hint="default" w:ascii="Times New Roman" w:hAnsi="Times New Roman" w:eastAsia="宋体" w:cs="Times New Roman"/>
                <w:b w:val="0"/>
                <w:bCs/>
                <w:snapToGrid w:val="0"/>
                <w:color w:val="auto"/>
                <w:sz w:val="21"/>
                <w:szCs w:val="21"/>
                <w:u w:val="none" w:color="auto"/>
                <w:lang w:val="en-US" w:eastAsia="zh-CN" w:bidi="ar"/>
              </w:rPr>
              <w:t>未验收</w:t>
            </w:r>
          </w:p>
        </w:tc>
        <w:tc>
          <w:tcPr>
            <w:tcW w:w="0" w:type="auto"/>
            <w:noWrap w:val="0"/>
            <w:vAlign w:val="center"/>
          </w:tcPr>
          <w:p w14:paraId="06A5BBA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在建</w:t>
            </w:r>
          </w:p>
        </w:tc>
      </w:tr>
      <w:tr w14:paraId="6EDB0A4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29E0ED3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72</w:t>
            </w:r>
          </w:p>
        </w:tc>
        <w:tc>
          <w:tcPr>
            <w:tcW w:w="0" w:type="auto"/>
            <w:noWrap w:val="0"/>
            <w:vAlign w:val="center"/>
          </w:tcPr>
          <w:p w14:paraId="45C6D74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湖南迈奥新材料科技有限公司</w:t>
            </w:r>
          </w:p>
        </w:tc>
        <w:tc>
          <w:tcPr>
            <w:tcW w:w="0" w:type="auto"/>
            <w:noWrap w:val="0"/>
            <w:vAlign w:val="center"/>
          </w:tcPr>
          <w:p w14:paraId="0DA681C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年产20000吨塑胶跑道颗粒和6000吨聚醚多元醇胶水</w:t>
            </w:r>
          </w:p>
        </w:tc>
        <w:tc>
          <w:tcPr>
            <w:tcW w:w="0" w:type="auto"/>
            <w:noWrap w:val="0"/>
            <w:vAlign w:val="center"/>
          </w:tcPr>
          <w:p w14:paraId="0C0F0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w:t>
            </w:r>
            <w:r>
              <w:rPr>
                <w:rStyle w:val="44"/>
                <w:rFonts w:hint="default" w:ascii="Times New Roman" w:hAnsi="Times New Roman" w:eastAsia="宋体" w:cs="Times New Roman"/>
                <w:b w:val="0"/>
                <w:bCs/>
                <w:snapToGrid w:val="0"/>
                <w:color w:val="auto"/>
                <w:sz w:val="21"/>
                <w:szCs w:val="21"/>
                <w:u w:val="none" w:color="auto"/>
                <w:lang w:val="en-US" w:eastAsia="zh-CN" w:bidi="ar"/>
              </w:rPr>
              <w:t>[2022]54</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57C40D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Style w:val="43"/>
                <w:rFonts w:hint="default" w:ascii="Times New Roman" w:hAnsi="Times New Roman" w:eastAsia="宋体" w:cs="Times New Roman"/>
                <w:b w:val="0"/>
                <w:bCs/>
                <w:snapToGrid w:val="0"/>
                <w:color w:val="auto"/>
                <w:sz w:val="21"/>
                <w:szCs w:val="21"/>
                <w:u w:val="none" w:color="auto"/>
                <w:lang w:val="en-US" w:eastAsia="zh-CN" w:bidi="ar"/>
              </w:rPr>
              <w:t>未验收</w:t>
            </w:r>
          </w:p>
        </w:tc>
        <w:tc>
          <w:tcPr>
            <w:tcW w:w="0" w:type="auto"/>
            <w:noWrap w:val="0"/>
            <w:vAlign w:val="center"/>
          </w:tcPr>
          <w:p w14:paraId="48D3DC7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停产</w:t>
            </w:r>
          </w:p>
        </w:tc>
      </w:tr>
      <w:tr w14:paraId="3AF619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484D5C3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73</w:t>
            </w:r>
          </w:p>
        </w:tc>
        <w:tc>
          <w:tcPr>
            <w:tcW w:w="0" w:type="auto"/>
            <w:noWrap w:val="0"/>
            <w:vAlign w:val="center"/>
          </w:tcPr>
          <w:p w14:paraId="0FA66A9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汨罗市创佳装饰材料有限公司</w:t>
            </w:r>
          </w:p>
        </w:tc>
        <w:tc>
          <w:tcPr>
            <w:tcW w:w="0" w:type="auto"/>
            <w:noWrap w:val="0"/>
            <w:vAlign w:val="center"/>
          </w:tcPr>
          <w:p w14:paraId="75C7C74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年产6000吨PVC装饰板</w:t>
            </w:r>
          </w:p>
        </w:tc>
        <w:tc>
          <w:tcPr>
            <w:tcW w:w="0" w:type="auto"/>
            <w:noWrap w:val="0"/>
            <w:vAlign w:val="center"/>
          </w:tcPr>
          <w:p w14:paraId="5F956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w:t>
            </w:r>
            <w:r>
              <w:rPr>
                <w:rStyle w:val="44"/>
                <w:rFonts w:hint="default" w:ascii="Times New Roman" w:hAnsi="Times New Roman" w:eastAsia="宋体" w:cs="Times New Roman"/>
                <w:b w:val="0"/>
                <w:bCs/>
                <w:snapToGrid w:val="0"/>
                <w:color w:val="auto"/>
                <w:sz w:val="21"/>
                <w:szCs w:val="21"/>
                <w:u w:val="none" w:color="auto"/>
                <w:lang w:val="en-US" w:eastAsia="zh-CN" w:bidi="ar"/>
              </w:rPr>
              <w:t>2022</w:t>
            </w:r>
            <w:r>
              <w:rPr>
                <w:rFonts w:hint="default" w:ascii="Times New Roman" w:hAnsi="Times New Roman" w:eastAsia="宋体" w:cs="Times New Roman"/>
                <w:b w:val="0"/>
                <w:bCs/>
                <w:i w:val="0"/>
                <w:snapToGrid w:val="0"/>
                <w:color w:val="auto"/>
                <w:kern w:val="0"/>
                <w:sz w:val="21"/>
                <w:szCs w:val="21"/>
                <w:u w:val="none" w:color="auto"/>
                <w:lang w:val="en-US" w:eastAsia="zh-CN" w:bidi="ar"/>
              </w:rPr>
              <w:t>〕</w:t>
            </w:r>
            <w:r>
              <w:rPr>
                <w:rStyle w:val="44"/>
                <w:rFonts w:hint="default" w:ascii="Times New Roman" w:hAnsi="Times New Roman" w:eastAsia="宋体" w:cs="Times New Roman"/>
                <w:b w:val="0"/>
                <w:bCs/>
                <w:snapToGrid w:val="0"/>
                <w:color w:val="auto"/>
                <w:sz w:val="21"/>
                <w:szCs w:val="21"/>
                <w:u w:val="none" w:color="auto"/>
                <w:lang w:val="en-US" w:eastAsia="zh-CN" w:bidi="ar"/>
              </w:rPr>
              <w:t>53</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127B37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2023.12自主验收</w:t>
            </w:r>
          </w:p>
        </w:tc>
        <w:tc>
          <w:tcPr>
            <w:tcW w:w="232" w:type="pct"/>
            <w:noWrap w:val="0"/>
            <w:vAlign w:val="center"/>
          </w:tcPr>
          <w:p w14:paraId="09E0A48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1D18FA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7FD5A914">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74</w:t>
            </w:r>
          </w:p>
        </w:tc>
        <w:tc>
          <w:tcPr>
            <w:tcW w:w="0" w:type="auto"/>
            <w:noWrap w:val="0"/>
            <w:vAlign w:val="center"/>
          </w:tcPr>
          <w:p w14:paraId="70B793C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湖南朗利新材料有限公司</w:t>
            </w:r>
          </w:p>
        </w:tc>
        <w:tc>
          <w:tcPr>
            <w:tcW w:w="0" w:type="auto"/>
            <w:noWrap w:val="0"/>
            <w:vAlign w:val="center"/>
          </w:tcPr>
          <w:p w14:paraId="620F671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年产3000吨聚丙烯电容器薄膜</w:t>
            </w:r>
          </w:p>
        </w:tc>
        <w:tc>
          <w:tcPr>
            <w:tcW w:w="0" w:type="auto"/>
            <w:noWrap w:val="0"/>
            <w:vAlign w:val="center"/>
          </w:tcPr>
          <w:p w14:paraId="7350ED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w:t>
            </w:r>
            <w:r>
              <w:rPr>
                <w:rStyle w:val="45"/>
                <w:rFonts w:hint="default" w:ascii="Times New Roman" w:hAnsi="Times New Roman" w:eastAsia="宋体" w:cs="Times New Roman"/>
                <w:b w:val="0"/>
                <w:bCs/>
                <w:snapToGrid w:val="0"/>
                <w:color w:val="auto"/>
                <w:sz w:val="21"/>
                <w:szCs w:val="21"/>
                <w:u w:val="none" w:color="auto"/>
                <w:lang w:val="en-US" w:eastAsia="zh-CN" w:bidi="ar"/>
              </w:rPr>
              <w:t>2022</w:t>
            </w:r>
            <w:r>
              <w:rPr>
                <w:rFonts w:hint="default" w:ascii="Times New Roman" w:hAnsi="Times New Roman" w:eastAsia="宋体" w:cs="Times New Roman"/>
                <w:b w:val="0"/>
                <w:bCs/>
                <w:i w:val="0"/>
                <w:snapToGrid w:val="0"/>
                <w:color w:val="auto"/>
                <w:kern w:val="0"/>
                <w:sz w:val="21"/>
                <w:szCs w:val="21"/>
                <w:u w:val="none" w:color="auto"/>
                <w:lang w:val="en-US" w:eastAsia="zh-CN" w:bidi="ar"/>
              </w:rPr>
              <w:t>〕</w:t>
            </w:r>
            <w:r>
              <w:rPr>
                <w:rStyle w:val="45"/>
                <w:rFonts w:hint="default" w:ascii="Times New Roman" w:hAnsi="Times New Roman" w:eastAsia="宋体" w:cs="Times New Roman"/>
                <w:b w:val="0"/>
                <w:bCs/>
                <w:snapToGrid w:val="0"/>
                <w:color w:val="auto"/>
                <w:sz w:val="21"/>
                <w:szCs w:val="21"/>
                <w:u w:val="none" w:color="auto"/>
                <w:lang w:val="en-US" w:eastAsia="zh-CN" w:bidi="ar"/>
              </w:rPr>
              <w:t>044</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00AA5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2024</w:t>
            </w:r>
            <w:r>
              <w:rPr>
                <w:rStyle w:val="41"/>
                <w:rFonts w:hint="default" w:ascii="Times New Roman" w:hAnsi="Times New Roman" w:eastAsia="宋体" w:cs="Times New Roman"/>
                <w:b w:val="0"/>
                <w:bCs/>
                <w:snapToGrid w:val="0"/>
                <w:color w:val="auto"/>
                <w:sz w:val="21"/>
                <w:szCs w:val="21"/>
                <w:u w:val="none" w:color="auto"/>
                <w:lang w:val="en-US" w:eastAsia="zh-CN" w:bidi="ar"/>
              </w:rPr>
              <w:t>.1自主验收</w:t>
            </w:r>
          </w:p>
        </w:tc>
        <w:tc>
          <w:tcPr>
            <w:tcW w:w="232" w:type="pct"/>
            <w:noWrap w:val="0"/>
            <w:vAlign w:val="center"/>
          </w:tcPr>
          <w:p w14:paraId="45264DC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684857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3636842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75</w:t>
            </w:r>
          </w:p>
        </w:tc>
        <w:tc>
          <w:tcPr>
            <w:tcW w:w="0" w:type="auto"/>
            <w:noWrap w:val="0"/>
            <w:vAlign w:val="center"/>
          </w:tcPr>
          <w:p w14:paraId="5767E40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汨罗市旭光建材有限公司</w:t>
            </w:r>
            <w:r>
              <w:rPr>
                <w:rFonts w:hint="default" w:ascii="Times New Roman" w:hAnsi="Times New Roman" w:eastAsia="宋体" w:cs="Times New Roman"/>
                <w:i w:val="0"/>
                <w:snapToGrid w:val="0"/>
                <w:color w:val="auto"/>
                <w:kern w:val="0"/>
                <w:sz w:val="21"/>
                <w:szCs w:val="21"/>
                <w:u w:val="none" w:color="auto"/>
                <w:vertAlign w:val="superscript"/>
                <w:lang w:val="en-US" w:eastAsia="zh-CN" w:bidi="ar"/>
              </w:rPr>
              <w:t>(</w:t>
            </w:r>
            <w:r>
              <w:rPr>
                <w:rFonts w:hint="default" w:ascii="Times New Roman" w:hAnsi="Times New Roman" w:eastAsia="宋体" w:cs="Times New Roman"/>
                <w:i w:val="0"/>
                <w:snapToGrid w:val="0"/>
                <w:color w:val="auto"/>
                <w:kern w:val="0"/>
                <w:sz w:val="21"/>
                <w:szCs w:val="21"/>
                <w:u w:val="none" w:color="auto"/>
                <w:lang w:val="en-US" w:eastAsia="zh-CN" w:bidi="ar"/>
              </w:rPr>
              <w:t>原名：湖南炎阳新材料有限公司）</w:t>
            </w:r>
          </w:p>
        </w:tc>
        <w:tc>
          <w:tcPr>
            <w:tcW w:w="0" w:type="auto"/>
            <w:noWrap w:val="0"/>
            <w:vAlign w:val="center"/>
          </w:tcPr>
          <w:p w14:paraId="33A27A1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年煅烧72000吨石墨负极新材料生料产66837.151吨煅后焦</w:t>
            </w:r>
          </w:p>
        </w:tc>
        <w:tc>
          <w:tcPr>
            <w:tcW w:w="0" w:type="auto"/>
            <w:noWrap w:val="0"/>
            <w:vAlign w:val="center"/>
          </w:tcPr>
          <w:p w14:paraId="14D53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w:t>
            </w:r>
            <w:r>
              <w:rPr>
                <w:rStyle w:val="44"/>
                <w:rFonts w:hint="default" w:ascii="Times New Roman" w:hAnsi="Times New Roman" w:eastAsia="宋体" w:cs="Times New Roman"/>
                <w:b w:val="0"/>
                <w:bCs/>
                <w:snapToGrid w:val="0"/>
                <w:color w:val="auto"/>
                <w:sz w:val="21"/>
                <w:szCs w:val="21"/>
                <w:u w:val="none" w:color="auto"/>
                <w:lang w:val="en-US" w:eastAsia="zh-CN" w:bidi="ar"/>
              </w:rPr>
              <w:t>2022</w:t>
            </w:r>
            <w:r>
              <w:rPr>
                <w:rFonts w:hint="default" w:ascii="Times New Roman" w:hAnsi="Times New Roman" w:eastAsia="宋体" w:cs="Times New Roman"/>
                <w:b w:val="0"/>
                <w:bCs/>
                <w:i w:val="0"/>
                <w:snapToGrid w:val="0"/>
                <w:color w:val="auto"/>
                <w:kern w:val="0"/>
                <w:sz w:val="21"/>
                <w:szCs w:val="21"/>
                <w:u w:val="none" w:color="auto"/>
                <w:lang w:val="en-US" w:eastAsia="zh-CN" w:bidi="ar"/>
              </w:rPr>
              <w:t>〕</w:t>
            </w:r>
            <w:r>
              <w:rPr>
                <w:rStyle w:val="44"/>
                <w:rFonts w:hint="default" w:ascii="Times New Roman" w:hAnsi="Times New Roman" w:eastAsia="宋体" w:cs="Times New Roman"/>
                <w:b w:val="0"/>
                <w:bCs/>
                <w:snapToGrid w:val="0"/>
                <w:color w:val="auto"/>
                <w:sz w:val="21"/>
                <w:szCs w:val="21"/>
                <w:u w:val="none" w:color="auto"/>
                <w:lang w:val="en-US" w:eastAsia="zh-CN" w:bidi="ar"/>
              </w:rPr>
              <w:t>56</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0FE86A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Style w:val="43"/>
                <w:rFonts w:hint="default" w:ascii="Times New Roman" w:hAnsi="Times New Roman" w:eastAsia="宋体" w:cs="Times New Roman"/>
                <w:b w:val="0"/>
                <w:bCs/>
                <w:snapToGrid w:val="0"/>
                <w:color w:val="auto"/>
                <w:sz w:val="21"/>
                <w:szCs w:val="21"/>
                <w:u w:val="none" w:color="auto"/>
                <w:lang w:val="en-US" w:eastAsia="zh-CN" w:bidi="ar"/>
              </w:rPr>
              <w:t>未验收</w:t>
            </w:r>
          </w:p>
        </w:tc>
        <w:tc>
          <w:tcPr>
            <w:tcW w:w="0" w:type="auto"/>
            <w:noWrap w:val="0"/>
            <w:vAlign w:val="center"/>
          </w:tcPr>
          <w:p w14:paraId="38840D9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停产</w:t>
            </w:r>
          </w:p>
        </w:tc>
      </w:tr>
      <w:tr w14:paraId="0926BA4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0D3630B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76</w:t>
            </w:r>
          </w:p>
        </w:tc>
        <w:tc>
          <w:tcPr>
            <w:tcW w:w="0" w:type="auto"/>
            <w:noWrap w:val="0"/>
            <w:vAlign w:val="center"/>
          </w:tcPr>
          <w:p w14:paraId="6C6EE92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湖南尚马世星环保科技有限公司</w:t>
            </w:r>
          </w:p>
        </w:tc>
        <w:tc>
          <w:tcPr>
            <w:tcW w:w="0" w:type="auto"/>
            <w:noWrap w:val="0"/>
            <w:vAlign w:val="center"/>
          </w:tcPr>
          <w:p w14:paraId="721970A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年产100台打包机</w:t>
            </w:r>
          </w:p>
        </w:tc>
        <w:tc>
          <w:tcPr>
            <w:tcW w:w="0" w:type="auto"/>
            <w:noWrap w:val="0"/>
            <w:vAlign w:val="center"/>
          </w:tcPr>
          <w:p w14:paraId="797831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w:t>
            </w:r>
            <w:r>
              <w:rPr>
                <w:rStyle w:val="44"/>
                <w:rFonts w:hint="default" w:ascii="Times New Roman" w:hAnsi="Times New Roman" w:eastAsia="宋体" w:cs="Times New Roman"/>
                <w:b w:val="0"/>
                <w:bCs/>
                <w:snapToGrid w:val="0"/>
                <w:color w:val="auto"/>
                <w:sz w:val="21"/>
                <w:szCs w:val="21"/>
                <w:u w:val="none" w:color="auto"/>
                <w:lang w:val="en-US" w:eastAsia="zh-CN" w:bidi="ar"/>
              </w:rPr>
              <w:t>2023</w:t>
            </w:r>
            <w:r>
              <w:rPr>
                <w:rFonts w:hint="default" w:ascii="Times New Roman" w:hAnsi="Times New Roman" w:eastAsia="宋体" w:cs="Times New Roman"/>
                <w:b w:val="0"/>
                <w:bCs/>
                <w:i w:val="0"/>
                <w:snapToGrid w:val="0"/>
                <w:color w:val="auto"/>
                <w:kern w:val="0"/>
                <w:sz w:val="21"/>
                <w:szCs w:val="21"/>
                <w:u w:val="none" w:color="auto"/>
                <w:lang w:val="en-US" w:eastAsia="zh-CN" w:bidi="ar"/>
              </w:rPr>
              <w:t>〕</w:t>
            </w:r>
            <w:r>
              <w:rPr>
                <w:rStyle w:val="44"/>
                <w:rFonts w:hint="default" w:ascii="Times New Roman" w:hAnsi="Times New Roman" w:eastAsia="宋体" w:cs="Times New Roman"/>
                <w:b w:val="0"/>
                <w:bCs/>
                <w:snapToGrid w:val="0"/>
                <w:color w:val="auto"/>
                <w:sz w:val="21"/>
                <w:szCs w:val="21"/>
                <w:u w:val="none" w:color="auto"/>
                <w:lang w:val="en-US" w:eastAsia="zh-CN" w:bidi="ar"/>
              </w:rPr>
              <w:t>015</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7D2C1C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3427F47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25CAA1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5EF52822">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77</w:t>
            </w:r>
          </w:p>
        </w:tc>
        <w:tc>
          <w:tcPr>
            <w:tcW w:w="0" w:type="auto"/>
            <w:noWrap w:val="0"/>
            <w:vAlign w:val="center"/>
          </w:tcPr>
          <w:p w14:paraId="707BA61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汨罗市新市镇湘缘饰材加工厂</w:t>
            </w:r>
          </w:p>
        </w:tc>
        <w:tc>
          <w:tcPr>
            <w:tcW w:w="0" w:type="auto"/>
            <w:noWrap w:val="0"/>
            <w:vAlign w:val="center"/>
          </w:tcPr>
          <w:p w14:paraId="0FA7442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年产1500吨PVC装饰线条、500吨PVC墙板（未建）</w:t>
            </w:r>
          </w:p>
        </w:tc>
        <w:tc>
          <w:tcPr>
            <w:tcW w:w="0" w:type="auto"/>
            <w:noWrap w:val="0"/>
            <w:vAlign w:val="center"/>
          </w:tcPr>
          <w:p w14:paraId="0CB6E0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w:t>
            </w:r>
            <w:r>
              <w:rPr>
                <w:rStyle w:val="44"/>
                <w:rFonts w:hint="default" w:ascii="Times New Roman" w:hAnsi="Times New Roman" w:eastAsia="宋体" w:cs="Times New Roman"/>
                <w:b w:val="0"/>
                <w:bCs/>
                <w:snapToGrid w:val="0"/>
                <w:color w:val="auto"/>
                <w:sz w:val="21"/>
                <w:szCs w:val="21"/>
                <w:u w:val="none" w:color="auto"/>
                <w:lang w:val="en-US" w:eastAsia="zh-CN" w:bidi="ar"/>
              </w:rPr>
              <w:t xml:space="preserve"> [2020]128</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575E8A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w:t>
            </w:r>
          </w:p>
        </w:tc>
        <w:tc>
          <w:tcPr>
            <w:tcW w:w="232" w:type="pct"/>
            <w:noWrap w:val="0"/>
            <w:vAlign w:val="center"/>
          </w:tcPr>
          <w:p w14:paraId="645A2CF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1915D8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4D446128">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78</w:t>
            </w:r>
          </w:p>
        </w:tc>
        <w:tc>
          <w:tcPr>
            <w:tcW w:w="0" w:type="auto"/>
            <w:noWrap w:val="0"/>
            <w:vAlign w:val="center"/>
          </w:tcPr>
          <w:p w14:paraId="6BD5071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湖南汨特科技新材料股份有限公司</w:t>
            </w:r>
          </w:p>
        </w:tc>
        <w:tc>
          <w:tcPr>
            <w:tcW w:w="0" w:type="auto"/>
            <w:noWrap w:val="0"/>
            <w:vAlign w:val="center"/>
          </w:tcPr>
          <w:p w14:paraId="6E87C8E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石墨异形件(光伏产业单晶炉用石墨热场)5000t/a、石墨块2000t/a、石墨粉1500t/a、石墨增碳剂1000t/a</w:t>
            </w:r>
          </w:p>
        </w:tc>
        <w:tc>
          <w:tcPr>
            <w:tcW w:w="0" w:type="auto"/>
            <w:noWrap w:val="0"/>
            <w:vAlign w:val="center"/>
          </w:tcPr>
          <w:p w14:paraId="3506F6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w:t>
            </w:r>
            <w:r>
              <w:rPr>
                <w:rStyle w:val="44"/>
                <w:rFonts w:hint="default" w:ascii="Times New Roman" w:hAnsi="Times New Roman" w:eastAsia="宋体" w:cs="Times New Roman"/>
                <w:b w:val="0"/>
                <w:bCs/>
                <w:snapToGrid w:val="0"/>
                <w:color w:val="auto"/>
                <w:sz w:val="21"/>
                <w:szCs w:val="21"/>
                <w:u w:val="none" w:color="auto"/>
                <w:lang w:val="en-US" w:eastAsia="zh-CN" w:bidi="ar"/>
              </w:rPr>
              <w:t>[2011]74</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1C2EB8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岳环评验</w:t>
            </w:r>
            <w:r>
              <w:rPr>
                <w:rStyle w:val="44"/>
                <w:rFonts w:hint="default" w:ascii="Times New Roman" w:hAnsi="Times New Roman" w:eastAsia="宋体" w:cs="Times New Roman"/>
                <w:b w:val="0"/>
                <w:bCs/>
                <w:snapToGrid w:val="0"/>
                <w:color w:val="auto"/>
                <w:sz w:val="21"/>
                <w:szCs w:val="21"/>
                <w:u w:val="none" w:color="auto"/>
                <w:lang w:val="en-US" w:eastAsia="zh-CN" w:bidi="ar"/>
              </w:rPr>
              <w:t>[2012]13</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232" w:type="pct"/>
            <w:noWrap w:val="0"/>
            <w:vAlign w:val="center"/>
          </w:tcPr>
          <w:p w14:paraId="043E0AF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53BDF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00AF268C">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79</w:t>
            </w:r>
          </w:p>
        </w:tc>
        <w:tc>
          <w:tcPr>
            <w:tcW w:w="0" w:type="auto"/>
            <w:noWrap w:val="0"/>
            <w:vAlign w:val="center"/>
          </w:tcPr>
          <w:p w14:paraId="563A7A9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汨罗市科易达电子有限公司</w:t>
            </w:r>
          </w:p>
        </w:tc>
        <w:tc>
          <w:tcPr>
            <w:tcW w:w="0" w:type="auto"/>
            <w:noWrap w:val="0"/>
            <w:vAlign w:val="center"/>
          </w:tcPr>
          <w:p w14:paraId="43718E9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喷锡线路板60万m</w:t>
            </w:r>
            <w:r>
              <w:rPr>
                <w:rFonts w:hint="default" w:ascii="Times New Roman" w:hAnsi="Times New Roman" w:eastAsia="宋体" w:cs="Times New Roman"/>
                <w:i w:val="0"/>
                <w:snapToGrid w:val="0"/>
                <w:color w:val="auto"/>
                <w:kern w:val="0"/>
                <w:sz w:val="21"/>
                <w:szCs w:val="21"/>
                <w:u w:val="none" w:color="auto"/>
                <w:vertAlign w:val="superscript"/>
                <w:lang w:val="en-US" w:eastAsia="zh-CN" w:bidi="ar"/>
              </w:rPr>
              <w:t>2</w:t>
            </w:r>
            <w:r>
              <w:rPr>
                <w:rFonts w:hint="default" w:ascii="Times New Roman" w:hAnsi="Times New Roman" w:eastAsia="宋体" w:cs="Times New Roman"/>
                <w:i w:val="0"/>
                <w:snapToGrid w:val="0"/>
                <w:color w:val="auto"/>
                <w:kern w:val="0"/>
                <w:sz w:val="21"/>
                <w:szCs w:val="21"/>
                <w:u w:val="none" w:color="auto"/>
                <w:lang w:val="en-US" w:eastAsia="zh-CN" w:bidi="ar"/>
              </w:rPr>
              <w:t>/年</w:t>
            </w:r>
          </w:p>
        </w:tc>
        <w:tc>
          <w:tcPr>
            <w:tcW w:w="0" w:type="auto"/>
            <w:noWrap w:val="0"/>
            <w:vAlign w:val="center"/>
          </w:tcPr>
          <w:p w14:paraId="60A0B2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w:t>
            </w:r>
            <w:r>
              <w:rPr>
                <w:rStyle w:val="44"/>
                <w:rFonts w:hint="default" w:ascii="Times New Roman" w:hAnsi="Times New Roman" w:eastAsia="宋体" w:cs="Times New Roman"/>
                <w:b w:val="0"/>
                <w:bCs/>
                <w:snapToGrid w:val="0"/>
                <w:color w:val="auto"/>
                <w:sz w:val="21"/>
                <w:szCs w:val="21"/>
                <w:u w:val="none" w:color="auto"/>
                <w:lang w:val="en-US" w:eastAsia="zh-CN" w:bidi="ar"/>
              </w:rPr>
              <w:t>2023</w:t>
            </w:r>
            <w:r>
              <w:rPr>
                <w:rFonts w:hint="default" w:ascii="Times New Roman" w:hAnsi="Times New Roman" w:eastAsia="宋体" w:cs="Times New Roman"/>
                <w:b w:val="0"/>
                <w:bCs/>
                <w:i w:val="0"/>
                <w:snapToGrid w:val="0"/>
                <w:color w:val="auto"/>
                <w:kern w:val="0"/>
                <w:sz w:val="21"/>
                <w:szCs w:val="21"/>
                <w:u w:val="none" w:color="auto"/>
                <w:lang w:val="en-US" w:eastAsia="zh-CN" w:bidi="ar"/>
              </w:rPr>
              <w:t>〕</w:t>
            </w:r>
            <w:r>
              <w:rPr>
                <w:rStyle w:val="44"/>
                <w:rFonts w:hint="default" w:ascii="Times New Roman" w:hAnsi="Times New Roman" w:eastAsia="宋体" w:cs="Times New Roman"/>
                <w:b w:val="0"/>
                <w:bCs/>
                <w:snapToGrid w:val="0"/>
                <w:color w:val="auto"/>
                <w:sz w:val="21"/>
                <w:szCs w:val="21"/>
                <w:u w:val="none" w:color="auto"/>
                <w:lang w:val="en-US" w:eastAsia="zh-CN" w:bidi="ar"/>
              </w:rPr>
              <w:t>1</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199DE0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Style w:val="43"/>
                <w:rFonts w:hint="default" w:ascii="Times New Roman" w:hAnsi="Times New Roman" w:eastAsia="宋体" w:cs="Times New Roman"/>
                <w:b w:val="0"/>
                <w:bCs/>
                <w:snapToGrid w:val="0"/>
                <w:color w:val="auto"/>
                <w:sz w:val="21"/>
                <w:szCs w:val="21"/>
                <w:u w:val="none" w:color="auto"/>
                <w:lang w:val="en-US" w:eastAsia="zh-CN" w:bidi="ar"/>
              </w:rPr>
              <w:t>未验收</w:t>
            </w:r>
          </w:p>
        </w:tc>
        <w:tc>
          <w:tcPr>
            <w:tcW w:w="0" w:type="auto"/>
            <w:noWrap w:val="0"/>
            <w:vAlign w:val="center"/>
          </w:tcPr>
          <w:p w14:paraId="046852DA">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5E1EF7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4B3DDC32">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80</w:t>
            </w:r>
          </w:p>
        </w:tc>
        <w:tc>
          <w:tcPr>
            <w:tcW w:w="0" w:type="auto"/>
            <w:noWrap w:val="0"/>
            <w:vAlign w:val="center"/>
          </w:tcPr>
          <w:p w14:paraId="2BD1F8F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湖南祥森科技有限公司</w:t>
            </w:r>
          </w:p>
        </w:tc>
        <w:tc>
          <w:tcPr>
            <w:tcW w:w="0" w:type="auto"/>
            <w:noWrap w:val="0"/>
            <w:vAlign w:val="center"/>
          </w:tcPr>
          <w:p w14:paraId="65D00C6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年调配分装 2000 吨线路板表面处理剂</w:t>
            </w:r>
          </w:p>
        </w:tc>
        <w:tc>
          <w:tcPr>
            <w:tcW w:w="0" w:type="auto"/>
            <w:noWrap w:val="0"/>
            <w:vAlign w:val="center"/>
          </w:tcPr>
          <w:p w14:paraId="7BF61E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w:t>
            </w:r>
            <w:r>
              <w:rPr>
                <w:rStyle w:val="44"/>
                <w:rFonts w:hint="default" w:ascii="Times New Roman" w:hAnsi="Times New Roman" w:eastAsia="宋体" w:cs="Times New Roman"/>
                <w:b w:val="0"/>
                <w:bCs/>
                <w:snapToGrid w:val="0"/>
                <w:color w:val="auto"/>
                <w:sz w:val="21"/>
                <w:szCs w:val="21"/>
                <w:u w:val="none" w:color="auto"/>
                <w:lang w:val="en-US" w:eastAsia="zh-CN" w:bidi="ar"/>
              </w:rPr>
              <w:t>2023</w:t>
            </w:r>
            <w:r>
              <w:rPr>
                <w:rFonts w:hint="default" w:ascii="Times New Roman" w:hAnsi="Times New Roman" w:eastAsia="宋体" w:cs="Times New Roman"/>
                <w:b w:val="0"/>
                <w:bCs/>
                <w:i w:val="0"/>
                <w:snapToGrid w:val="0"/>
                <w:color w:val="auto"/>
                <w:kern w:val="0"/>
                <w:sz w:val="21"/>
                <w:szCs w:val="21"/>
                <w:u w:val="none" w:color="auto"/>
                <w:lang w:val="en-US" w:eastAsia="zh-CN" w:bidi="ar"/>
              </w:rPr>
              <w:t>〕</w:t>
            </w:r>
            <w:r>
              <w:rPr>
                <w:rStyle w:val="44"/>
                <w:rFonts w:hint="default" w:ascii="Times New Roman" w:hAnsi="Times New Roman" w:eastAsia="宋体" w:cs="Times New Roman"/>
                <w:b w:val="0"/>
                <w:bCs/>
                <w:snapToGrid w:val="0"/>
                <w:color w:val="auto"/>
                <w:sz w:val="21"/>
                <w:szCs w:val="21"/>
                <w:u w:val="none" w:color="auto"/>
                <w:lang w:val="en-US" w:eastAsia="zh-CN" w:bidi="ar"/>
              </w:rPr>
              <w:t>030</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37393C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Style w:val="43"/>
                <w:rFonts w:hint="default" w:ascii="Times New Roman" w:hAnsi="Times New Roman" w:eastAsia="宋体" w:cs="Times New Roman"/>
                <w:b w:val="0"/>
                <w:bCs/>
                <w:snapToGrid w:val="0"/>
                <w:color w:val="auto"/>
                <w:sz w:val="21"/>
                <w:szCs w:val="21"/>
                <w:u w:val="none" w:color="auto"/>
                <w:lang w:val="en-US" w:eastAsia="zh-CN" w:bidi="ar"/>
              </w:rPr>
              <w:t>未验收</w:t>
            </w:r>
          </w:p>
        </w:tc>
        <w:tc>
          <w:tcPr>
            <w:tcW w:w="0" w:type="auto"/>
            <w:noWrap w:val="0"/>
            <w:vAlign w:val="center"/>
          </w:tcPr>
          <w:p w14:paraId="14D3A1A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在建</w:t>
            </w:r>
          </w:p>
        </w:tc>
      </w:tr>
      <w:tr w14:paraId="6D0E9E9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0E182D78">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81</w:t>
            </w:r>
          </w:p>
        </w:tc>
        <w:tc>
          <w:tcPr>
            <w:tcW w:w="0" w:type="auto"/>
            <w:noWrap w:val="0"/>
            <w:vAlign w:val="center"/>
          </w:tcPr>
          <w:p w14:paraId="12CB9C5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汨罗市欧邦机械厂</w:t>
            </w:r>
          </w:p>
        </w:tc>
        <w:tc>
          <w:tcPr>
            <w:tcW w:w="0" w:type="auto"/>
            <w:noWrap w:val="0"/>
            <w:vAlign w:val="center"/>
          </w:tcPr>
          <w:p w14:paraId="3674F82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麻将机铁件10万套/年</w:t>
            </w:r>
          </w:p>
        </w:tc>
        <w:tc>
          <w:tcPr>
            <w:tcW w:w="0" w:type="auto"/>
            <w:noWrap w:val="0"/>
            <w:vAlign w:val="center"/>
          </w:tcPr>
          <w:p w14:paraId="5DD2D3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汨环评批[2020]071号</w:t>
            </w:r>
          </w:p>
        </w:tc>
        <w:tc>
          <w:tcPr>
            <w:tcW w:w="0" w:type="auto"/>
            <w:noWrap w:val="0"/>
            <w:vAlign w:val="center"/>
          </w:tcPr>
          <w:p w14:paraId="5CA696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w:t>
            </w:r>
          </w:p>
        </w:tc>
        <w:tc>
          <w:tcPr>
            <w:tcW w:w="0" w:type="auto"/>
            <w:noWrap w:val="0"/>
            <w:vAlign w:val="center"/>
          </w:tcPr>
          <w:p w14:paraId="026AD24F">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05CCF1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06FEAAF2">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82</w:t>
            </w:r>
          </w:p>
        </w:tc>
        <w:tc>
          <w:tcPr>
            <w:tcW w:w="0" w:type="auto"/>
            <w:noWrap w:val="0"/>
            <w:vAlign w:val="center"/>
          </w:tcPr>
          <w:p w14:paraId="46B2AE5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汨罗市正旺包装有限公司</w:t>
            </w:r>
          </w:p>
        </w:tc>
        <w:tc>
          <w:tcPr>
            <w:tcW w:w="0" w:type="auto"/>
            <w:noWrap w:val="0"/>
            <w:vAlign w:val="center"/>
          </w:tcPr>
          <w:p w14:paraId="15CCF9C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年产内膜成品400吨、塑料编织袋1000万条</w:t>
            </w:r>
          </w:p>
        </w:tc>
        <w:tc>
          <w:tcPr>
            <w:tcW w:w="0" w:type="auto"/>
            <w:noWrap w:val="0"/>
            <w:vAlign w:val="center"/>
          </w:tcPr>
          <w:p w14:paraId="2070E52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汨环评批</w:t>
            </w:r>
            <w:r>
              <w:rPr>
                <w:rStyle w:val="44"/>
                <w:rFonts w:hint="default" w:ascii="Times New Roman" w:hAnsi="Times New Roman" w:eastAsia="宋体" w:cs="Times New Roman"/>
                <w:b w:val="0"/>
                <w:bCs/>
                <w:snapToGrid w:val="0"/>
                <w:color w:val="auto"/>
                <w:sz w:val="21"/>
                <w:szCs w:val="21"/>
                <w:u w:val="none" w:color="auto"/>
                <w:lang w:val="en-US" w:eastAsia="zh-CN" w:bidi="ar"/>
              </w:rPr>
              <w:t>[2018]009</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1CD0C4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已验收</w:t>
            </w:r>
          </w:p>
        </w:tc>
        <w:tc>
          <w:tcPr>
            <w:tcW w:w="0" w:type="auto"/>
            <w:noWrap w:val="0"/>
            <w:vAlign w:val="center"/>
          </w:tcPr>
          <w:p w14:paraId="42B50393">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38D9D92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1E22CDF6">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83</w:t>
            </w:r>
          </w:p>
        </w:tc>
        <w:tc>
          <w:tcPr>
            <w:tcW w:w="0" w:type="auto"/>
            <w:noWrap w:val="0"/>
            <w:vAlign w:val="center"/>
          </w:tcPr>
          <w:p w14:paraId="1B08D6E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汨罗皓鑫科技有限公司</w:t>
            </w:r>
          </w:p>
        </w:tc>
        <w:tc>
          <w:tcPr>
            <w:tcW w:w="0" w:type="auto"/>
            <w:noWrap w:val="0"/>
            <w:vAlign w:val="center"/>
          </w:tcPr>
          <w:p w14:paraId="25ACCF0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阳极铜板 2万t/a、粗铜（铜锭）1万t/a、铜杆0.5万t/a、黄铜棒3万t/a、锌合金0.5万t/a</w:t>
            </w:r>
          </w:p>
        </w:tc>
        <w:tc>
          <w:tcPr>
            <w:tcW w:w="0" w:type="auto"/>
            <w:noWrap w:val="0"/>
            <w:vAlign w:val="center"/>
          </w:tcPr>
          <w:p w14:paraId="3C149E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岳环评批[2013]143号、岳环评[2021]58号、岳环评</w:t>
            </w:r>
            <w:r>
              <w:rPr>
                <w:rStyle w:val="40"/>
                <w:rFonts w:hint="default" w:ascii="Times New Roman" w:hAnsi="Times New Roman" w:eastAsia="宋体" w:cs="Times New Roman"/>
                <w:b w:val="0"/>
                <w:bCs/>
                <w:snapToGrid w:val="0"/>
                <w:color w:val="auto"/>
                <w:sz w:val="21"/>
                <w:szCs w:val="21"/>
                <w:u w:val="none" w:color="auto"/>
                <w:lang w:val="en-US" w:eastAsia="zh-CN" w:bidi="ar"/>
              </w:rPr>
              <w:t>[2023]36</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1C7FA8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岳环验[2014]5号</w:t>
            </w:r>
          </w:p>
        </w:tc>
        <w:tc>
          <w:tcPr>
            <w:tcW w:w="232" w:type="pct"/>
            <w:noWrap w:val="0"/>
            <w:vAlign w:val="center"/>
          </w:tcPr>
          <w:p w14:paraId="2020D628">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464C2B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1266A80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84</w:t>
            </w:r>
          </w:p>
        </w:tc>
        <w:tc>
          <w:tcPr>
            <w:tcW w:w="0" w:type="auto"/>
            <w:noWrap w:val="0"/>
            <w:vAlign w:val="center"/>
          </w:tcPr>
          <w:p w14:paraId="76C23FD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汨罗市聚翰金属回收有限公司</w:t>
            </w:r>
          </w:p>
        </w:tc>
        <w:tc>
          <w:tcPr>
            <w:tcW w:w="0" w:type="auto"/>
            <w:noWrap w:val="0"/>
            <w:vAlign w:val="center"/>
          </w:tcPr>
          <w:p w14:paraId="6616019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年拆解 10000 吨废弃机电产品、废变压器</w:t>
            </w:r>
          </w:p>
        </w:tc>
        <w:tc>
          <w:tcPr>
            <w:tcW w:w="0" w:type="auto"/>
            <w:noWrap w:val="0"/>
            <w:vAlign w:val="center"/>
          </w:tcPr>
          <w:p w14:paraId="1CDF0A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岳汨环评</w:t>
            </w:r>
            <w:r>
              <w:rPr>
                <w:rStyle w:val="44"/>
                <w:rFonts w:hint="default" w:ascii="Times New Roman" w:hAnsi="Times New Roman" w:eastAsia="宋体" w:cs="Times New Roman"/>
                <w:b w:val="0"/>
                <w:bCs/>
                <w:snapToGrid w:val="0"/>
                <w:color w:val="auto"/>
                <w:sz w:val="21"/>
                <w:szCs w:val="21"/>
                <w:u w:val="none" w:color="auto"/>
                <w:lang w:val="en-US" w:eastAsia="zh-CN" w:bidi="ar"/>
              </w:rPr>
              <w:t>[2023]033</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17C24F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Style w:val="43"/>
                <w:rFonts w:hint="default" w:ascii="Times New Roman" w:hAnsi="Times New Roman" w:eastAsia="宋体" w:cs="Times New Roman"/>
                <w:b w:val="0"/>
                <w:bCs/>
                <w:snapToGrid w:val="0"/>
                <w:color w:val="auto"/>
                <w:sz w:val="21"/>
                <w:szCs w:val="21"/>
                <w:u w:val="none" w:color="auto"/>
                <w:lang w:val="en-US" w:eastAsia="zh-CN" w:bidi="ar"/>
              </w:rPr>
              <w:t>未验收</w:t>
            </w:r>
          </w:p>
        </w:tc>
        <w:tc>
          <w:tcPr>
            <w:tcW w:w="232" w:type="pct"/>
            <w:noWrap w:val="0"/>
            <w:vAlign w:val="center"/>
          </w:tcPr>
          <w:p w14:paraId="04CF4E2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在产</w:t>
            </w:r>
          </w:p>
        </w:tc>
      </w:tr>
      <w:tr w14:paraId="047A51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3F073127">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85</w:t>
            </w:r>
          </w:p>
        </w:tc>
        <w:tc>
          <w:tcPr>
            <w:tcW w:w="0" w:type="auto"/>
            <w:noWrap w:val="0"/>
            <w:vAlign w:val="center"/>
          </w:tcPr>
          <w:p w14:paraId="20181F3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国曼（湖南）新材料有限公司</w:t>
            </w:r>
          </w:p>
        </w:tc>
        <w:tc>
          <w:tcPr>
            <w:tcW w:w="0" w:type="auto"/>
            <w:noWrap w:val="0"/>
            <w:vAlign w:val="center"/>
          </w:tcPr>
          <w:p w14:paraId="25D2ACAE">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年产100万平方米防火门及消防设备建设项目</w:t>
            </w:r>
          </w:p>
        </w:tc>
        <w:tc>
          <w:tcPr>
            <w:tcW w:w="0" w:type="auto"/>
            <w:noWrap w:val="0"/>
            <w:vAlign w:val="center"/>
          </w:tcPr>
          <w:p w14:paraId="0B15F24C">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042</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0333C242">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建设中</w:t>
            </w:r>
          </w:p>
        </w:tc>
        <w:tc>
          <w:tcPr>
            <w:tcW w:w="232" w:type="pct"/>
            <w:noWrap w:val="0"/>
            <w:vAlign w:val="center"/>
          </w:tcPr>
          <w:p w14:paraId="0670D0FD">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在建</w:t>
            </w:r>
          </w:p>
        </w:tc>
      </w:tr>
      <w:tr w14:paraId="132D4A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75C82BA3">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86</w:t>
            </w:r>
          </w:p>
        </w:tc>
        <w:tc>
          <w:tcPr>
            <w:tcW w:w="0" w:type="auto"/>
            <w:noWrap w:val="0"/>
            <w:vAlign w:val="center"/>
          </w:tcPr>
          <w:p w14:paraId="1764C78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湖南深悦市场经营管理有限公司</w:t>
            </w:r>
          </w:p>
        </w:tc>
        <w:tc>
          <w:tcPr>
            <w:tcW w:w="0" w:type="auto"/>
            <w:noWrap w:val="0"/>
            <w:vAlign w:val="center"/>
          </w:tcPr>
          <w:p w14:paraId="2A9187BF">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年回收2万台废旧机械设备(再制造)生产线项目</w:t>
            </w:r>
          </w:p>
        </w:tc>
        <w:tc>
          <w:tcPr>
            <w:tcW w:w="0" w:type="auto"/>
            <w:noWrap w:val="0"/>
            <w:vAlign w:val="center"/>
          </w:tcPr>
          <w:p w14:paraId="5C43F60F">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054</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22EA66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1AAA659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6A6245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2B069433">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87</w:t>
            </w:r>
          </w:p>
        </w:tc>
        <w:tc>
          <w:tcPr>
            <w:tcW w:w="0" w:type="auto"/>
            <w:noWrap w:val="0"/>
            <w:vAlign w:val="center"/>
          </w:tcPr>
          <w:p w14:paraId="432F1D4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湖南深悦立宇机械设备有限公司</w:t>
            </w:r>
          </w:p>
        </w:tc>
        <w:tc>
          <w:tcPr>
            <w:tcW w:w="0" w:type="auto"/>
            <w:noWrap w:val="0"/>
            <w:vAlign w:val="center"/>
          </w:tcPr>
          <w:p w14:paraId="17CE776C">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年回收4800台废旧塑胶机械设备、五金机械设备加工再制造项目</w:t>
            </w:r>
          </w:p>
        </w:tc>
        <w:tc>
          <w:tcPr>
            <w:tcW w:w="0" w:type="auto"/>
            <w:noWrap w:val="0"/>
            <w:vAlign w:val="center"/>
          </w:tcPr>
          <w:p w14:paraId="6C12C1EA">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053</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787E72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5EB23D8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2243881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318D0A90">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88</w:t>
            </w:r>
          </w:p>
        </w:tc>
        <w:tc>
          <w:tcPr>
            <w:tcW w:w="0" w:type="auto"/>
            <w:noWrap w:val="0"/>
            <w:vAlign w:val="center"/>
          </w:tcPr>
          <w:p w14:paraId="39CF5F5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湖南润力达电子设备有限公司</w:t>
            </w:r>
          </w:p>
        </w:tc>
        <w:tc>
          <w:tcPr>
            <w:tcW w:w="0" w:type="auto"/>
            <w:noWrap w:val="0"/>
            <w:vAlign w:val="center"/>
          </w:tcPr>
          <w:p w14:paraId="33D75E0A">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eastAsia" w:ascii="Times New Roman" w:hAnsi="Times New Roman" w:cs="Times New Roman"/>
                <w:color w:val="auto"/>
                <w:sz w:val="21"/>
                <w:szCs w:val="21"/>
                <w:u w:val="none" w:color="auto"/>
                <w:lang w:val="en-US" w:eastAsia="zh-CN"/>
              </w:rPr>
              <w:t>年</w:t>
            </w:r>
            <w:r>
              <w:rPr>
                <w:rFonts w:hint="default" w:ascii="Times New Roman" w:hAnsi="Times New Roman" w:eastAsia="宋体" w:cs="Times New Roman"/>
                <w:color w:val="auto"/>
                <w:sz w:val="21"/>
                <w:szCs w:val="21"/>
                <w:u w:val="none" w:color="auto"/>
              </w:rPr>
              <w:t>回收4000台废旧线路板设备再制造项目</w:t>
            </w:r>
          </w:p>
        </w:tc>
        <w:tc>
          <w:tcPr>
            <w:tcW w:w="0" w:type="auto"/>
            <w:noWrap w:val="0"/>
            <w:vAlign w:val="center"/>
          </w:tcPr>
          <w:p w14:paraId="0D01383E">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055</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05F332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48C446F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6A31E8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065534A5">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89</w:t>
            </w:r>
          </w:p>
        </w:tc>
        <w:tc>
          <w:tcPr>
            <w:tcW w:w="0" w:type="auto"/>
            <w:noWrap w:val="0"/>
            <w:vAlign w:val="center"/>
          </w:tcPr>
          <w:p w14:paraId="6E5FB19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湖南巨浪新材料科技有限公司</w:t>
            </w:r>
          </w:p>
        </w:tc>
        <w:tc>
          <w:tcPr>
            <w:tcW w:w="0" w:type="auto"/>
            <w:noWrap w:val="0"/>
            <w:vAlign w:val="center"/>
          </w:tcPr>
          <w:p w14:paraId="1D870A71">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湖南巨浪新材料科技有限公司年产80万平方米家居建材新材料建设项目</w:t>
            </w:r>
          </w:p>
        </w:tc>
        <w:tc>
          <w:tcPr>
            <w:tcW w:w="0" w:type="auto"/>
            <w:noWrap w:val="0"/>
            <w:vAlign w:val="center"/>
          </w:tcPr>
          <w:p w14:paraId="7D5CAD97">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062</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2FD73CEF">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建设中</w:t>
            </w:r>
          </w:p>
        </w:tc>
        <w:tc>
          <w:tcPr>
            <w:tcW w:w="232" w:type="pct"/>
            <w:noWrap w:val="0"/>
            <w:vAlign w:val="center"/>
          </w:tcPr>
          <w:p w14:paraId="26B9B0AE">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在建</w:t>
            </w:r>
          </w:p>
        </w:tc>
      </w:tr>
      <w:tr w14:paraId="076CE4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07BCF05B">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eastAsia"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90</w:t>
            </w:r>
          </w:p>
        </w:tc>
        <w:tc>
          <w:tcPr>
            <w:tcW w:w="0" w:type="auto"/>
            <w:noWrap w:val="0"/>
            <w:vAlign w:val="center"/>
          </w:tcPr>
          <w:p w14:paraId="32BE3AF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湖南飞诺电子科技有限公司</w:t>
            </w:r>
          </w:p>
        </w:tc>
        <w:tc>
          <w:tcPr>
            <w:tcW w:w="0" w:type="auto"/>
            <w:noWrap w:val="0"/>
            <w:vAlign w:val="center"/>
          </w:tcPr>
          <w:p w14:paraId="16C39EF0">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南飞诺电子科技有限公司飞诺电子线路板生产项目（年产单面板120万平米、双面板60万平米、多层板10万平米）</w:t>
            </w:r>
          </w:p>
        </w:tc>
        <w:tc>
          <w:tcPr>
            <w:tcW w:w="0" w:type="auto"/>
            <w:noWrap w:val="0"/>
            <w:vAlign w:val="center"/>
          </w:tcPr>
          <w:p w14:paraId="24A7AEE2">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i w:val="0"/>
                <w:snapToGrid w:val="0"/>
                <w:color w:val="auto"/>
                <w:kern w:val="0"/>
                <w:sz w:val="21"/>
                <w:szCs w:val="21"/>
                <w:u w:val="none" w:color="auto"/>
                <w:lang w:val="en-US" w:eastAsia="zh-CN" w:bidi="ar"/>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w:t>
            </w:r>
            <w:r>
              <w:rPr>
                <w:rStyle w:val="40"/>
                <w:rFonts w:hint="default" w:ascii="Times New Roman" w:hAnsi="Times New Roman" w:eastAsia="宋体" w:cs="Times New Roman"/>
                <w:b w:val="0"/>
                <w:bCs/>
                <w:snapToGrid w:val="0"/>
                <w:color w:val="auto"/>
                <w:sz w:val="21"/>
                <w:szCs w:val="21"/>
                <w:u w:val="none" w:color="auto"/>
                <w:lang w:val="en-US" w:eastAsia="zh-CN" w:bidi="ar"/>
              </w:rPr>
              <w:t>[202</w:t>
            </w:r>
            <w:r>
              <w:rPr>
                <w:rStyle w:val="40"/>
                <w:rFonts w:hint="eastAsia" w:ascii="Times New Roman" w:hAnsi="Times New Roman" w:eastAsia="宋体" w:cs="Times New Roman"/>
                <w:b w:val="0"/>
                <w:bCs/>
                <w:snapToGrid w:val="0"/>
                <w:color w:val="auto"/>
                <w:sz w:val="21"/>
                <w:szCs w:val="21"/>
                <w:u w:val="none" w:color="auto"/>
                <w:lang w:val="en-US" w:eastAsia="zh-CN" w:bidi="ar"/>
              </w:rPr>
              <w:t>4</w:t>
            </w:r>
            <w:r>
              <w:rPr>
                <w:rStyle w:val="40"/>
                <w:rFonts w:hint="default" w:ascii="Times New Roman" w:hAnsi="Times New Roman" w:eastAsia="宋体" w:cs="Times New Roman"/>
                <w:b w:val="0"/>
                <w:bCs/>
                <w:snapToGrid w:val="0"/>
                <w:color w:val="auto"/>
                <w:sz w:val="21"/>
                <w:szCs w:val="21"/>
                <w:u w:val="none" w:color="auto"/>
                <w:lang w:val="en-US" w:eastAsia="zh-CN" w:bidi="ar"/>
              </w:rPr>
              <w:t>]</w:t>
            </w:r>
            <w:r>
              <w:rPr>
                <w:rStyle w:val="40"/>
                <w:rFonts w:hint="eastAsia" w:ascii="Times New Roman" w:hAnsi="Times New Roman" w:eastAsia="宋体" w:cs="Times New Roman"/>
                <w:b w:val="0"/>
                <w:bCs/>
                <w:snapToGrid w:val="0"/>
                <w:color w:val="auto"/>
                <w:sz w:val="21"/>
                <w:szCs w:val="21"/>
                <w:u w:val="none" w:color="auto"/>
                <w:lang w:val="en-US" w:eastAsia="zh-CN" w:bidi="ar"/>
              </w:rPr>
              <w:t>46</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210597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7C84DF7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346E79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206CE2F2">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91</w:t>
            </w:r>
          </w:p>
        </w:tc>
        <w:tc>
          <w:tcPr>
            <w:tcW w:w="0" w:type="auto"/>
            <w:noWrap w:val="0"/>
            <w:vAlign w:val="center"/>
          </w:tcPr>
          <w:p w14:paraId="2D4010F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湖南凌鑫新材料有限公司</w:t>
            </w:r>
          </w:p>
        </w:tc>
        <w:tc>
          <w:tcPr>
            <w:tcW w:w="0" w:type="auto"/>
            <w:noWrap w:val="0"/>
            <w:vAlign w:val="center"/>
          </w:tcPr>
          <w:p w14:paraId="536164BF">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湖南凌鑫新材料有限公司年产1万吨改性树脂项目</w:t>
            </w:r>
          </w:p>
        </w:tc>
        <w:tc>
          <w:tcPr>
            <w:tcW w:w="0" w:type="auto"/>
            <w:noWrap w:val="0"/>
            <w:vAlign w:val="center"/>
          </w:tcPr>
          <w:p w14:paraId="13004F9D">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w:t>
            </w:r>
            <w:r>
              <w:rPr>
                <w:rStyle w:val="40"/>
                <w:rFonts w:hint="default" w:ascii="Times New Roman" w:hAnsi="Times New Roman" w:eastAsia="宋体" w:cs="Times New Roman"/>
                <w:b w:val="0"/>
                <w:bCs/>
                <w:snapToGrid w:val="0"/>
                <w:color w:val="auto"/>
                <w:sz w:val="21"/>
                <w:szCs w:val="21"/>
                <w:u w:val="none" w:color="auto"/>
                <w:lang w:val="en-US" w:eastAsia="zh-CN" w:bidi="ar"/>
              </w:rPr>
              <w:t>[202</w:t>
            </w:r>
            <w:r>
              <w:rPr>
                <w:rStyle w:val="40"/>
                <w:rFonts w:hint="eastAsia" w:ascii="Times New Roman" w:hAnsi="Times New Roman" w:eastAsia="宋体" w:cs="Times New Roman"/>
                <w:b w:val="0"/>
                <w:bCs/>
                <w:snapToGrid w:val="0"/>
                <w:color w:val="auto"/>
                <w:sz w:val="21"/>
                <w:szCs w:val="21"/>
                <w:u w:val="none" w:color="auto"/>
                <w:lang w:val="en-US" w:eastAsia="zh-CN" w:bidi="ar"/>
              </w:rPr>
              <w:t>5</w:t>
            </w:r>
            <w:r>
              <w:rPr>
                <w:rStyle w:val="40"/>
                <w:rFonts w:hint="default" w:ascii="Times New Roman" w:hAnsi="Times New Roman" w:eastAsia="宋体" w:cs="Times New Roman"/>
                <w:b w:val="0"/>
                <w:bCs/>
                <w:snapToGrid w:val="0"/>
                <w:color w:val="auto"/>
                <w:sz w:val="21"/>
                <w:szCs w:val="21"/>
                <w:u w:val="none" w:color="auto"/>
                <w:lang w:val="en-US" w:eastAsia="zh-CN" w:bidi="ar"/>
              </w:rPr>
              <w:t>]3</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0188DF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3D449CE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460A3F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3DE0005D">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92</w:t>
            </w:r>
          </w:p>
        </w:tc>
        <w:tc>
          <w:tcPr>
            <w:tcW w:w="0" w:type="auto"/>
            <w:noWrap w:val="0"/>
            <w:vAlign w:val="center"/>
          </w:tcPr>
          <w:p w14:paraId="736DD96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湖南厚海环保科技有限公司</w:t>
            </w:r>
          </w:p>
        </w:tc>
        <w:tc>
          <w:tcPr>
            <w:tcW w:w="0" w:type="auto"/>
            <w:noWrap w:val="0"/>
            <w:vAlign w:val="center"/>
          </w:tcPr>
          <w:p w14:paraId="25AE4B1A">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年处理10000吨报废锂离子电池废料及锂电池回收利用项目</w:t>
            </w:r>
          </w:p>
        </w:tc>
        <w:tc>
          <w:tcPr>
            <w:tcW w:w="0" w:type="auto"/>
            <w:noWrap w:val="0"/>
            <w:vAlign w:val="center"/>
          </w:tcPr>
          <w:p w14:paraId="7E96D6BA">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val="0"/>
                <w:bCs/>
                <w:i w:val="0"/>
                <w:snapToGrid w:val="0"/>
                <w:color w:val="auto"/>
                <w:kern w:val="0"/>
                <w:sz w:val="21"/>
                <w:szCs w:val="21"/>
                <w:u w:val="none" w:color="auto"/>
                <w:lang w:val="en-US" w:eastAsia="zh-CN" w:bidi="ar"/>
              </w:rPr>
              <w:t>岳环评</w:t>
            </w:r>
            <w:r>
              <w:rPr>
                <w:rStyle w:val="40"/>
                <w:rFonts w:hint="default" w:ascii="Times New Roman" w:hAnsi="Times New Roman" w:eastAsia="宋体" w:cs="Times New Roman"/>
                <w:b w:val="0"/>
                <w:bCs/>
                <w:snapToGrid w:val="0"/>
                <w:color w:val="auto"/>
                <w:sz w:val="21"/>
                <w:szCs w:val="21"/>
                <w:u w:val="none" w:color="auto"/>
                <w:lang w:val="en-US" w:eastAsia="zh-CN" w:bidi="ar"/>
              </w:rPr>
              <w:t>[202</w:t>
            </w:r>
            <w:r>
              <w:rPr>
                <w:rStyle w:val="40"/>
                <w:rFonts w:hint="eastAsia" w:ascii="Times New Roman" w:hAnsi="Times New Roman" w:eastAsia="宋体" w:cs="Times New Roman"/>
                <w:b w:val="0"/>
                <w:bCs/>
                <w:snapToGrid w:val="0"/>
                <w:color w:val="auto"/>
                <w:sz w:val="21"/>
                <w:szCs w:val="21"/>
                <w:u w:val="none" w:color="auto"/>
                <w:lang w:val="en-US" w:eastAsia="zh-CN" w:bidi="ar"/>
              </w:rPr>
              <w:t>5</w:t>
            </w:r>
            <w:r>
              <w:rPr>
                <w:rStyle w:val="40"/>
                <w:rFonts w:hint="default" w:ascii="Times New Roman" w:hAnsi="Times New Roman" w:eastAsia="宋体" w:cs="Times New Roman"/>
                <w:b w:val="0"/>
                <w:bCs/>
                <w:snapToGrid w:val="0"/>
                <w:color w:val="auto"/>
                <w:sz w:val="21"/>
                <w:szCs w:val="21"/>
                <w:u w:val="none" w:color="auto"/>
                <w:lang w:val="en-US" w:eastAsia="zh-CN" w:bidi="ar"/>
              </w:rPr>
              <w:t>]</w:t>
            </w:r>
            <w:r>
              <w:rPr>
                <w:rStyle w:val="40"/>
                <w:rFonts w:hint="eastAsia" w:ascii="Times New Roman" w:hAnsi="Times New Roman" w:eastAsia="宋体" w:cs="Times New Roman"/>
                <w:b w:val="0"/>
                <w:bCs/>
                <w:snapToGrid w:val="0"/>
                <w:color w:val="auto"/>
                <w:sz w:val="21"/>
                <w:szCs w:val="21"/>
                <w:u w:val="none" w:color="auto"/>
                <w:lang w:val="en-US" w:eastAsia="zh-CN" w:bidi="ar"/>
              </w:rPr>
              <w:t>5</w:t>
            </w:r>
            <w:r>
              <w:rPr>
                <w:rFonts w:hint="default" w:ascii="Times New Roman" w:hAnsi="Times New Roman" w:eastAsia="宋体" w:cs="Times New Roman"/>
                <w:b w:val="0"/>
                <w:bCs/>
                <w:i w:val="0"/>
                <w:snapToGrid w:val="0"/>
                <w:color w:val="auto"/>
                <w:kern w:val="0"/>
                <w:sz w:val="21"/>
                <w:szCs w:val="21"/>
                <w:u w:val="none" w:color="auto"/>
                <w:lang w:val="en-US" w:eastAsia="zh-CN" w:bidi="ar"/>
              </w:rPr>
              <w:t>号</w:t>
            </w:r>
          </w:p>
        </w:tc>
        <w:tc>
          <w:tcPr>
            <w:tcW w:w="0" w:type="auto"/>
            <w:noWrap w:val="0"/>
            <w:vAlign w:val="center"/>
          </w:tcPr>
          <w:p w14:paraId="37AF32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7D64E68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5D66C2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69" w:hRule="atLeast"/>
          <w:jc w:val="center"/>
        </w:trPr>
        <w:tc>
          <w:tcPr>
            <w:tcW w:w="0" w:type="auto"/>
            <w:noWrap w:val="0"/>
            <w:vAlign w:val="center"/>
          </w:tcPr>
          <w:p w14:paraId="46A55478">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cs="Times New Roman"/>
                <w:color w:val="auto"/>
                <w:sz w:val="21"/>
                <w:szCs w:val="21"/>
                <w:u w:val="none" w:color="auto"/>
                <w:lang w:val="en-US" w:eastAsia="zh-CN"/>
              </w:rPr>
              <w:t>93</w:t>
            </w:r>
          </w:p>
        </w:tc>
        <w:tc>
          <w:tcPr>
            <w:tcW w:w="0" w:type="auto"/>
            <w:noWrap w:val="0"/>
            <w:vAlign w:val="center"/>
          </w:tcPr>
          <w:p w14:paraId="238BFCD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汨罗市辉翔新材料有限公司</w:t>
            </w:r>
          </w:p>
        </w:tc>
        <w:tc>
          <w:tcPr>
            <w:tcW w:w="0" w:type="auto"/>
            <w:noWrap w:val="0"/>
            <w:vAlign w:val="center"/>
          </w:tcPr>
          <w:p w14:paraId="1EEC22CC">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rPr>
            </w:pPr>
            <w:r>
              <w:rPr>
                <w:rFonts w:hint="eastAsia" w:ascii="Times New Roman" w:hAnsi="Times New Roman" w:eastAsia="宋体" w:cs="Times New Roman"/>
                <w:i w:val="0"/>
                <w:snapToGrid w:val="0"/>
                <w:color w:val="auto"/>
                <w:kern w:val="0"/>
                <w:sz w:val="21"/>
                <w:szCs w:val="21"/>
                <w:u w:val="none" w:color="auto"/>
                <w:lang w:val="en-US" w:eastAsia="zh-CN" w:bidi="ar"/>
              </w:rPr>
              <w:t>汨罗市辉翔新材料有限公司年生产360万平方米装饰板建设项目</w:t>
            </w:r>
          </w:p>
        </w:tc>
        <w:tc>
          <w:tcPr>
            <w:tcW w:w="0" w:type="auto"/>
            <w:noWrap w:val="0"/>
            <w:vAlign w:val="center"/>
          </w:tcPr>
          <w:p w14:paraId="6B4155D5">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i w:val="0"/>
                <w:snapToGrid w:val="0"/>
                <w:color w:val="auto"/>
                <w:kern w:val="0"/>
                <w:sz w:val="21"/>
                <w:szCs w:val="21"/>
                <w:u w:val="none" w:color="auto"/>
                <w:lang w:val="en-US" w:eastAsia="zh-CN" w:bidi="ar"/>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035</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0FF8DE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50774ED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464470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89" w:hRule="atLeast"/>
          <w:jc w:val="center"/>
        </w:trPr>
        <w:tc>
          <w:tcPr>
            <w:tcW w:w="0" w:type="auto"/>
            <w:vMerge w:val="restart"/>
            <w:noWrap w:val="0"/>
            <w:vAlign w:val="center"/>
          </w:tcPr>
          <w:p w14:paraId="3067C191">
            <w:pPr>
              <w:pStyle w:val="36"/>
              <w:keepNext w:val="0"/>
              <w:keepLines w:val="0"/>
              <w:pageBreakBefore w:val="0"/>
              <w:kinsoku/>
              <w:wordWrap/>
              <w:overflowPunct/>
              <w:topLinePunct w:val="0"/>
              <w:autoSpaceDE/>
              <w:autoSpaceDN/>
              <w:bidi w:val="0"/>
              <w:adjustRightIn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94</w:t>
            </w:r>
          </w:p>
        </w:tc>
        <w:tc>
          <w:tcPr>
            <w:tcW w:w="0" w:type="auto"/>
            <w:vMerge w:val="restart"/>
            <w:noWrap w:val="0"/>
            <w:vAlign w:val="center"/>
          </w:tcPr>
          <w:p w14:paraId="55C15D4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湖南国耳生物科技有限公司</w:t>
            </w:r>
          </w:p>
        </w:tc>
        <w:tc>
          <w:tcPr>
            <w:tcW w:w="1567" w:type="pct"/>
            <w:noWrap w:val="0"/>
            <w:vAlign w:val="center"/>
          </w:tcPr>
          <w:p w14:paraId="6833B7F0">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湖南国耳生物科技有限公司汨罗生物综合型高端食用菌产业园项目建设项目</w:t>
            </w:r>
          </w:p>
        </w:tc>
        <w:tc>
          <w:tcPr>
            <w:tcW w:w="973" w:type="pct"/>
            <w:noWrap w:val="0"/>
            <w:vAlign w:val="center"/>
          </w:tcPr>
          <w:p w14:paraId="1CA174A7">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登记表</w:t>
            </w:r>
          </w:p>
        </w:tc>
        <w:tc>
          <w:tcPr>
            <w:tcW w:w="829" w:type="pct"/>
            <w:noWrap w:val="0"/>
            <w:vAlign w:val="center"/>
          </w:tcPr>
          <w:p w14:paraId="6B058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color="auto"/>
                <w:lang w:val="en-US" w:eastAsia="zh-CN" w:bidi="ar"/>
              </w:rPr>
            </w:pPr>
            <w:r>
              <w:rPr>
                <w:rFonts w:hint="eastAsia" w:ascii="Times New Roman" w:hAnsi="Times New Roman" w:eastAsia="宋体" w:cs="Times New Roman"/>
                <w:b w:val="0"/>
                <w:bCs/>
                <w:i w:val="0"/>
                <w:snapToGrid w:val="0"/>
                <w:color w:val="auto"/>
                <w:kern w:val="0"/>
                <w:sz w:val="21"/>
                <w:szCs w:val="21"/>
                <w:u w:val="none" w:color="auto"/>
                <w:lang w:val="en-US" w:eastAsia="zh-CN" w:bidi="ar"/>
              </w:rPr>
              <w:t>/</w:t>
            </w:r>
          </w:p>
        </w:tc>
        <w:tc>
          <w:tcPr>
            <w:tcW w:w="232" w:type="pct"/>
            <w:noWrap w:val="0"/>
            <w:vAlign w:val="center"/>
          </w:tcPr>
          <w:p w14:paraId="59285D0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在产</w:t>
            </w:r>
          </w:p>
        </w:tc>
      </w:tr>
      <w:tr w14:paraId="187EC5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89" w:hRule="atLeast"/>
          <w:jc w:val="center"/>
        </w:trPr>
        <w:tc>
          <w:tcPr>
            <w:tcW w:w="0" w:type="auto"/>
            <w:vMerge w:val="continue"/>
            <w:noWrap w:val="0"/>
            <w:vAlign w:val="center"/>
          </w:tcPr>
          <w:p w14:paraId="2AF9622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pPr>
          </w:p>
        </w:tc>
        <w:tc>
          <w:tcPr>
            <w:tcW w:w="0" w:type="auto"/>
            <w:vMerge w:val="continue"/>
            <w:noWrap w:val="0"/>
            <w:vAlign w:val="center"/>
          </w:tcPr>
          <w:p w14:paraId="221963F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pPr>
          </w:p>
        </w:tc>
        <w:tc>
          <w:tcPr>
            <w:tcW w:w="0" w:type="auto"/>
            <w:noWrap w:val="0"/>
            <w:vAlign w:val="center"/>
          </w:tcPr>
          <w:p w14:paraId="4135309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湖南国耳生物科技有限公司汨罗生物综合性高端食用菌产业园配套8t/h生物质锅炉项目</w:t>
            </w:r>
          </w:p>
        </w:tc>
        <w:tc>
          <w:tcPr>
            <w:tcW w:w="0" w:type="auto"/>
            <w:noWrap w:val="0"/>
            <w:vAlign w:val="center"/>
          </w:tcPr>
          <w:p w14:paraId="45CD740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039</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26AAFC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42D0CB2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6E6A9E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89" w:hRule="atLeast"/>
          <w:jc w:val="center"/>
        </w:trPr>
        <w:tc>
          <w:tcPr>
            <w:tcW w:w="0" w:type="auto"/>
            <w:vMerge w:val="continue"/>
            <w:noWrap w:val="0"/>
            <w:vAlign w:val="center"/>
          </w:tcPr>
          <w:p w14:paraId="5F710CD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p>
        </w:tc>
        <w:tc>
          <w:tcPr>
            <w:tcW w:w="0" w:type="auto"/>
            <w:vMerge w:val="continue"/>
            <w:noWrap w:val="0"/>
            <w:vAlign w:val="center"/>
          </w:tcPr>
          <w:p w14:paraId="417B404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pPr>
          </w:p>
        </w:tc>
        <w:tc>
          <w:tcPr>
            <w:tcW w:w="0" w:type="auto"/>
            <w:noWrap w:val="0"/>
            <w:vAlign w:val="center"/>
          </w:tcPr>
          <w:p w14:paraId="43C696FE">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汨罗生物综合型高端食用菌产业园新增4t/h备用天然气锅炉项目</w:t>
            </w:r>
          </w:p>
        </w:tc>
        <w:tc>
          <w:tcPr>
            <w:tcW w:w="0" w:type="auto"/>
            <w:noWrap w:val="0"/>
            <w:vAlign w:val="center"/>
          </w:tcPr>
          <w:p w14:paraId="1331D9E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5</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008</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6BDBD7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b w:val="0"/>
                <w:bCs/>
                <w:i w:val="0"/>
                <w:color w:val="auto"/>
                <w:kern w:val="2"/>
                <w:sz w:val="21"/>
                <w:szCs w:val="21"/>
                <w:u w:val="none" w:color="auto"/>
                <w:lang w:val="en-US" w:eastAsia="zh-CN" w:bidi="ar-SA"/>
              </w:rPr>
            </w:pPr>
            <w:r>
              <w:rPr>
                <w:rFonts w:hint="default" w:ascii="Times New Roman" w:hAnsi="Times New Roman" w:eastAsia="宋体" w:cs="Times New Roman"/>
                <w:b w:val="0"/>
                <w:bCs/>
                <w:i w:val="0"/>
                <w:snapToGrid w:val="0"/>
                <w:color w:val="auto"/>
                <w:kern w:val="0"/>
                <w:sz w:val="21"/>
                <w:szCs w:val="21"/>
                <w:u w:val="none" w:color="auto"/>
                <w:lang w:val="en-US" w:eastAsia="zh-CN" w:bidi="ar"/>
              </w:rPr>
              <w:t>未验收</w:t>
            </w:r>
          </w:p>
        </w:tc>
        <w:tc>
          <w:tcPr>
            <w:tcW w:w="232" w:type="pct"/>
            <w:noWrap w:val="0"/>
            <w:vAlign w:val="center"/>
          </w:tcPr>
          <w:p w14:paraId="3FE387D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snapToGrid w:val="0"/>
                <w:color w:val="auto"/>
                <w:kern w:val="0"/>
                <w:sz w:val="21"/>
                <w:szCs w:val="21"/>
                <w:u w:val="none" w:color="auto"/>
                <w:lang w:val="en-US" w:eastAsia="zh-CN" w:bidi="ar"/>
              </w:rPr>
              <w:t>在产</w:t>
            </w:r>
          </w:p>
        </w:tc>
      </w:tr>
      <w:tr w14:paraId="1FD2D7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89" w:hRule="atLeast"/>
          <w:jc w:val="center"/>
        </w:trPr>
        <w:tc>
          <w:tcPr>
            <w:tcW w:w="0" w:type="auto"/>
            <w:noWrap w:val="0"/>
            <w:vAlign w:val="center"/>
          </w:tcPr>
          <w:p w14:paraId="7143702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lang w:val="en-US" w:eastAsia="zh-CN"/>
              </w:rPr>
              <w:t>95</w:t>
            </w:r>
          </w:p>
        </w:tc>
        <w:tc>
          <w:tcPr>
            <w:tcW w:w="0" w:type="auto"/>
            <w:noWrap w:val="0"/>
            <w:vAlign w:val="center"/>
          </w:tcPr>
          <w:p w14:paraId="051CC92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pPr>
            <w:r>
              <w:rPr>
                <w:rFonts w:hint="eastAsia"/>
              </w:rPr>
              <w:t>湖南省广盛新材料有限公司</w:t>
            </w:r>
          </w:p>
        </w:tc>
        <w:tc>
          <w:tcPr>
            <w:tcW w:w="0" w:type="auto"/>
            <w:noWrap w:val="0"/>
            <w:vAlign w:val="center"/>
          </w:tcPr>
          <w:p w14:paraId="7799B390">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湖南省广盛新材料有限公司年产5000吨装饰板建设项目</w:t>
            </w:r>
          </w:p>
        </w:tc>
        <w:tc>
          <w:tcPr>
            <w:tcW w:w="0" w:type="auto"/>
            <w:noWrap w:val="0"/>
            <w:vAlign w:val="center"/>
          </w:tcPr>
          <w:p w14:paraId="51257EA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074</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21479E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color="auto"/>
                <w:lang w:val="en-US" w:eastAsia="zh-CN" w:bidi="ar"/>
              </w:rPr>
            </w:pPr>
            <w:r>
              <w:rPr>
                <w:rFonts w:hint="eastAsia" w:ascii="Times New Roman" w:hAnsi="Times New Roman" w:eastAsia="宋体" w:cs="Times New Roman"/>
                <w:b w:val="0"/>
                <w:bCs/>
                <w:i w:val="0"/>
                <w:snapToGrid w:val="0"/>
                <w:color w:val="auto"/>
                <w:kern w:val="0"/>
                <w:sz w:val="21"/>
                <w:szCs w:val="21"/>
                <w:u w:val="none" w:color="auto"/>
                <w:lang w:val="en-US" w:eastAsia="zh-CN" w:bidi="ar"/>
              </w:rPr>
              <w:t>建设中</w:t>
            </w:r>
          </w:p>
        </w:tc>
        <w:tc>
          <w:tcPr>
            <w:tcW w:w="232" w:type="pct"/>
            <w:noWrap w:val="0"/>
            <w:vAlign w:val="center"/>
          </w:tcPr>
          <w:p w14:paraId="6A4776FB">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在建</w:t>
            </w:r>
          </w:p>
        </w:tc>
      </w:tr>
      <w:tr w14:paraId="2CD775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89" w:hRule="atLeast"/>
          <w:jc w:val="center"/>
        </w:trPr>
        <w:tc>
          <w:tcPr>
            <w:tcW w:w="0" w:type="auto"/>
            <w:noWrap w:val="0"/>
            <w:vAlign w:val="center"/>
          </w:tcPr>
          <w:p w14:paraId="2490D421">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lang w:val="en-US" w:eastAsia="zh-CN"/>
              </w:rPr>
              <w:t>96</w:t>
            </w:r>
          </w:p>
        </w:tc>
        <w:tc>
          <w:tcPr>
            <w:tcW w:w="0" w:type="auto"/>
            <w:noWrap w:val="0"/>
            <w:vAlign w:val="center"/>
          </w:tcPr>
          <w:p w14:paraId="783E6064">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rPr>
            </w:pPr>
            <w:r>
              <w:rPr>
                <w:rFonts w:hint="eastAsia"/>
              </w:rPr>
              <w:t>湖南纽英其新能源科技有限公司</w:t>
            </w:r>
          </w:p>
        </w:tc>
        <w:tc>
          <w:tcPr>
            <w:tcW w:w="0" w:type="auto"/>
            <w:noWrap w:val="0"/>
            <w:vAlign w:val="center"/>
          </w:tcPr>
          <w:p w14:paraId="71A1FF1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纽英其PPH新能源正极材料及环保配套设备产品生产项目（年产3158吨PPH储罐）</w:t>
            </w:r>
          </w:p>
        </w:tc>
        <w:tc>
          <w:tcPr>
            <w:tcW w:w="0" w:type="auto"/>
            <w:noWrap w:val="0"/>
            <w:vAlign w:val="center"/>
          </w:tcPr>
          <w:p w14:paraId="528386C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067</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0610187D">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建设中</w:t>
            </w:r>
          </w:p>
        </w:tc>
        <w:tc>
          <w:tcPr>
            <w:tcW w:w="232" w:type="pct"/>
            <w:noWrap w:val="0"/>
            <w:vAlign w:val="center"/>
          </w:tcPr>
          <w:p w14:paraId="6CA472B7">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在建</w:t>
            </w:r>
          </w:p>
        </w:tc>
      </w:tr>
      <w:tr w14:paraId="3E1D72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89" w:hRule="atLeast"/>
          <w:jc w:val="center"/>
        </w:trPr>
        <w:tc>
          <w:tcPr>
            <w:tcW w:w="0" w:type="auto"/>
            <w:noWrap w:val="0"/>
            <w:vAlign w:val="center"/>
          </w:tcPr>
          <w:p w14:paraId="10F2B15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lang w:val="en-US" w:eastAsia="zh-CN"/>
              </w:rPr>
              <w:t>97</w:t>
            </w:r>
          </w:p>
        </w:tc>
        <w:tc>
          <w:tcPr>
            <w:tcW w:w="0" w:type="auto"/>
            <w:noWrap w:val="0"/>
            <w:vAlign w:val="center"/>
          </w:tcPr>
          <w:p w14:paraId="291C0EC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rPr>
            </w:pPr>
            <w:r>
              <w:rPr>
                <w:rFonts w:hint="eastAsia"/>
              </w:rPr>
              <w:t>湖南海德朗电力设备有限公司</w:t>
            </w:r>
          </w:p>
        </w:tc>
        <w:tc>
          <w:tcPr>
            <w:tcW w:w="0" w:type="auto"/>
            <w:noWrap w:val="0"/>
            <w:vAlign w:val="center"/>
          </w:tcPr>
          <w:p w14:paraId="6CDEFC5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湖南海德朗电力设备有限公司年产桥架3500km、母线槽700km、配电箱柜10万台生产基地项目</w:t>
            </w:r>
          </w:p>
        </w:tc>
        <w:tc>
          <w:tcPr>
            <w:tcW w:w="0" w:type="auto"/>
            <w:noWrap w:val="0"/>
            <w:vAlign w:val="center"/>
          </w:tcPr>
          <w:p w14:paraId="4F5C074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4</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069</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17D0E9F3">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建设中</w:t>
            </w:r>
          </w:p>
        </w:tc>
        <w:tc>
          <w:tcPr>
            <w:tcW w:w="232" w:type="pct"/>
            <w:noWrap w:val="0"/>
            <w:vAlign w:val="center"/>
          </w:tcPr>
          <w:p w14:paraId="04FB56A9">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eastAsia="zh-CN"/>
              </w:rPr>
              <w:t>在建</w:t>
            </w:r>
          </w:p>
        </w:tc>
      </w:tr>
      <w:tr w14:paraId="67D013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89" w:hRule="atLeast"/>
          <w:jc w:val="center"/>
        </w:trPr>
        <w:tc>
          <w:tcPr>
            <w:tcW w:w="0" w:type="auto"/>
            <w:noWrap w:val="0"/>
            <w:vAlign w:val="center"/>
          </w:tcPr>
          <w:p w14:paraId="525CCA5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eastAsia"/>
                <w:lang w:val="en-US" w:eastAsia="zh-CN"/>
              </w:rPr>
              <w:t>98</w:t>
            </w:r>
          </w:p>
        </w:tc>
        <w:tc>
          <w:tcPr>
            <w:tcW w:w="0" w:type="auto"/>
            <w:noWrap w:val="0"/>
            <w:vAlign w:val="center"/>
          </w:tcPr>
          <w:p w14:paraId="04C4630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rPr>
            </w:pPr>
            <w:r>
              <w:rPr>
                <w:rFonts w:hint="eastAsia"/>
              </w:rPr>
              <w:t>湖南创科电线电缆有限公司</w:t>
            </w:r>
          </w:p>
        </w:tc>
        <w:tc>
          <w:tcPr>
            <w:tcW w:w="0" w:type="auto"/>
            <w:noWrap w:val="0"/>
            <w:vAlign w:val="center"/>
          </w:tcPr>
          <w:p w14:paraId="3E9F35E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年产电线55000km、电缆7000km生产基地建设项目</w:t>
            </w:r>
          </w:p>
        </w:tc>
        <w:tc>
          <w:tcPr>
            <w:tcW w:w="0" w:type="auto"/>
            <w:noWrap w:val="0"/>
            <w:vAlign w:val="center"/>
          </w:tcPr>
          <w:p w14:paraId="1037342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5</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005</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097080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color="auto"/>
                <w:lang w:val="en-US" w:eastAsia="zh-CN" w:bidi="ar"/>
              </w:rPr>
            </w:pPr>
            <w:r>
              <w:rPr>
                <w:rFonts w:hint="eastAsia" w:ascii="Times New Roman" w:hAnsi="Times New Roman" w:eastAsia="宋体" w:cs="Times New Roman"/>
                <w:b w:val="0"/>
                <w:bCs/>
                <w:i w:val="0"/>
                <w:snapToGrid w:val="0"/>
                <w:color w:val="auto"/>
                <w:kern w:val="0"/>
                <w:sz w:val="21"/>
                <w:szCs w:val="21"/>
                <w:u w:val="none" w:color="auto"/>
                <w:lang w:val="en-US" w:eastAsia="zh-CN" w:bidi="ar"/>
              </w:rPr>
              <w:t>建设中</w:t>
            </w:r>
          </w:p>
        </w:tc>
        <w:tc>
          <w:tcPr>
            <w:tcW w:w="232" w:type="pct"/>
            <w:noWrap w:val="0"/>
            <w:vAlign w:val="center"/>
          </w:tcPr>
          <w:p w14:paraId="48F2D347">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在建</w:t>
            </w:r>
          </w:p>
        </w:tc>
      </w:tr>
      <w:tr w14:paraId="4B9F5E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189" w:hRule="atLeast"/>
          <w:jc w:val="center"/>
        </w:trPr>
        <w:tc>
          <w:tcPr>
            <w:tcW w:w="0" w:type="auto"/>
            <w:noWrap w:val="0"/>
            <w:vAlign w:val="center"/>
          </w:tcPr>
          <w:p w14:paraId="3582804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lang w:val="en-US" w:eastAsia="zh-CN"/>
              </w:rPr>
            </w:pPr>
            <w:r>
              <w:rPr>
                <w:rFonts w:hint="eastAsia"/>
                <w:lang w:val="en-US" w:eastAsia="zh-CN"/>
              </w:rPr>
              <w:t>99</w:t>
            </w:r>
          </w:p>
        </w:tc>
        <w:tc>
          <w:tcPr>
            <w:tcW w:w="0" w:type="auto"/>
            <w:noWrap w:val="0"/>
            <w:vAlign w:val="center"/>
          </w:tcPr>
          <w:p w14:paraId="7D415F5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rPr>
            </w:pPr>
            <w:r>
              <w:rPr>
                <w:rFonts w:hint="eastAsia"/>
              </w:rPr>
              <w:t>湖南新合纵智能装备有限公司</w:t>
            </w:r>
          </w:p>
        </w:tc>
        <w:tc>
          <w:tcPr>
            <w:tcW w:w="0" w:type="auto"/>
            <w:noWrap w:val="0"/>
            <w:vAlign w:val="center"/>
          </w:tcPr>
          <w:p w14:paraId="225E1AC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合纵冲压机器手、工业机器（2100套/年）生产项目</w:t>
            </w:r>
          </w:p>
        </w:tc>
        <w:tc>
          <w:tcPr>
            <w:tcW w:w="0" w:type="auto"/>
            <w:noWrap w:val="0"/>
            <w:vAlign w:val="center"/>
          </w:tcPr>
          <w:p w14:paraId="24ACB9C9">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岳</w:t>
            </w:r>
            <w:r>
              <w:rPr>
                <w:rFonts w:hint="eastAsia" w:ascii="Times New Roman" w:hAnsi="Times New Roman" w:eastAsia="宋体" w:cs="Times New Roman"/>
                <w:color w:val="auto"/>
                <w:sz w:val="21"/>
                <w:szCs w:val="21"/>
                <w:u w:val="none" w:color="auto"/>
                <w:lang w:val="en-US" w:eastAsia="zh-CN"/>
              </w:rPr>
              <w:t>汨</w:t>
            </w:r>
            <w:r>
              <w:rPr>
                <w:rFonts w:hint="default" w:ascii="Times New Roman" w:hAnsi="Times New Roman" w:eastAsia="宋体" w:cs="Times New Roman"/>
                <w:color w:val="auto"/>
                <w:sz w:val="21"/>
                <w:szCs w:val="21"/>
                <w:u w:val="none" w:color="auto"/>
              </w:rPr>
              <w:t>环评〔20</w:t>
            </w:r>
            <w:r>
              <w:rPr>
                <w:rFonts w:hint="default" w:ascii="Times New Roman" w:hAnsi="Times New Roman" w:eastAsia="宋体" w:cs="Times New Roman"/>
                <w:color w:val="auto"/>
                <w:sz w:val="21"/>
                <w:szCs w:val="21"/>
                <w:u w:val="none" w:color="auto"/>
                <w:lang w:val="en-US" w:eastAsia="zh-CN"/>
              </w:rPr>
              <w:t>2</w:t>
            </w:r>
            <w:r>
              <w:rPr>
                <w:rFonts w:hint="eastAsia" w:ascii="Times New Roman" w:hAnsi="Times New Roman" w:eastAsia="宋体" w:cs="Times New Roman"/>
                <w:color w:val="auto"/>
                <w:sz w:val="21"/>
                <w:szCs w:val="21"/>
                <w:u w:val="none" w:color="auto"/>
                <w:lang w:val="en-US" w:eastAsia="zh-CN"/>
              </w:rPr>
              <w:t>5</w:t>
            </w:r>
            <w:r>
              <w:rPr>
                <w:rFonts w:hint="default" w:ascii="Times New Roman" w:hAnsi="Times New Roman" w:eastAsia="宋体" w:cs="Times New Roman"/>
                <w:color w:val="auto"/>
                <w:sz w:val="21"/>
                <w:szCs w:val="21"/>
                <w:u w:val="none" w:color="auto"/>
              </w:rPr>
              <w:t>〕</w:t>
            </w:r>
            <w:r>
              <w:rPr>
                <w:rFonts w:hint="eastAsia" w:ascii="Times New Roman" w:hAnsi="Times New Roman" w:eastAsia="宋体" w:cs="Times New Roman"/>
                <w:color w:val="auto"/>
                <w:sz w:val="21"/>
                <w:szCs w:val="21"/>
                <w:u w:val="none" w:color="auto"/>
                <w:lang w:val="en-US" w:eastAsia="zh-CN"/>
              </w:rPr>
              <w:t>007</w:t>
            </w:r>
            <w:r>
              <w:rPr>
                <w:rFonts w:hint="default" w:ascii="Times New Roman" w:hAnsi="Times New Roman" w:eastAsia="宋体" w:cs="Times New Roman"/>
                <w:color w:val="auto"/>
                <w:sz w:val="21"/>
                <w:szCs w:val="21"/>
                <w:u w:val="none" w:color="auto"/>
              </w:rPr>
              <w:t>号</w:t>
            </w:r>
          </w:p>
        </w:tc>
        <w:tc>
          <w:tcPr>
            <w:tcW w:w="0" w:type="auto"/>
            <w:noWrap w:val="0"/>
            <w:vAlign w:val="center"/>
          </w:tcPr>
          <w:p w14:paraId="77C557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val="0"/>
                <w:bCs/>
                <w:i w:val="0"/>
                <w:snapToGrid w:val="0"/>
                <w:color w:val="auto"/>
                <w:kern w:val="0"/>
                <w:sz w:val="21"/>
                <w:szCs w:val="21"/>
                <w:u w:val="none" w:color="auto"/>
                <w:lang w:val="en-US" w:eastAsia="zh-CN" w:bidi="ar"/>
              </w:rPr>
            </w:pPr>
            <w:r>
              <w:rPr>
                <w:rFonts w:hint="eastAsia" w:ascii="Times New Roman" w:hAnsi="Times New Roman" w:eastAsia="宋体" w:cs="Times New Roman"/>
                <w:b w:val="0"/>
                <w:bCs/>
                <w:i w:val="0"/>
                <w:snapToGrid w:val="0"/>
                <w:color w:val="auto"/>
                <w:kern w:val="0"/>
                <w:sz w:val="21"/>
                <w:szCs w:val="21"/>
                <w:u w:val="none" w:color="auto"/>
                <w:lang w:val="en-US" w:eastAsia="zh-CN" w:bidi="ar"/>
              </w:rPr>
              <w:t>建设中</w:t>
            </w:r>
          </w:p>
        </w:tc>
        <w:tc>
          <w:tcPr>
            <w:tcW w:w="232" w:type="pct"/>
            <w:noWrap w:val="0"/>
            <w:vAlign w:val="center"/>
          </w:tcPr>
          <w:p w14:paraId="09F5628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在建</w:t>
            </w:r>
          </w:p>
        </w:tc>
      </w:tr>
    </w:tbl>
    <w:p w14:paraId="3E828284">
      <w:pPr>
        <w:pStyle w:val="28"/>
        <w:keepNext w:val="0"/>
        <w:keepLines w:val="0"/>
        <w:pageBreakBefore w:val="0"/>
        <w:widowControl w:val="0"/>
        <w:shd w:val="clear" w:color="auto" w:fill="auto"/>
        <w:kinsoku/>
        <w:wordWrap/>
        <w:overflowPunct/>
        <w:topLinePunct w:val="0"/>
        <w:autoSpaceDE/>
        <w:autoSpaceDN/>
        <w:bidi w:val="0"/>
        <w:adjustRightInd/>
        <w:snapToGrid/>
        <w:spacing w:before="120"/>
        <w:textAlignment w:val="auto"/>
        <w:rPr>
          <w:rFonts w:hint="default" w:ascii="Times New Roman" w:hAnsi="Times New Roman" w:eastAsia="宋体" w:cs="Times New Roman"/>
          <w:b/>
          <w:color w:val="auto"/>
          <w:sz w:val="21"/>
          <w:szCs w:val="21"/>
          <w:highlight w:val="none"/>
          <w:u w:val="none" w:color="auto"/>
          <w:lang w:val="en-US" w:eastAsia="zh-CN"/>
        </w:rPr>
      </w:pPr>
      <w:r>
        <w:rPr>
          <w:rStyle w:val="46"/>
          <w:rFonts w:hint="default"/>
          <w:b/>
          <w:color w:val="auto"/>
          <w:u w:val="none" w:color="auto"/>
        </w:rPr>
        <w:t>表</w:t>
      </w:r>
      <w:r>
        <w:rPr>
          <w:rStyle w:val="46"/>
          <w:rFonts w:hint="eastAsia"/>
          <w:b/>
          <w:color w:val="auto"/>
          <w:u w:val="none" w:color="auto"/>
          <w:lang w:val="en-US" w:eastAsia="zh-CN"/>
        </w:rPr>
        <w:t>5.4-2</w:t>
      </w:r>
      <w:r>
        <w:rPr>
          <w:rStyle w:val="46"/>
          <w:rFonts w:hint="default"/>
          <w:b/>
          <w:color w:val="auto"/>
          <w:u w:val="none" w:color="auto"/>
        </w:rPr>
        <w:t xml:space="preserve">  汨罗高新技术产业开发区新市片区</w:t>
      </w:r>
      <w:r>
        <w:rPr>
          <w:rStyle w:val="46"/>
          <w:rFonts w:hint="eastAsia"/>
          <w:b/>
          <w:color w:val="auto"/>
          <w:u w:val="none" w:color="auto"/>
          <w:lang w:val="en-US" w:eastAsia="zh-CN"/>
        </w:rPr>
        <w:t>西</w:t>
      </w:r>
      <w:r>
        <w:rPr>
          <w:rStyle w:val="46"/>
          <w:rFonts w:hint="default"/>
          <w:b/>
          <w:color w:val="auto"/>
          <w:u w:val="none" w:color="auto"/>
          <w:lang w:val="en-US" w:eastAsia="zh-CN"/>
        </w:rPr>
        <w:t>片区</w:t>
      </w:r>
      <w:r>
        <w:rPr>
          <w:rStyle w:val="46"/>
          <w:rFonts w:hint="default"/>
          <w:b/>
          <w:color w:val="auto"/>
          <w:u w:val="none" w:color="auto"/>
        </w:rPr>
        <w:t>主要企业</w:t>
      </w:r>
      <w:r>
        <w:rPr>
          <w:rStyle w:val="46"/>
          <w:rFonts w:hint="default"/>
          <w:b/>
          <w:color w:val="auto"/>
          <w:u w:val="none" w:color="auto"/>
          <w:lang w:val="en-US" w:eastAsia="zh-CN"/>
        </w:rPr>
        <w:t>主要</w:t>
      </w:r>
      <w:r>
        <w:rPr>
          <w:rStyle w:val="46"/>
          <w:rFonts w:hint="default"/>
          <w:b/>
          <w:color w:val="auto"/>
          <w:u w:val="none" w:color="auto"/>
        </w:rPr>
        <w:t>污染物排放情况及采取的环保措施一览表</w:t>
      </w:r>
      <w:r>
        <w:rPr>
          <w:rFonts w:hint="default" w:ascii="Times New Roman" w:hAnsi="Times New Roman" w:eastAsia="宋体" w:cs="Times New Roman"/>
          <w:b/>
          <w:color w:val="auto"/>
          <w:sz w:val="21"/>
          <w:szCs w:val="21"/>
          <w:highlight w:val="none"/>
          <w:u w:val="none" w:color="auto"/>
          <w:lang w:val="en-US" w:eastAsia="zh-CN"/>
        </w:rPr>
        <w:t xml:space="preserve"> </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51"/>
        <w:gridCol w:w="1526"/>
        <w:gridCol w:w="608"/>
        <w:gridCol w:w="750"/>
        <w:gridCol w:w="990"/>
        <w:gridCol w:w="901"/>
        <w:gridCol w:w="1250"/>
        <w:gridCol w:w="2367"/>
        <w:gridCol w:w="1170"/>
        <w:gridCol w:w="1061"/>
        <w:gridCol w:w="953"/>
        <w:gridCol w:w="1861"/>
      </w:tblGrid>
      <w:tr w14:paraId="25DC4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vMerge w:val="restart"/>
            <w:tcBorders>
              <w:tl2br w:val="nil"/>
              <w:tr2bl w:val="nil"/>
            </w:tcBorders>
            <w:noWrap w:val="0"/>
            <w:tcMar>
              <w:top w:w="15" w:type="dxa"/>
              <w:left w:w="15" w:type="dxa"/>
              <w:right w:w="15" w:type="dxa"/>
            </w:tcMar>
            <w:vAlign w:val="center"/>
          </w:tcPr>
          <w:p w14:paraId="5C143C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企业编号</w:t>
            </w:r>
          </w:p>
        </w:tc>
        <w:tc>
          <w:tcPr>
            <w:tcW w:w="1526" w:type="dxa"/>
            <w:vMerge w:val="restart"/>
            <w:tcBorders>
              <w:tl2br w:val="nil"/>
              <w:tr2bl w:val="nil"/>
            </w:tcBorders>
            <w:noWrap w:val="0"/>
            <w:tcMar>
              <w:top w:w="15" w:type="dxa"/>
              <w:left w:w="15" w:type="dxa"/>
              <w:right w:w="15" w:type="dxa"/>
            </w:tcMar>
            <w:vAlign w:val="center"/>
          </w:tcPr>
          <w:p w14:paraId="2AF250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企业名称</w:t>
            </w:r>
          </w:p>
        </w:tc>
        <w:tc>
          <w:tcPr>
            <w:tcW w:w="608" w:type="dxa"/>
            <w:vMerge w:val="restart"/>
            <w:tcBorders>
              <w:tl2br w:val="nil"/>
              <w:tr2bl w:val="nil"/>
            </w:tcBorders>
            <w:noWrap w:val="0"/>
            <w:tcMar>
              <w:top w:w="15" w:type="dxa"/>
              <w:left w:w="15" w:type="dxa"/>
              <w:right w:w="15" w:type="dxa"/>
            </w:tcMar>
            <w:vAlign w:val="center"/>
          </w:tcPr>
          <w:p w14:paraId="7F651C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占地面积</w:t>
            </w:r>
          </w:p>
        </w:tc>
        <w:tc>
          <w:tcPr>
            <w:tcW w:w="6258" w:type="dxa"/>
            <w:gridSpan w:val="5"/>
            <w:tcBorders>
              <w:tl2br w:val="nil"/>
              <w:tr2bl w:val="nil"/>
            </w:tcBorders>
            <w:noWrap/>
            <w:tcMar>
              <w:top w:w="15" w:type="dxa"/>
              <w:left w:w="15" w:type="dxa"/>
              <w:right w:w="15" w:type="dxa"/>
            </w:tcMar>
            <w:vAlign w:val="center"/>
          </w:tcPr>
          <w:p w14:paraId="731606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大气污染物</w:t>
            </w:r>
          </w:p>
        </w:tc>
        <w:tc>
          <w:tcPr>
            <w:tcW w:w="5045" w:type="dxa"/>
            <w:gridSpan w:val="4"/>
            <w:tcBorders>
              <w:tl2br w:val="nil"/>
              <w:tr2bl w:val="nil"/>
            </w:tcBorders>
            <w:noWrap/>
            <w:tcMar>
              <w:top w:w="15" w:type="dxa"/>
              <w:left w:w="15" w:type="dxa"/>
              <w:right w:w="15" w:type="dxa"/>
            </w:tcMar>
            <w:vAlign w:val="center"/>
          </w:tcPr>
          <w:p w14:paraId="70C0DA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水污染物</w:t>
            </w:r>
          </w:p>
        </w:tc>
      </w:tr>
      <w:tr w14:paraId="5703F6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vMerge w:val="continue"/>
            <w:tcBorders>
              <w:tl2br w:val="nil"/>
              <w:tr2bl w:val="nil"/>
            </w:tcBorders>
            <w:noWrap w:val="0"/>
            <w:tcMar>
              <w:top w:w="15" w:type="dxa"/>
              <w:left w:w="15" w:type="dxa"/>
              <w:right w:w="15" w:type="dxa"/>
            </w:tcMar>
            <w:vAlign w:val="center"/>
          </w:tcPr>
          <w:p w14:paraId="22B535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i w:val="0"/>
                <w:color w:val="auto"/>
                <w:sz w:val="21"/>
                <w:szCs w:val="21"/>
                <w:u w:val="none"/>
              </w:rPr>
            </w:pPr>
          </w:p>
        </w:tc>
        <w:tc>
          <w:tcPr>
            <w:tcW w:w="1526" w:type="dxa"/>
            <w:vMerge w:val="continue"/>
            <w:tcBorders>
              <w:tl2br w:val="nil"/>
              <w:tr2bl w:val="nil"/>
            </w:tcBorders>
            <w:noWrap w:val="0"/>
            <w:tcMar>
              <w:top w:w="15" w:type="dxa"/>
              <w:left w:w="15" w:type="dxa"/>
              <w:right w:w="15" w:type="dxa"/>
            </w:tcMar>
            <w:vAlign w:val="center"/>
          </w:tcPr>
          <w:p w14:paraId="0DAA30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i w:val="0"/>
                <w:color w:val="auto"/>
                <w:sz w:val="21"/>
                <w:szCs w:val="21"/>
                <w:u w:val="none"/>
              </w:rPr>
            </w:pPr>
          </w:p>
        </w:tc>
        <w:tc>
          <w:tcPr>
            <w:tcW w:w="608" w:type="dxa"/>
            <w:vMerge w:val="continue"/>
            <w:tcBorders>
              <w:tl2br w:val="nil"/>
              <w:tr2bl w:val="nil"/>
            </w:tcBorders>
            <w:noWrap w:val="0"/>
            <w:tcMar>
              <w:top w:w="15" w:type="dxa"/>
              <w:left w:w="15" w:type="dxa"/>
              <w:right w:w="15" w:type="dxa"/>
            </w:tcMar>
            <w:vAlign w:val="center"/>
          </w:tcPr>
          <w:p w14:paraId="0A4462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p>
        </w:tc>
        <w:tc>
          <w:tcPr>
            <w:tcW w:w="750" w:type="dxa"/>
            <w:tcBorders>
              <w:tl2br w:val="nil"/>
              <w:tr2bl w:val="nil"/>
            </w:tcBorders>
            <w:noWrap/>
            <w:tcMar>
              <w:top w:w="15" w:type="dxa"/>
              <w:left w:w="15" w:type="dxa"/>
              <w:right w:w="15" w:type="dxa"/>
            </w:tcMar>
            <w:vAlign w:val="center"/>
          </w:tcPr>
          <w:p w14:paraId="6B5E1C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颗粒物</w:t>
            </w:r>
          </w:p>
        </w:tc>
        <w:tc>
          <w:tcPr>
            <w:tcW w:w="990" w:type="dxa"/>
            <w:tcBorders>
              <w:tl2br w:val="nil"/>
              <w:tr2bl w:val="nil"/>
            </w:tcBorders>
            <w:noWrap/>
            <w:tcMar>
              <w:top w:w="15" w:type="dxa"/>
              <w:left w:w="15" w:type="dxa"/>
              <w:right w:w="15" w:type="dxa"/>
            </w:tcMar>
            <w:vAlign w:val="center"/>
          </w:tcPr>
          <w:p w14:paraId="07E1F1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二氧化硫</w:t>
            </w:r>
          </w:p>
        </w:tc>
        <w:tc>
          <w:tcPr>
            <w:tcW w:w="901" w:type="dxa"/>
            <w:tcBorders>
              <w:tl2br w:val="nil"/>
              <w:tr2bl w:val="nil"/>
            </w:tcBorders>
            <w:noWrap/>
            <w:tcMar>
              <w:top w:w="15" w:type="dxa"/>
              <w:left w:w="15" w:type="dxa"/>
              <w:right w:w="15" w:type="dxa"/>
            </w:tcMar>
            <w:vAlign w:val="center"/>
          </w:tcPr>
          <w:p w14:paraId="1FAC37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氮氧化物</w:t>
            </w:r>
          </w:p>
        </w:tc>
        <w:tc>
          <w:tcPr>
            <w:tcW w:w="1250" w:type="dxa"/>
            <w:tcBorders>
              <w:tl2br w:val="nil"/>
              <w:tr2bl w:val="nil"/>
            </w:tcBorders>
            <w:noWrap/>
            <w:tcMar>
              <w:top w:w="15" w:type="dxa"/>
              <w:left w:w="15" w:type="dxa"/>
              <w:right w:w="15" w:type="dxa"/>
            </w:tcMar>
            <w:vAlign w:val="center"/>
          </w:tcPr>
          <w:p w14:paraId="685194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挥发性有机物</w:t>
            </w:r>
          </w:p>
        </w:tc>
        <w:tc>
          <w:tcPr>
            <w:tcW w:w="2367" w:type="dxa"/>
            <w:tcBorders>
              <w:tl2br w:val="nil"/>
              <w:tr2bl w:val="nil"/>
            </w:tcBorders>
            <w:noWrap w:val="0"/>
            <w:tcMar>
              <w:top w:w="15" w:type="dxa"/>
              <w:left w:w="15" w:type="dxa"/>
              <w:right w:w="15" w:type="dxa"/>
            </w:tcMar>
            <w:vAlign w:val="center"/>
          </w:tcPr>
          <w:p w14:paraId="4F12A4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特征污染物</w:t>
            </w:r>
          </w:p>
        </w:tc>
        <w:tc>
          <w:tcPr>
            <w:tcW w:w="1170" w:type="dxa"/>
            <w:tcBorders>
              <w:tl2br w:val="nil"/>
              <w:tr2bl w:val="nil"/>
            </w:tcBorders>
            <w:noWrap/>
            <w:tcMar>
              <w:top w:w="15" w:type="dxa"/>
              <w:left w:w="15" w:type="dxa"/>
              <w:right w:w="15" w:type="dxa"/>
            </w:tcMar>
            <w:vAlign w:val="center"/>
          </w:tcPr>
          <w:p w14:paraId="08BBDA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废水量</w:t>
            </w:r>
          </w:p>
        </w:tc>
        <w:tc>
          <w:tcPr>
            <w:tcW w:w="1061" w:type="dxa"/>
            <w:tcBorders>
              <w:tl2br w:val="nil"/>
              <w:tr2bl w:val="nil"/>
            </w:tcBorders>
            <w:noWrap/>
            <w:tcMar>
              <w:top w:w="15" w:type="dxa"/>
              <w:left w:w="15" w:type="dxa"/>
              <w:right w:w="15" w:type="dxa"/>
            </w:tcMar>
            <w:vAlign w:val="center"/>
          </w:tcPr>
          <w:p w14:paraId="6A95E8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化学需氧量</w:t>
            </w:r>
          </w:p>
        </w:tc>
        <w:tc>
          <w:tcPr>
            <w:tcW w:w="953" w:type="dxa"/>
            <w:tcBorders>
              <w:tl2br w:val="nil"/>
              <w:tr2bl w:val="nil"/>
            </w:tcBorders>
            <w:noWrap/>
            <w:tcMar>
              <w:top w:w="15" w:type="dxa"/>
              <w:left w:w="15" w:type="dxa"/>
              <w:right w:w="15" w:type="dxa"/>
            </w:tcMar>
            <w:vAlign w:val="center"/>
          </w:tcPr>
          <w:p w14:paraId="13DAB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氨氮</w:t>
            </w:r>
          </w:p>
        </w:tc>
        <w:tc>
          <w:tcPr>
            <w:tcW w:w="1861" w:type="dxa"/>
            <w:tcBorders>
              <w:tl2br w:val="nil"/>
              <w:tr2bl w:val="nil"/>
            </w:tcBorders>
            <w:noWrap w:val="0"/>
            <w:tcMar>
              <w:top w:w="15" w:type="dxa"/>
              <w:left w:w="15" w:type="dxa"/>
              <w:right w:w="15" w:type="dxa"/>
            </w:tcMar>
            <w:vAlign w:val="center"/>
          </w:tcPr>
          <w:p w14:paraId="556EBE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特征污染物</w:t>
            </w:r>
          </w:p>
        </w:tc>
      </w:tr>
      <w:tr w14:paraId="0611CF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vMerge w:val="continue"/>
            <w:tcBorders>
              <w:tl2br w:val="nil"/>
              <w:tr2bl w:val="nil"/>
            </w:tcBorders>
            <w:noWrap w:val="0"/>
            <w:tcMar>
              <w:top w:w="15" w:type="dxa"/>
              <w:left w:w="15" w:type="dxa"/>
              <w:right w:w="15" w:type="dxa"/>
            </w:tcMar>
            <w:vAlign w:val="center"/>
          </w:tcPr>
          <w:p w14:paraId="608F9A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i w:val="0"/>
                <w:color w:val="auto"/>
                <w:sz w:val="21"/>
                <w:szCs w:val="21"/>
                <w:u w:val="none"/>
              </w:rPr>
            </w:pPr>
          </w:p>
        </w:tc>
        <w:tc>
          <w:tcPr>
            <w:tcW w:w="1526" w:type="dxa"/>
            <w:vMerge w:val="continue"/>
            <w:tcBorders>
              <w:tl2br w:val="nil"/>
              <w:tr2bl w:val="nil"/>
            </w:tcBorders>
            <w:noWrap w:val="0"/>
            <w:tcMar>
              <w:top w:w="15" w:type="dxa"/>
              <w:left w:w="15" w:type="dxa"/>
              <w:right w:w="15" w:type="dxa"/>
            </w:tcMar>
            <w:vAlign w:val="center"/>
          </w:tcPr>
          <w:p w14:paraId="19E46F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val="0"/>
                <w:i w:val="0"/>
                <w:color w:val="auto"/>
                <w:sz w:val="21"/>
                <w:szCs w:val="21"/>
                <w:u w:val="none"/>
              </w:rPr>
            </w:pPr>
          </w:p>
        </w:tc>
        <w:tc>
          <w:tcPr>
            <w:tcW w:w="608" w:type="dxa"/>
            <w:tcBorders>
              <w:tl2br w:val="nil"/>
              <w:tr2bl w:val="nil"/>
            </w:tcBorders>
            <w:noWrap w:val="0"/>
            <w:tcMar>
              <w:top w:w="15" w:type="dxa"/>
              <w:left w:w="15" w:type="dxa"/>
              <w:right w:w="15" w:type="dxa"/>
            </w:tcMar>
            <w:vAlign w:val="center"/>
          </w:tcPr>
          <w:p w14:paraId="0F8118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w:t>
            </w:r>
            <w:r>
              <w:rPr>
                <w:rStyle w:val="47"/>
                <w:rFonts w:hint="default" w:ascii="Times New Roman" w:hAnsi="Times New Roman" w:eastAsia="宋体" w:cs="Times New Roman"/>
                <w:b/>
                <w:bCs w:val="0"/>
                <w:snapToGrid w:val="0"/>
                <w:color w:val="auto"/>
                <w:sz w:val="21"/>
                <w:szCs w:val="21"/>
                <w:u w:val="none"/>
                <w:lang w:val="en-US" w:eastAsia="zh-CN" w:bidi="ar"/>
              </w:rPr>
              <w:t>m</w:t>
            </w:r>
            <w:r>
              <w:rPr>
                <w:rStyle w:val="48"/>
                <w:rFonts w:hint="default" w:ascii="Times New Roman" w:hAnsi="Times New Roman" w:eastAsia="宋体" w:cs="Times New Roman"/>
                <w:b/>
                <w:bCs w:val="0"/>
                <w:snapToGrid w:val="0"/>
                <w:color w:val="auto"/>
                <w:sz w:val="21"/>
                <w:szCs w:val="21"/>
                <w:u w:val="none"/>
                <w:lang w:val="en-US" w:eastAsia="zh-CN" w:bidi="ar"/>
              </w:rPr>
              <w:t>2</w:t>
            </w:r>
            <w:r>
              <w:rPr>
                <w:rFonts w:hint="default" w:ascii="Times New Roman" w:hAnsi="Times New Roman" w:eastAsia="宋体" w:cs="Times New Roman"/>
                <w:b/>
                <w:bCs w:val="0"/>
                <w:i w:val="0"/>
                <w:snapToGrid w:val="0"/>
                <w:color w:val="auto"/>
                <w:kern w:val="0"/>
                <w:sz w:val="21"/>
                <w:szCs w:val="21"/>
                <w:u w:val="none"/>
                <w:lang w:val="en-US" w:eastAsia="zh-CN" w:bidi="ar"/>
              </w:rPr>
              <w:t>）</w:t>
            </w:r>
          </w:p>
        </w:tc>
        <w:tc>
          <w:tcPr>
            <w:tcW w:w="750" w:type="dxa"/>
            <w:tcBorders>
              <w:tl2br w:val="nil"/>
              <w:tr2bl w:val="nil"/>
            </w:tcBorders>
            <w:noWrap/>
            <w:tcMar>
              <w:top w:w="15" w:type="dxa"/>
              <w:left w:w="15" w:type="dxa"/>
              <w:right w:w="15" w:type="dxa"/>
            </w:tcMar>
            <w:vAlign w:val="center"/>
          </w:tcPr>
          <w:p w14:paraId="30B58B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990" w:type="dxa"/>
            <w:tcBorders>
              <w:tl2br w:val="nil"/>
              <w:tr2bl w:val="nil"/>
            </w:tcBorders>
            <w:noWrap/>
            <w:tcMar>
              <w:top w:w="15" w:type="dxa"/>
              <w:left w:w="15" w:type="dxa"/>
              <w:right w:w="15" w:type="dxa"/>
            </w:tcMar>
            <w:vAlign w:val="center"/>
          </w:tcPr>
          <w:p w14:paraId="5F11AF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901" w:type="dxa"/>
            <w:tcBorders>
              <w:tl2br w:val="nil"/>
              <w:tr2bl w:val="nil"/>
            </w:tcBorders>
            <w:noWrap/>
            <w:tcMar>
              <w:top w:w="15" w:type="dxa"/>
              <w:left w:w="15" w:type="dxa"/>
              <w:right w:w="15" w:type="dxa"/>
            </w:tcMar>
            <w:vAlign w:val="center"/>
          </w:tcPr>
          <w:p w14:paraId="3934DA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1250" w:type="dxa"/>
            <w:tcBorders>
              <w:tl2br w:val="nil"/>
              <w:tr2bl w:val="nil"/>
            </w:tcBorders>
            <w:noWrap/>
            <w:tcMar>
              <w:top w:w="15" w:type="dxa"/>
              <w:left w:w="15" w:type="dxa"/>
              <w:right w:w="15" w:type="dxa"/>
            </w:tcMar>
            <w:vAlign w:val="center"/>
          </w:tcPr>
          <w:p w14:paraId="4728CE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2367" w:type="dxa"/>
            <w:tcBorders>
              <w:tl2br w:val="nil"/>
              <w:tr2bl w:val="nil"/>
            </w:tcBorders>
            <w:noWrap w:val="0"/>
            <w:tcMar>
              <w:top w:w="15" w:type="dxa"/>
              <w:left w:w="15" w:type="dxa"/>
              <w:right w:w="15" w:type="dxa"/>
            </w:tcMar>
            <w:vAlign w:val="center"/>
          </w:tcPr>
          <w:p w14:paraId="5A2F85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1170" w:type="dxa"/>
            <w:tcBorders>
              <w:tl2br w:val="nil"/>
              <w:tr2bl w:val="nil"/>
            </w:tcBorders>
            <w:noWrap/>
            <w:tcMar>
              <w:top w:w="15" w:type="dxa"/>
              <w:left w:w="15" w:type="dxa"/>
              <w:right w:w="15" w:type="dxa"/>
            </w:tcMar>
            <w:vAlign w:val="center"/>
          </w:tcPr>
          <w:p w14:paraId="251765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m</w:t>
            </w:r>
            <w:r>
              <w:rPr>
                <w:rFonts w:hint="default" w:ascii="Times New Roman" w:hAnsi="Times New Roman" w:eastAsia="宋体" w:cs="Times New Roman"/>
                <w:b/>
                <w:bCs w:val="0"/>
                <w:i w:val="0"/>
                <w:snapToGrid w:val="0"/>
                <w:color w:val="auto"/>
                <w:kern w:val="0"/>
                <w:sz w:val="21"/>
                <w:szCs w:val="21"/>
                <w:u w:val="none"/>
                <w:vertAlign w:val="superscript"/>
                <w:lang w:val="en-US" w:eastAsia="zh-CN" w:bidi="ar"/>
              </w:rPr>
              <w:t>3</w:t>
            </w:r>
            <w:r>
              <w:rPr>
                <w:rFonts w:hint="default" w:ascii="Times New Roman" w:hAnsi="Times New Roman" w:eastAsia="宋体" w:cs="Times New Roman"/>
                <w:b/>
                <w:bCs w:val="0"/>
                <w:i w:val="0"/>
                <w:snapToGrid w:val="0"/>
                <w:color w:val="auto"/>
                <w:kern w:val="0"/>
                <w:sz w:val="21"/>
                <w:szCs w:val="21"/>
                <w:u w:val="none"/>
                <w:lang w:val="en-US" w:eastAsia="zh-CN" w:bidi="ar"/>
              </w:rPr>
              <w:t>/a</w:t>
            </w:r>
          </w:p>
        </w:tc>
        <w:tc>
          <w:tcPr>
            <w:tcW w:w="1061" w:type="dxa"/>
            <w:tcBorders>
              <w:tl2br w:val="nil"/>
              <w:tr2bl w:val="nil"/>
            </w:tcBorders>
            <w:noWrap/>
            <w:tcMar>
              <w:top w:w="15" w:type="dxa"/>
              <w:left w:w="15" w:type="dxa"/>
              <w:right w:w="15" w:type="dxa"/>
            </w:tcMar>
            <w:vAlign w:val="center"/>
          </w:tcPr>
          <w:p w14:paraId="55D663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953" w:type="dxa"/>
            <w:tcBorders>
              <w:tl2br w:val="nil"/>
              <w:tr2bl w:val="nil"/>
            </w:tcBorders>
            <w:noWrap/>
            <w:tcMar>
              <w:top w:w="15" w:type="dxa"/>
              <w:left w:w="15" w:type="dxa"/>
              <w:right w:w="15" w:type="dxa"/>
            </w:tcMar>
            <w:vAlign w:val="center"/>
          </w:tcPr>
          <w:p w14:paraId="189697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c>
          <w:tcPr>
            <w:tcW w:w="1861" w:type="dxa"/>
            <w:tcBorders>
              <w:tl2br w:val="nil"/>
              <w:tr2bl w:val="nil"/>
            </w:tcBorders>
            <w:noWrap w:val="0"/>
            <w:tcMar>
              <w:top w:w="15" w:type="dxa"/>
              <w:left w:w="15" w:type="dxa"/>
              <w:right w:w="15" w:type="dxa"/>
            </w:tcMar>
            <w:vAlign w:val="center"/>
          </w:tcPr>
          <w:p w14:paraId="5DE969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b/>
                <w:bCs w:val="0"/>
                <w:i w:val="0"/>
                <w:color w:val="auto"/>
                <w:sz w:val="21"/>
                <w:szCs w:val="21"/>
                <w:u w:val="none"/>
              </w:rPr>
            </w:pPr>
            <w:r>
              <w:rPr>
                <w:rFonts w:hint="default" w:ascii="Times New Roman" w:hAnsi="Times New Roman" w:eastAsia="宋体" w:cs="Times New Roman"/>
                <w:b/>
                <w:bCs w:val="0"/>
                <w:i w:val="0"/>
                <w:snapToGrid w:val="0"/>
                <w:color w:val="auto"/>
                <w:kern w:val="0"/>
                <w:sz w:val="21"/>
                <w:szCs w:val="21"/>
                <w:u w:val="none"/>
                <w:lang w:val="en-US" w:eastAsia="zh-CN" w:bidi="ar"/>
              </w:rPr>
              <w:t>t/a</w:t>
            </w:r>
          </w:p>
        </w:tc>
      </w:tr>
      <w:tr w14:paraId="065F0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29417A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w:t>
            </w:r>
          </w:p>
        </w:tc>
        <w:tc>
          <w:tcPr>
            <w:tcW w:w="1526" w:type="dxa"/>
            <w:tcBorders>
              <w:tl2br w:val="nil"/>
              <w:tr2bl w:val="nil"/>
            </w:tcBorders>
            <w:noWrap w:val="0"/>
            <w:tcMar>
              <w:top w:w="15" w:type="dxa"/>
              <w:left w:w="15" w:type="dxa"/>
              <w:right w:w="15" w:type="dxa"/>
            </w:tcMar>
            <w:vAlign w:val="center"/>
          </w:tcPr>
          <w:p w14:paraId="094217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湖南龙智新材料科技有限公司</w:t>
            </w:r>
          </w:p>
        </w:tc>
        <w:tc>
          <w:tcPr>
            <w:tcW w:w="608" w:type="dxa"/>
            <w:tcBorders>
              <w:tl2br w:val="nil"/>
              <w:tr2bl w:val="nil"/>
            </w:tcBorders>
            <w:noWrap w:val="0"/>
            <w:tcMar>
              <w:top w:w="15" w:type="dxa"/>
              <w:left w:w="15" w:type="dxa"/>
              <w:right w:w="15" w:type="dxa"/>
            </w:tcMar>
            <w:vAlign w:val="center"/>
          </w:tcPr>
          <w:p w14:paraId="6B005C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109740</w:t>
            </w:r>
          </w:p>
        </w:tc>
        <w:tc>
          <w:tcPr>
            <w:tcW w:w="750" w:type="dxa"/>
            <w:tcBorders>
              <w:tl2br w:val="nil"/>
              <w:tr2bl w:val="nil"/>
            </w:tcBorders>
            <w:noWrap/>
            <w:tcMar>
              <w:top w:w="15" w:type="dxa"/>
              <w:left w:w="15" w:type="dxa"/>
              <w:right w:w="15" w:type="dxa"/>
            </w:tcMar>
            <w:vAlign w:val="center"/>
          </w:tcPr>
          <w:p w14:paraId="1D4E4B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0" w:type="dxa"/>
            <w:tcBorders>
              <w:tl2br w:val="nil"/>
              <w:tr2bl w:val="nil"/>
            </w:tcBorders>
            <w:noWrap/>
            <w:tcMar>
              <w:top w:w="15" w:type="dxa"/>
              <w:left w:w="15" w:type="dxa"/>
              <w:right w:w="15" w:type="dxa"/>
            </w:tcMar>
            <w:vAlign w:val="center"/>
          </w:tcPr>
          <w:p w14:paraId="450C02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0.63</w:t>
            </w:r>
          </w:p>
        </w:tc>
        <w:tc>
          <w:tcPr>
            <w:tcW w:w="901" w:type="dxa"/>
            <w:tcBorders>
              <w:tl2br w:val="nil"/>
              <w:tr2bl w:val="nil"/>
            </w:tcBorders>
            <w:noWrap/>
            <w:tcMar>
              <w:top w:w="15" w:type="dxa"/>
              <w:left w:w="15" w:type="dxa"/>
              <w:right w:w="15" w:type="dxa"/>
            </w:tcMar>
            <w:vAlign w:val="center"/>
          </w:tcPr>
          <w:p w14:paraId="28666AC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4.8</w:t>
            </w:r>
          </w:p>
        </w:tc>
        <w:tc>
          <w:tcPr>
            <w:tcW w:w="1250" w:type="dxa"/>
            <w:tcBorders>
              <w:tl2br w:val="nil"/>
              <w:tr2bl w:val="nil"/>
            </w:tcBorders>
            <w:noWrap/>
            <w:tcMar>
              <w:top w:w="15" w:type="dxa"/>
              <w:left w:w="15" w:type="dxa"/>
              <w:right w:w="15" w:type="dxa"/>
            </w:tcMar>
            <w:vAlign w:val="center"/>
          </w:tcPr>
          <w:p w14:paraId="7D2A01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6D23F49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硫酸雾13.47,铬酸雾0.38kg/a(折铬0.169kg/a)</w:t>
            </w:r>
          </w:p>
        </w:tc>
        <w:tc>
          <w:tcPr>
            <w:tcW w:w="1170" w:type="dxa"/>
            <w:tcBorders>
              <w:tl2br w:val="nil"/>
              <w:tr2bl w:val="nil"/>
            </w:tcBorders>
            <w:noWrap/>
            <w:tcMar>
              <w:top w:w="15" w:type="dxa"/>
              <w:left w:w="15" w:type="dxa"/>
              <w:right w:w="15" w:type="dxa"/>
            </w:tcMar>
            <w:vAlign w:val="center"/>
          </w:tcPr>
          <w:p w14:paraId="544BC8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55358.2</w:t>
            </w:r>
          </w:p>
        </w:tc>
        <w:tc>
          <w:tcPr>
            <w:tcW w:w="1061" w:type="dxa"/>
            <w:tcBorders>
              <w:tl2br w:val="nil"/>
              <w:tr2bl w:val="nil"/>
            </w:tcBorders>
            <w:noWrap/>
            <w:tcMar>
              <w:top w:w="15" w:type="dxa"/>
              <w:left w:w="15" w:type="dxa"/>
              <w:right w:w="15" w:type="dxa"/>
            </w:tcMar>
            <w:vAlign w:val="center"/>
          </w:tcPr>
          <w:p w14:paraId="6A8A47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4.983</w:t>
            </w:r>
          </w:p>
        </w:tc>
        <w:tc>
          <w:tcPr>
            <w:tcW w:w="953" w:type="dxa"/>
            <w:tcBorders>
              <w:tl2br w:val="nil"/>
              <w:tr2bl w:val="nil"/>
            </w:tcBorders>
            <w:noWrap/>
            <w:tcMar>
              <w:top w:w="15" w:type="dxa"/>
              <w:left w:w="15" w:type="dxa"/>
              <w:right w:w="15" w:type="dxa"/>
            </w:tcMar>
            <w:vAlign w:val="center"/>
          </w:tcPr>
          <w:p w14:paraId="5B91A4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0.152</w:t>
            </w:r>
          </w:p>
        </w:tc>
        <w:tc>
          <w:tcPr>
            <w:tcW w:w="1861" w:type="dxa"/>
            <w:tcBorders>
              <w:tl2br w:val="nil"/>
              <w:tr2bl w:val="nil"/>
            </w:tcBorders>
            <w:noWrap w:val="0"/>
            <w:tcMar>
              <w:top w:w="15" w:type="dxa"/>
              <w:left w:w="15" w:type="dxa"/>
              <w:right w:w="15" w:type="dxa"/>
            </w:tcMar>
            <w:vAlign w:val="center"/>
          </w:tcPr>
          <w:p w14:paraId="3FA5BE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铜0.0216,锌0.017,镍0.0005，铬0.0018,六价铬0.0005</w:t>
            </w:r>
          </w:p>
        </w:tc>
      </w:tr>
      <w:tr w14:paraId="76DE14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7F45962">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w:t>
            </w:r>
          </w:p>
        </w:tc>
        <w:tc>
          <w:tcPr>
            <w:tcW w:w="1526" w:type="dxa"/>
            <w:tcBorders>
              <w:tl2br w:val="nil"/>
              <w:tr2bl w:val="nil"/>
            </w:tcBorders>
            <w:noWrap w:val="0"/>
            <w:tcMar>
              <w:top w:w="15" w:type="dxa"/>
              <w:left w:w="15" w:type="dxa"/>
              <w:right w:w="15" w:type="dxa"/>
            </w:tcMar>
            <w:vAlign w:val="center"/>
          </w:tcPr>
          <w:p w14:paraId="2F8D5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湖南天惠新材料科技有限公司</w:t>
            </w:r>
          </w:p>
        </w:tc>
        <w:tc>
          <w:tcPr>
            <w:tcW w:w="608" w:type="dxa"/>
            <w:tcBorders>
              <w:tl2br w:val="nil"/>
              <w:tr2bl w:val="nil"/>
            </w:tcBorders>
            <w:noWrap w:val="0"/>
            <w:tcMar>
              <w:top w:w="15" w:type="dxa"/>
              <w:left w:w="15" w:type="dxa"/>
              <w:right w:w="15" w:type="dxa"/>
            </w:tcMar>
            <w:vAlign w:val="center"/>
          </w:tcPr>
          <w:p w14:paraId="744A97C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53015.11</w:t>
            </w:r>
          </w:p>
        </w:tc>
        <w:tc>
          <w:tcPr>
            <w:tcW w:w="750" w:type="dxa"/>
            <w:tcBorders>
              <w:tl2br w:val="nil"/>
              <w:tr2bl w:val="nil"/>
            </w:tcBorders>
            <w:noWrap/>
            <w:tcMar>
              <w:top w:w="15" w:type="dxa"/>
              <w:left w:w="15" w:type="dxa"/>
              <w:right w:w="15" w:type="dxa"/>
            </w:tcMar>
            <w:vAlign w:val="center"/>
          </w:tcPr>
          <w:p w14:paraId="08EFD0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2.097</w:t>
            </w:r>
          </w:p>
        </w:tc>
        <w:tc>
          <w:tcPr>
            <w:tcW w:w="990" w:type="dxa"/>
            <w:tcBorders>
              <w:tl2br w:val="nil"/>
              <w:tr2bl w:val="nil"/>
            </w:tcBorders>
            <w:noWrap/>
            <w:tcMar>
              <w:top w:w="15" w:type="dxa"/>
              <w:left w:w="15" w:type="dxa"/>
              <w:right w:w="15" w:type="dxa"/>
            </w:tcMar>
            <w:vAlign w:val="center"/>
          </w:tcPr>
          <w:p w14:paraId="074BD1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0.932</w:t>
            </w:r>
          </w:p>
        </w:tc>
        <w:tc>
          <w:tcPr>
            <w:tcW w:w="901" w:type="dxa"/>
            <w:tcBorders>
              <w:tl2br w:val="nil"/>
              <w:tr2bl w:val="nil"/>
            </w:tcBorders>
            <w:noWrap/>
            <w:tcMar>
              <w:top w:w="15" w:type="dxa"/>
              <w:left w:w="15" w:type="dxa"/>
              <w:right w:w="15" w:type="dxa"/>
            </w:tcMar>
            <w:vAlign w:val="center"/>
          </w:tcPr>
          <w:p w14:paraId="3A3B92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2.649</w:t>
            </w:r>
          </w:p>
        </w:tc>
        <w:tc>
          <w:tcPr>
            <w:tcW w:w="1250" w:type="dxa"/>
            <w:tcBorders>
              <w:tl2br w:val="nil"/>
              <w:tr2bl w:val="nil"/>
            </w:tcBorders>
            <w:noWrap/>
            <w:tcMar>
              <w:top w:w="15" w:type="dxa"/>
              <w:left w:w="15" w:type="dxa"/>
              <w:right w:w="15" w:type="dxa"/>
            </w:tcMar>
            <w:vAlign w:val="center"/>
          </w:tcPr>
          <w:p w14:paraId="1D8E2F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5C8BF8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铅 0.006,硫酸雾0.001</w:t>
            </w:r>
          </w:p>
        </w:tc>
        <w:tc>
          <w:tcPr>
            <w:tcW w:w="1170" w:type="dxa"/>
            <w:tcBorders>
              <w:tl2br w:val="nil"/>
              <w:tr2bl w:val="nil"/>
            </w:tcBorders>
            <w:noWrap/>
            <w:tcMar>
              <w:top w:w="15" w:type="dxa"/>
              <w:left w:w="15" w:type="dxa"/>
              <w:right w:w="15" w:type="dxa"/>
            </w:tcMar>
            <w:vAlign w:val="center"/>
          </w:tcPr>
          <w:p w14:paraId="7CE074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200.1</w:t>
            </w:r>
          </w:p>
        </w:tc>
        <w:tc>
          <w:tcPr>
            <w:tcW w:w="1061" w:type="dxa"/>
            <w:tcBorders>
              <w:tl2br w:val="nil"/>
              <w:tr2bl w:val="nil"/>
            </w:tcBorders>
            <w:noWrap/>
            <w:tcMar>
              <w:top w:w="15" w:type="dxa"/>
              <w:left w:w="15" w:type="dxa"/>
              <w:right w:w="15" w:type="dxa"/>
            </w:tcMar>
            <w:vAlign w:val="center"/>
          </w:tcPr>
          <w:p w14:paraId="40FFC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0.558</w:t>
            </w:r>
          </w:p>
        </w:tc>
        <w:tc>
          <w:tcPr>
            <w:tcW w:w="953" w:type="dxa"/>
            <w:tcBorders>
              <w:tl2br w:val="nil"/>
              <w:tr2bl w:val="nil"/>
            </w:tcBorders>
            <w:noWrap/>
            <w:tcMar>
              <w:top w:w="15" w:type="dxa"/>
              <w:left w:w="15" w:type="dxa"/>
              <w:right w:w="15" w:type="dxa"/>
            </w:tcMar>
            <w:vAlign w:val="center"/>
          </w:tcPr>
          <w:p w14:paraId="035CF4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0.013</w:t>
            </w:r>
          </w:p>
        </w:tc>
        <w:tc>
          <w:tcPr>
            <w:tcW w:w="1861" w:type="dxa"/>
            <w:tcBorders>
              <w:tl2br w:val="nil"/>
              <w:tr2bl w:val="nil"/>
            </w:tcBorders>
            <w:noWrap/>
            <w:tcMar>
              <w:top w:w="15" w:type="dxa"/>
              <w:left w:w="15" w:type="dxa"/>
              <w:right w:w="15" w:type="dxa"/>
            </w:tcMar>
            <w:vAlign w:val="center"/>
          </w:tcPr>
          <w:p w14:paraId="30348B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铜0.0004，锡0.0004</w:t>
            </w:r>
          </w:p>
        </w:tc>
      </w:tr>
      <w:tr w14:paraId="64963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05712BA">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w:t>
            </w:r>
          </w:p>
        </w:tc>
        <w:tc>
          <w:tcPr>
            <w:tcW w:w="1526" w:type="dxa"/>
            <w:tcBorders>
              <w:tl2br w:val="nil"/>
              <w:tr2bl w:val="nil"/>
            </w:tcBorders>
            <w:noWrap w:val="0"/>
            <w:tcMar>
              <w:top w:w="15" w:type="dxa"/>
              <w:left w:w="15" w:type="dxa"/>
              <w:right w:w="15" w:type="dxa"/>
            </w:tcMar>
            <w:vAlign w:val="center"/>
          </w:tcPr>
          <w:p w14:paraId="7758E8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湖南宏拓铝业有限公司</w:t>
            </w:r>
          </w:p>
        </w:tc>
        <w:tc>
          <w:tcPr>
            <w:tcW w:w="608" w:type="dxa"/>
            <w:tcBorders>
              <w:tl2br w:val="nil"/>
              <w:tr2bl w:val="nil"/>
            </w:tcBorders>
            <w:noWrap w:val="0"/>
            <w:tcMar>
              <w:top w:w="15" w:type="dxa"/>
              <w:left w:w="15" w:type="dxa"/>
              <w:right w:w="15" w:type="dxa"/>
            </w:tcMar>
            <w:vAlign w:val="center"/>
          </w:tcPr>
          <w:p w14:paraId="6B0D39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33986</w:t>
            </w:r>
          </w:p>
        </w:tc>
        <w:tc>
          <w:tcPr>
            <w:tcW w:w="750" w:type="dxa"/>
            <w:tcBorders>
              <w:tl2br w:val="nil"/>
              <w:tr2bl w:val="nil"/>
            </w:tcBorders>
            <w:noWrap/>
            <w:tcMar>
              <w:top w:w="15" w:type="dxa"/>
              <w:left w:w="15" w:type="dxa"/>
              <w:right w:w="15" w:type="dxa"/>
            </w:tcMar>
            <w:vAlign w:val="center"/>
          </w:tcPr>
          <w:p w14:paraId="14E4B5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0.653</w:t>
            </w:r>
          </w:p>
        </w:tc>
        <w:tc>
          <w:tcPr>
            <w:tcW w:w="990" w:type="dxa"/>
            <w:tcBorders>
              <w:tl2br w:val="nil"/>
              <w:tr2bl w:val="nil"/>
            </w:tcBorders>
            <w:noWrap/>
            <w:tcMar>
              <w:top w:w="15" w:type="dxa"/>
              <w:left w:w="15" w:type="dxa"/>
              <w:right w:w="15" w:type="dxa"/>
            </w:tcMar>
            <w:vAlign w:val="center"/>
          </w:tcPr>
          <w:p w14:paraId="61822F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0.721</w:t>
            </w:r>
          </w:p>
        </w:tc>
        <w:tc>
          <w:tcPr>
            <w:tcW w:w="901" w:type="dxa"/>
            <w:tcBorders>
              <w:tl2br w:val="nil"/>
              <w:tr2bl w:val="nil"/>
            </w:tcBorders>
            <w:noWrap/>
            <w:tcMar>
              <w:top w:w="15" w:type="dxa"/>
              <w:left w:w="15" w:type="dxa"/>
              <w:right w:w="15" w:type="dxa"/>
            </w:tcMar>
            <w:vAlign w:val="center"/>
          </w:tcPr>
          <w:p w14:paraId="53F682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0.721</w:t>
            </w:r>
          </w:p>
        </w:tc>
        <w:tc>
          <w:tcPr>
            <w:tcW w:w="1250" w:type="dxa"/>
            <w:tcBorders>
              <w:tl2br w:val="nil"/>
              <w:tr2bl w:val="nil"/>
            </w:tcBorders>
            <w:noWrap/>
            <w:tcMar>
              <w:top w:w="15" w:type="dxa"/>
              <w:left w:w="15" w:type="dxa"/>
              <w:right w:w="15" w:type="dxa"/>
            </w:tcMar>
            <w:vAlign w:val="center"/>
          </w:tcPr>
          <w:p w14:paraId="38CE62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38DC4C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氯化氢2.016，氟化物0.34，铅0.020，锡1.745kg/a，镉15.14kg/a，铬29.04kg/a，二噁英0.03675g/a</w:t>
            </w:r>
          </w:p>
        </w:tc>
        <w:tc>
          <w:tcPr>
            <w:tcW w:w="1170" w:type="dxa"/>
            <w:tcBorders>
              <w:tl2br w:val="nil"/>
              <w:tr2bl w:val="nil"/>
            </w:tcBorders>
            <w:noWrap/>
            <w:tcMar>
              <w:top w:w="15" w:type="dxa"/>
              <w:left w:w="15" w:type="dxa"/>
              <w:right w:w="15" w:type="dxa"/>
            </w:tcMar>
            <w:vAlign w:val="center"/>
          </w:tcPr>
          <w:p w14:paraId="224E74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2706</w:t>
            </w:r>
          </w:p>
        </w:tc>
        <w:tc>
          <w:tcPr>
            <w:tcW w:w="1061" w:type="dxa"/>
            <w:tcBorders>
              <w:tl2br w:val="nil"/>
              <w:tr2bl w:val="nil"/>
            </w:tcBorders>
            <w:noWrap/>
            <w:tcMar>
              <w:top w:w="15" w:type="dxa"/>
              <w:left w:w="15" w:type="dxa"/>
              <w:right w:w="15" w:type="dxa"/>
            </w:tcMar>
            <w:vAlign w:val="center"/>
          </w:tcPr>
          <w:p w14:paraId="137119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0.764</w:t>
            </w:r>
          </w:p>
        </w:tc>
        <w:tc>
          <w:tcPr>
            <w:tcW w:w="953" w:type="dxa"/>
            <w:tcBorders>
              <w:tl2br w:val="nil"/>
              <w:tr2bl w:val="nil"/>
            </w:tcBorders>
            <w:noWrap/>
            <w:tcMar>
              <w:top w:w="15" w:type="dxa"/>
              <w:left w:w="15" w:type="dxa"/>
              <w:right w:w="15" w:type="dxa"/>
            </w:tcMar>
            <w:vAlign w:val="center"/>
          </w:tcPr>
          <w:p w14:paraId="2970FE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0.068</w:t>
            </w:r>
          </w:p>
        </w:tc>
        <w:tc>
          <w:tcPr>
            <w:tcW w:w="1861" w:type="dxa"/>
            <w:tcBorders>
              <w:tl2br w:val="nil"/>
              <w:tr2bl w:val="nil"/>
            </w:tcBorders>
            <w:noWrap/>
            <w:tcMar>
              <w:top w:w="15" w:type="dxa"/>
              <w:left w:w="15" w:type="dxa"/>
              <w:right w:w="15" w:type="dxa"/>
            </w:tcMar>
            <w:vAlign w:val="center"/>
          </w:tcPr>
          <w:p w14:paraId="65DFBF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5C2450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F3F823F">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w:t>
            </w:r>
          </w:p>
        </w:tc>
        <w:tc>
          <w:tcPr>
            <w:tcW w:w="1526" w:type="dxa"/>
            <w:tcBorders>
              <w:tl2br w:val="nil"/>
              <w:tr2bl w:val="nil"/>
            </w:tcBorders>
            <w:noWrap w:val="0"/>
            <w:tcMar>
              <w:top w:w="15" w:type="dxa"/>
              <w:left w:w="15" w:type="dxa"/>
              <w:right w:w="15" w:type="dxa"/>
            </w:tcMar>
            <w:vAlign w:val="center"/>
          </w:tcPr>
          <w:p w14:paraId="4A086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汨罗市联创铝业科技有限公司</w:t>
            </w:r>
          </w:p>
        </w:tc>
        <w:tc>
          <w:tcPr>
            <w:tcW w:w="608" w:type="dxa"/>
            <w:tcBorders>
              <w:tl2br w:val="nil"/>
              <w:tr2bl w:val="nil"/>
            </w:tcBorders>
            <w:noWrap w:val="0"/>
            <w:tcMar>
              <w:top w:w="15" w:type="dxa"/>
              <w:left w:w="15" w:type="dxa"/>
              <w:right w:w="15" w:type="dxa"/>
            </w:tcMar>
            <w:vAlign w:val="center"/>
          </w:tcPr>
          <w:p w14:paraId="6F580D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42830</w:t>
            </w:r>
          </w:p>
        </w:tc>
        <w:tc>
          <w:tcPr>
            <w:tcW w:w="750" w:type="dxa"/>
            <w:tcBorders>
              <w:tl2br w:val="nil"/>
              <w:tr2bl w:val="nil"/>
            </w:tcBorders>
            <w:noWrap/>
            <w:tcMar>
              <w:top w:w="15" w:type="dxa"/>
              <w:left w:w="15" w:type="dxa"/>
              <w:right w:w="15" w:type="dxa"/>
            </w:tcMar>
            <w:vAlign w:val="center"/>
          </w:tcPr>
          <w:p w14:paraId="5762E2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1.467</w:t>
            </w:r>
          </w:p>
        </w:tc>
        <w:tc>
          <w:tcPr>
            <w:tcW w:w="990" w:type="dxa"/>
            <w:tcBorders>
              <w:tl2br w:val="nil"/>
              <w:tr2bl w:val="nil"/>
            </w:tcBorders>
            <w:noWrap/>
            <w:tcMar>
              <w:top w:w="15" w:type="dxa"/>
              <w:left w:w="15" w:type="dxa"/>
              <w:right w:w="15" w:type="dxa"/>
            </w:tcMar>
            <w:vAlign w:val="center"/>
          </w:tcPr>
          <w:p w14:paraId="1082F0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2.032</w:t>
            </w:r>
          </w:p>
        </w:tc>
        <w:tc>
          <w:tcPr>
            <w:tcW w:w="901" w:type="dxa"/>
            <w:tcBorders>
              <w:tl2br w:val="nil"/>
              <w:tr2bl w:val="nil"/>
            </w:tcBorders>
            <w:noWrap/>
            <w:tcMar>
              <w:top w:w="15" w:type="dxa"/>
              <w:left w:w="15" w:type="dxa"/>
              <w:right w:w="15" w:type="dxa"/>
            </w:tcMar>
            <w:vAlign w:val="center"/>
          </w:tcPr>
          <w:p w14:paraId="6BF18D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2.974</w:t>
            </w:r>
          </w:p>
        </w:tc>
        <w:tc>
          <w:tcPr>
            <w:tcW w:w="1250" w:type="dxa"/>
            <w:tcBorders>
              <w:tl2br w:val="nil"/>
              <w:tr2bl w:val="nil"/>
            </w:tcBorders>
            <w:noWrap/>
            <w:tcMar>
              <w:top w:w="15" w:type="dxa"/>
              <w:left w:w="15" w:type="dxa"/>
              <w:right w:w="15" w:type="dxa"/>
            </w:tcMar>
            <w:vAlign w:val="center"/>
          </w:tcPr>
          <w:p w14:paraId="528949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028B7A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氯化氢3.60，氟化物0.99，铅20.4kg/a，锡1.2kg/a，镉2kg/a，砷 0.8kg/a，二噁英31.248mgTEQ/a</w:t>
            </w:r>
          </w:p>
        </w:tc>
        <w:tc>
          <w:tcPr>
            <w:tcW w:w="1170" w:type="dxa"/>
            <w:tcBorders>
              <w:tl2br w:val="nil"/>
              <w:tr2bl w:val="nil"/>
            </w:tcBorders>
            <w:noWrap/>
            <w:tcMar>
              <w:top w:w="15" w:type="dxa"/>
              <w:left w:w="15" w:type="dxa"/>
              <w:right w:w="15" w:type="dxa"/>
            </w:tcMar>
            <w:vAlign w:val="center"/>
          </w:tcPr>
          <w:p w14:paraId="07B38A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2784</w:t>
            </w:r>
          </w:p>
        </w:tc>
        <w:tc>
          <w:tcPr>
            <w:tcW w:w="1061" w:type="dxa"/>
            <w:tcBorders>
              <w:tl2br w:val="nil"/>
              <w:tr2bl w:val="nil"/>
            </w:tcBorders>
            <w:noWrap/>
            <w:tcMar>
              <w:top w:w="15" w:type="dxa"/>
              <w:left w:w="15" w:type="dxa"/>
              <w:right w:w="15" w:type="dxa"/>
            </w:tcMar>
            <w:vAlign w:val="center"/>
          </w:tcPr>
          <w:p w14:paraId="2DEEB0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w:t>
            </w:r>
          </w:p>
        </w:tc>
        <w:tc>
          <w:tcPr>
            <w:tcW w:w="953" w:type="dxa"/>
            <w:tcBorders>
              <w:tl2br w:val="nil"/>
              <w:tr2bl w:val="nil"/>
            </w:tcBorders>
            <w:noWrap/>
            <w:tcMar>
              <w:top w:w="15" w:type="dxa"/>
              <w:left w:w="15" w:type="dxa"/>
              <w:right w:w="15" w:type="dxa"/>
            </w:tcMar>
            <w:vAlign w:val="center"/>
          </w:tcPr>
          <w:p w14:paraId="588BAA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0.0835</w:t>
            </w:r>
          </w:p>
        </w:tc>
        <w:tc>
          <w:tcPr>
            <w:tcW w:w="1861" w:type="dxa"/>
            <w:tcBorders>
              <w:tl2br w:val="nil"/>
              <w:tr2bl w:val="nil"/>
            </w:tcBorders>
            <w:noWrap/>
            <w:tcMar>
              <w:top w:w="15" w:type="dxa"/>
              <w:left w:w="15" w:type="dxa"/>
              <w:right w:w="15" w:type="dxa"/>
            </w:tcMar>
            <w:vAlign w:val="center"/>
          </w:tcPr>
          <w:p w14:paraId="364114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345F2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A28356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5</w:t>
            </w:r>
          </w:p>
        </w:tc>
        <w:tc>
          <w:tcPr>
            <w:tcW w:w="1526" w:type="dxa"/>
            <w:tcBorders>
              <w:tl2br w:val="nil"/>
              <w:tr2bl w:val="nil"/>
            </w:tcBorders>
            <w:noWrap w:val="0"/>
            <w:tcMar>
              <w:top w:w="15" w:type="dxa"/>
              <w:left w:w="15" w:type="dxa"/>
              <w:right w:w="15" w:type="dxa"/>
            </w:tcMar>
            <w:vAlign w:val="center"/>
          </w:tcPr>
          <w:p w14:paraId="6A0996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湖南森科有色金属有限公司</w:t>
            </w:r>
          </w:p>
        </w:tc>
        <w:tc>
          <w:tcPr>
            <w:tcW w:w="608" w:type="dxa"/>
            <w:tcBorders>
              <w:tl2br w:val="nil"/>
              <w:tr2bl w:val="nil"/>
            </w:tcBorders>
            <w:noWrap w:val="0"/>
            <w:tcMar>
              <w:top w:w="15" w:type="dxa"/>
              <w:left w:w="15" w:type="dxa"/>
              <w:right w:w="15" w:type="dxa"/>
            </w:tcMar>
            <w:vAlign w:val="center"/>
          </w:tcPr>
          <w:p w14:paraId="6245A8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25524</w:t>
            </w:r>
          </w:p>
        </w:tc>
        <w:tc>
          <w:tcPr>
            <w:tcW w:w="750" w:type="dxa"/>
            <w:tcBorders>
              <w:tl2br w:val="nil"/>
              <w:tr2bl w:val="nil"/>
            </w:tcBorders>
            <w:noWrap/>
            <w:tcMar>
              <w:top w:w="15" w:type="dxa"/>
              <w:left w:w="15" w:type="dxa"/>
              <w:right w:w="15" w:type="dxa"/>
            </w:tcMar>
            <w:vAlign w:val="center"/>
          </w:tcPr>
          <w:p w14:paraId="08DD7E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1.45</w:t>
            </w:r>
          </w:p>
        </w:tc>
        <w:tc>
          <w:tcPr>
            <w:tcW w:w="990" w:type="dxa"/>
            <w:tcBorders>
              <w:tl2br w:val="nil"/>
              <w:tr2bl w:val="nil"/>
            </w:tcBorders>
            <w:noWrap/>
            <w:tcMar>
              <w:top w:w="15" w:type="dxa"/>
              <w:left w:w="15" w:type="dxa"/>
              <w:right w:w="15" w:type="dxa"/>
            </w:tcMar>
            <w:vAlign w:val="center"/>
          </w:tcPr>
          <w:p w14:paraId="6AB28E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0.96</w:t>
            </w:r>
          </w:p>
        </w:tc>
        <w:tc>
          <w:tcPr>
            <w:tcW w:w="901" w:type="dxa"/>
            <w:tcBorders>
              <w:tl2br w:val="nil"/>
              <w:tr2bl w:val="nil"/>
            </w:tcBorders>
            <w:noWrap/>
            <w:tcMar>
              <w:top w:w="15" w:type="dxa"/>
              <w:left w:w="15" w:type="dxa"/>
              <w:right w:w="15" w:type="dxa"/>
            </w:tcMar>
            <w:vAlign w:val="center"/>
          </w:tcPr>
          <w:p w14:paraId="2EFDB9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4.795</w:t>
            </w:r>
          </w:p>
        </w:tc>
        <w:tc>
          <w:tcPr>
            <w:tcW w:w="1250" w:type="dxa"/>
            <w:tcBorders>
              <w:tl2br w:val="nil"/>
              <w:tr2bl w:val="nil"/>
            </w:tcBorders>
            <w:noWrap/>
            <w:tcMar>
              <w:top w:w="15" w:type="dxa"/>
              <w:left w:w="15" w:type="dxa"/>
              <w:right w:w="15" w:type="dxa"/>
            </w:tcMar>
            <w:vAlign w:val="center"/>
          </w:tcPr>
          <w:p w14:paraId="4D54F7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val="0"/>
            <w:tcMar>
              <w:top w:w="15" w:type="dxa"/>
              <w:left w:w="15" w:type="dxa"/>
              <w:right w:w="15" w:type="dxa"/>
            </w:tcMar>
            <w:vAlign w:val="center"/>
          </w:tcPr>
          <w:p w14:paraId="53CFC9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氯化氢1.129，氟化物0.86，铅 22.44kg/a，镉2.2kg/a，砷0.88kg/a，二噁英63.94mgTEQ/a</w:t>
            </w:r>
          </w:p>
        </w:tc>
        <w:tc>
          <w:tcPr>
            <w:tcW w:w="1170" w:type="dxa"/>
            <w:tcBorders>
              <w:tl2br w:val="nil"/>
              <w:tr2bl w:val="nil"/>
            </w:tcBorders>
            <w:noWrap/>
            <w:tcMar>
              <w:top w:w="15" w:type="dxa"/>
              <w:left w:w="15" w:type="dxa"/>
              <w:right w:w="15" w:type="dxa"/>
            </w:tcMar>
            <w:vAlign w:val="center"/>
          </w:tcPr>
          <w:p w14:paraId="5F78D1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1392</w:t>
            </w:r>
          </w:p>
        </w:tc>
        <w:tc>
          <w:tcPr>
            <w:tcW w:w="1061" w:type="dxa"/>
            <w:tcBorders>
              <w:tl2br w:val="nil"/>
              <w:tr2bl w:val="nil"/>
            </w:tcBorders>
            <w:noWrap/>
            <w:tcMar>
              <w:top w:w="15" w:type="dxa"/>
              <w:left w:w="15" w:type="dxa"/>
              <w:right w:w="15" w:type="dxa"/>
            </w:tcMar>
            <w:vAlign w:val="center"/>
          </w:tcPr>
          <w:p w14:paraId="2E267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0.4</w:t>
            </w:r>
          </w:p>
        </w:tc>
        <w:tc>
          <w:tcPr>
            <w:tcW w:w="953" w:type="dxa"/>
            <w:tcBorders>
              <w:tl2br w:val="nil"/>
              <w:tr2bl w:val="nil"/>
            </w:tcBorders>
            <w:noWrap/>
            <w:tcMar>
              <w:top w:w="15" w:type="dxa"/>
              <w:left w:w="15" w:type="dxa"/>
              <w:right w:w="15" w:type="dxa"/>
            </w:tcMar>
            <w:vAlign w:val="center"/>
          </w:tcPr>
          <w:p w14:paraId="55ED87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w:t>
            </w:r>
          </w:p>
        </w:tc>
        <w:tc>
          <w:tcPr>
            <w:tcW w:w="1861" w:type="dxa"/>
            <w:tcBorders>
              <w:tl2br w:val="nil"/>
              <w:tr2bl w:val="nil"/>
            </w:tcBorders>
            <w:noWrap/>
            <w:tcMar>
              <w:top w:w="15" w:type="dxa"/>
              <w:left w:w="15" w:type="dxa"/>
              <w:right w:w="15" w:type="dxa"/>
            </w:tcMar>
            <w:vAlign w:val="center"/>
          </w:tcPr>
          <w:p w14:paraId="253DAC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47DC4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53919AD">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6</w:t>
            </w:r>
          </w:p>
        </w:tc>
        <w:tc>
          <w:tcPr>
            <w:tcW w:w="1526" w:type="dxa"/>
            <w:tcBorders>
              <w:tl2br w:val="nil"/>
              <w:tr2bl w:val="nil"/>
            </w:tcBorders>
            <w:noWrap w:val="0"/>
            <w:tcMar>
              <w:top w:w="15" w:type="dxa"/>
              <w:left w:w="15" w:type="dxa"/>
              <w:right w:w="15" w:type="dxa"/>
            </w:tcMar>
            <w:vAlign w:val="center"/>
          </w:tcPr>
          <w:p w14:paraId="7A004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汨罗市中天龙舟农机制造有限公司</w:t>
            </w:r>
          </w:p>
        </w:tc>
        <w:tc>
          <w:tcPr>
            <w:tcW w:w="608" w:type="dxa"/>
            <w:tcBorders>
              <w:tl2br w:val="nil"/>
              <w:tr2bl w:val="nil"/>
            </w:tcBorders>
            <w:noWrap w:val="0"/>
            <w:tcMar>
              <w:top w:w="15" w:type="dxa"/>
              <w:left w:w="15" w:type="dxa"/>
              <w:right w:w="15" w:type="dxa"/>
            </w:tcMar>
            <w:vAlign w:val="center"/>
          </w:tcPr>
          <w:p w14:paraId="719357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96665.7</w:t>
            </w:r>
          </w:p>
        </w:tc>
        <w:tc>
          <w:tcPr>
            <w:tcW w:w="750" w:type="dxa"/>
            <w:tcBorders>
              <w:tl2br w:val="nil"/>
              <w:tr2bl w:val="nil"/>
            </w:tcBorders>
            <w:noWrap/>
            <w:tcMar>
              <w:top w:w="15" w:type="dxa"/>
              <w:left w:w="15" w:type="dxa"/>
              <w:right w:w="15" w:type="dxa"/>
            </w:tcMar>
            <w:vAlign w:val="center"/>
          </w:tcPr>
          <w:p w14:paraId="5FCD81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2.06</w:t>
            </w:r>
          </w:p>
        </w:tc>
        <w:tc>
          <w:tcPr>
            <w:tcW w:w="990" w:type="dxa"/>
            <w:tcBorders>
              <w:tl2br w:val="nil"/>
              <w:tr2bl w:val="nil"/>
            </w:tcBorders>
            <w:noWrap/>
            <w:tcMar>
              <w:top w:w="15" w:type="dxa"/>
              <w:left w:w="15" w:type="dxa"/>
              <w:right w:w="15" w:type="dxa"/>
            </w:tcMar>
            <w:vAlign w:val="center"/>
          </w:tcPr>
          <w:p w14:paraId="26D5CB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0.622</w:t>
            </w:r>
          </w:p>
        </w:tc>
        <w:tc>
          <w:tcPr>
            <w:tcW w:w="901" w:type="dxa"/>
            <w:tcBorders>
              <w:tl2br w:val="nil"/>
              <w:tr2bl w:val="nil"/>
            </w:tcBorders>
            <w:noWrap/>
            <w:tcMar>
              <w:top w:w="15" w:type="dxa"/>
              <w:left w:w="15" w:type="dxa"/>
              <w:right w:w="15" w:type="dxa"/>
            </w:tcMar>
            <w:vAlign w:val="center"/>
          </w:tcPr>
          <w:p w14:paraId="30ECED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6.109</w:t>
            </w:r>
          </w:p>
        </w:tc>
        <w:tc>
          <w:tcPr>
            <w:tcW w:w="1250" w:type="dxa"/>
            <w:tcBorders>
              <w:tl2br w:val="nil"/>
              <w:tr2bl w:val="nil"/>
            </w:tcBorders>
            <w:noWrap/>
            <w:tcMar>
              <w:top w:w="15" w:type="dxa"/>
              <w:left w:w="15" w:type="dxa"/>
              <w:right w:w="15" w:type="dxa"/>
            </w:tcMar>
            <w:vAlign w:val="center"/>
          </w:tcPr>
          <w:p w14:paraId="38CF9C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1.844</w:t>
            </w:r>
          </w:p>
        </w:tc>
        <w:tc>
          <w:tcPr>
            <w:tcW w:w="2367" w:type="dxa"/>
            <w:tcBorders>
              <w:tl2br w:val="nil"/>
              <w:tr2bl w:val="nil"/>
            </w:tcBorders>
            <w:noWrap w:val="0"/>
            <w:tcMar>
              <w:top w:w="15" w:type="dxa"/>
              <w:left w:w="15" w:type="dxa"/>
              <w:right w:w="15" w:type="dxa"/>
            </w:tcMar>
            <w:vAlign w:val="center"/>
          </w:tcPr>
          <w:p w14:paraId="3E0936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甲苯0.0253，二甲苯0.259</w:t>
            </w:r>
          </w:p>
        </w:tc>
        <w:tc>
          <w:tcPr>
            <w:tcW w:w="1170" w:type="dxa"/>
            <w:tcBorders>
              <w:tl2br w:val="nil"/>
              <w:tr2bl w:val="nil"/>
            </w:tcBorders>
            <w:noWrap/>
            <w:tcMar>
              <w:top w:w="15" w:type="dxa"/>
              <w:left w:w="15" w:type="dxa"/>
              <w:right w:w="15" w:type="dxa"/>
            </w:tcMar>
            <w:vAlign w:val="center"/>
          </w:tcPr>
          <w:p w14:paraId="0A3BA55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21300</w:t>
            </w:r>
          </w:p>
        </w:tc>
        <w:tc>
          <w:tcPr>
            <w:tcW w:w="1061" w:type="dxa"/>
            <w:tcBorders>
              <w:tl2br w:val="nil"/>
              <w:tr2bl w:val="nil"/>
            </w:tcBorders>
            <w:noWrap/>
            <w:tcMar>
              <w:top w:w="15" w:type="dxa"/>
              <w:left w:w="15" w:type="dxa"/>
              <w:right w:w="15" w:type="dxa"/>
            </w:tcMar>
            <w:vAlign w:val="center"/>
          </w:tcPr>
          <w:p w14:paraId="01C118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0.33</w:t>
            </w:r>
          </w:p>
        </w:tc>
        <w:tc>
          <w:tcPr>
            <w:tcW w:w="953" w:type="dxa"/>
            <w:tcBorders>
              <w:tl2br w:val="nil"/>
              <w:tr2bl w:val="nil"/>
            </w:tcBorders>
            <w:noWrap/>
            <w:tcMar>
              <w:top w:w="15" w:type="dxa"/>
              <w:left w:w="15" w:type="dxa"/>
              <w:right w:w="15" w:type="dxa"/>
            </w:tcMar>
            <w:vAlign w:val="center"/>
          </w:tcPr>
          <w:p w14:paraId="1C1474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0.066</w:t>
            </w:r>
          </w:p>
        </w:tc>
        <w:tc>
          <w:tcPr>
            <w:tcW w:w="1861" w:type="dxa"/>
            <w:tcBorders>
              <w:tl2br w:val="nil"/>
              <w:tr2bl w:val="nil"/>
            </w:tcBorders>
            <w:noWrap/>
            <w:tcMar>
              <w:top w:w="15" w:type="dxa"/>
              <w:left w:w="15" w:type="dxa"/>
              <w:right w:w="15" w:type="dxa"/>
            </w:tcMar>
            <w:vAlign w:val="center"/>
          </w:tcPr>
          <w:p w14:paraId="1709E3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1E823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BEF7DE4">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7</w:t>
            </w:r>
          </w:p>
        </w:tc>
        <w:tc>
          <w:tcPr>
            <w:tcW w:w="1526" w:type="dxa"/>
            <w:tcBorders>
              <w:tl2br w:val="nil"/>
              <w:tr2bl w:val="nil"/>
            </w:tcBorders>
            <w:noWrap w:val="0"/>
            <w:tcMar>
              <w:top w:w="15" w:type="dxa"/>
              <w:left w:w="15" w:type="dxa"/>
              <w:right w:w="15" w:type="dxa"/>
            </w:tcMar>
            <w:vAlign w:val="center"/>
          </w:tcPr>
          <w:p w14:paraId="4C3616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湖南九喜科技股份有限公司</w:t>
            </w:r>
          </w:p>
        </w:tc>
        <w:tc>
          <w:tcPr>
            <w:tcW w:w="608" w:type="dxa"/>
            <w:tcBorders>
              <w:tl2br w:val="nil"/>
              <w:tr2bl w:val="nil"/>
            </w:tcBorders>
            <w:noWrap w:val="0"/>
            <w:tcMar>
              <w:top w:w="15" w:type="dxa"/>
              <w:left w:w="15" w:type="dxa"/>
              <w:right w:w="15" w:type="dxa"/>
            </w:tcMar>
            <w:vAlign w:val="center"/>
          </w:tcPr>
          <w:p w14:paraId="542372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57000</w:t>
            </w:r>
          </w:p>
        </w:tc>
        <w:tc>
          <w:tcPr>
            <w:tcW w:w="750" w:type="dxa"/>
            <w:tcBorders>
              <w:tl2br w:val="nil"/>
              <w:tr2bl w:val="nil"/>
            </w:tcBorders>
            <w:noWrap/>
            <w:tcMar>
              <w:top w:w="15" w:type="dxa"/>
              <w:left w:w="15" w:type="dxa"/>
              <w:right w:w="15" w:type="dxa"/>
            </w:tcMar>
            <w:vAlign w:val="center"/>
          </w:tcPr>
          <w:p w14:paraId="172DDA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0" w:type="dxa"/>
            <w:tcBorders>
              <w:tl2br w:val="nil"/>
              <w:tr2bl w:val="nil"/>
            </w:tcBorders>
            <w:noWrap/>
            <w:tcMar>
              <w:top w:w="15" w:type="dxa"/>
              <w:left w:w="15" w:type="dxa"/>
              <w:right w:w="15" w:type="dxa"/>
            </w:tcMar>
            <w:vAlign w:val="center"/>
          </w:tcPr>
          <w:p w14:paraId="7B8077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13.1</w:t>
            </w:r>
          </w:p>
        </w:tc>
        <w:tc>
          <w:tcPr>
            <w:tcW w:w="901" w:type="dxa"/>
            <w:tcBorders>
              <w:tl2br w:val="nil"/>
              <w:tr2bl w:val="nil"/>
            </w:tcBorders>
            <w:noWrap/>
            <w:tcMar>
              <w:top w:w="15" w:type="dxa"/>
              <w:left w:w="15" w:type="dxa"/>
              <w:right w:w="15" w:type="dxa"/>
            </w:tcMar>
            <w:vAlign w:val="center"/>
          </w:tcPr>
          <w:p w14:paraId="6B4EFD2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2.5</w:t>
            </w:r>
          </w:p>
        </w:tc>
        <w:tc>
          <w:tcPr>
            <w:tcW w:w="1250" w:type="dxa"/>
            <w:tcBorders>
              <w:tl2br w:val="nil"/>
              <w:tr2bl w:val="nil"/>
            </w:tcBorders>
            <w:noWrap/>
            <w:tcMar>
              <w:top w:w="15" w:type="dxa"/>
              <w:left w:w="15" w:type="dxa"/>
              <w:right w:w="15" w:type="dxa"/>
            </w:tcMar>
            <w:vAlign w:val="center"/>
          </w:tcPr>
          <w:p w14:paraId="638930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3137BD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7969B7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34432F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2.5</w:t>
            </w:r>
          </w:p>
        </w:tc>
        <w:tc>
          <w:tcPr>
            <w:tcW w:w="953" w:type="dxa"/>
            <w:tcBorders>
              <w:tl2br w:val="nil"/>
              <w:tr2bl w:val="nil"/>
            </w:tcBorders>
            <w:noWrap/>
            <w:tcMar>
              <w:top w:w="15" w:type="dxa"/>
              <w:left w:w="15" w:type="dxa"/>
              <w:right w:w="15" w:type="dxa"/>
            </w:tcMar>
            <w:vAlign w:val="center"/>
          </w:tcPr>
          <w:p w14:paraId="1CCDC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1861" w:type="dxa"/>
            <w:tcBorders>
              <w:tl2br w:val="nil"/>
              <w:tr2bl w:val="nil"/>
            </w:tcBorders>
            <w:noWrap/>
            <w:tcMar>
              <w:top w:w="15" w:type="dxa"/>
              <w:left w:w="15" w:type="dxa"/>
              <w:right w:w="15" w:type="dxa"/>
            </w:tcMar>
            <w:vAlign w:val="center"/>
          </w:tcPr>
          <w:p w14:paraId="0B9ADA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6CB8FF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6A8B02F">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8</w:t>
            </w:r>
          </w:p>
        </w:tc>
        <w:tc>
          <w:tcPr>
            <w:tcW w:w="1526" w:type="dxa"/>
            <w:tcBorders>
              <w:tl2br w:val="nil"/>
              <w:tr2bl w:val="nil"/>
            </w:tcBorders>
            <w:noWrap w:val="0"/>
            <w:tcMar>
              <w:top w:w="15" w:type="dxa"/>
              <w:left w:w="15" w:type="dxa"/>
              <w:right w:w="15" w:type="dxa"/>
            </w:tcMar>
            <w:vAlign w:val="center"/>
          </w:tcPr>
          <w:p w14:paraId="6C462C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湖南炯铜科技有限公司</w:t>
            </w:r>
          </w:p>
        </w:tc>
        <w:tc>
          <w:tcPr>
            <w:tcW w:w="608" w:type="dxa"/>
            <w:tcBorders>
              <w:tl2br w:val="nil"/>
              <w:tr2bl w:val="nil"/>
            </w:tcBorders>
            <w:noWrap w:val="0"/>
            <w:tcMar>
              <w:top w:w="15" w:type="dxa"/>
              <w:left w:w="15" w:type="dxa"/>
              <w:right w:w="15" w:type="dxa"/>
            </w:tcMar>
            <w:vAlign w:val="center"/>
          </w:tcPr>
          <w:p w14:paraId="05E130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15800</w:t>
            </w:r>
          </w:p>
        </w:tc>
        <w:tc>
          <w:tcPr>
            <w:tcW w:w="750" w:type="dxa"/>
            <w:tcBorders>
              <w:tl2br w:val="nil"/>
              <w:tr2bl w:val="nil"/>
            </w:tcBorders>
            <w:noWrap/>
            <w:tcMar>
              <w:top w:w="15" w:type="dxa"/>
              <w:left w:w="15" w:type="dxa"/>
              <w:right w:w="15" w:type="dxa"/>
            </w:tcMar>
            <w:vAlign w:val="center"/>
          </w:tcPr>
          <w:p w14:paraId="6411D9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2.018</w:t>
            </w:r>
          </w:p>
        </w:tc>
        <w:tc>
          <w:tcPr>
            <w:tcW w:w="990" w:type="dxa"/>
            <w:tcBorders>
              <w:tl2br w:val="nil"/>
              <w:tr2bl w:val="nil"/>
            </w:tcBorders>
            <w:noWrap/>
            <w:tcMar>
              <w:top w:w="15" w:type="dxa"/>
              <w:left w:w="15" w:type="dxa"/>
              <w:right w:w="15" w:type="dxa"/>
            </w:tcMar>
            <w:vAlign w:val="center"/>
          </w:tcPr>
          <w:p w14:paraId="34C7BB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0.338</w:t>
            </w:r>
          </w:p>
        </w:tc>
        <w:tc>
          <w:tcPr>
            <w:tcW w:w="901" w:type="dxa"/>
            <w:tcBorders>
              <w:tl2br w:val="nil"/>
              <w:tr2bl w:val="nil"/>
            </w:tcBorders>
            <w:noWrap/>
            <w:tcMar>
              <w:top w:w="15" w:type="dxa"/>
              <w:left w:w="15" w:type="dxa"/>
              <w:right w:w="15" w:type="dxa"/>
            </w:tcMar>
            <w:vAlign w:val="center"/>
          </w:tcPr>
          <w:p w14:paraId="3DEC3A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4.13</w:t>
            </w:r>
          </w:p>
        </w:tc>
        <w:tc>
          <w:tcPr>
            <w:tcW w:w="1250" w:type="dxa"/>
            <w:tcBorders>
              <w:tl2br w:val="nil"/>
              <w:tr2bl w:val="nil"/>
            </w:tcBorders>
            <w:noWrap/>
            <w:tcMar>
              <w:top w:w="15" w:type="dxa"/>
              <w:left w:w="15" w:type="dxa"/>
              <w:right w:w="15" w:type="dxa"/>
            </w:tcMar>
            <w:vAlign w:val="center"/>
          </w:tcPr>
          <w:p w14:paraId="1493B0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6DAD97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铅2.46kg/a，砷0.11kg/a，锡0.6，锑0.6，镉0.11kg/a，铬0.16kg/a，铜27kg/a，二噁英30.5mgTEQ/a</w:t>
            </w:r>
          </w:p>
        </w:tc>
        <w:tc>
          <w:tcPr>
            <w:tcW w:w="1170" w:type="dxa"/>
            <w:tcBorders>
              <w:tl2br w:val="nil"/>
              <w:tr2bl w:val="nil"/>
            </w:tcBorders>
            <w:noWrap/>
            <w:tcMar>
              <w:top w:w="15" w:type="dxa"/>
              <w:left w:w="15" w:type="dxa"/>
              <w:right w:w="15" w:type="dxa"/>
            </w:tcMar>
            <w:vAlign w:val="center"/>
          </w:tcPr>
          <w:p w14:paraId="357115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3132</w:t>
            </w:r>
          </w:p>
        </w:tc>
        <w:tc>
          <w:tcPr>
            <w:tcW w:w="1061" w:type="dxa"/>
            <w:tcBorders>
              <w:tl2br w:val="nil"/>
              <w:tr2bl w:val="nil"/>
            </w:tcBorders>
            <w:noWrap/>
            <w:tcMar>
              <w:top w:w="15" w:type="dxa"/>
              <w:left w:w="15" w:type="dxa"/>
              <w:right w:w="15" w:type="dxa"/>
            </w:tcMar>
            <w:vAlign w:val="center"/>
          </w:tcPr>
          <w:p w14:paraId="091CA4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0.93</w:t>
            </w:r>
          </w:p>
        </w:tc>
        <w:tc>
          <w:tcPr>
            <w:tcW w:w="953" w:type="dxa"/>
            <w:tcBorders>
              <w:tl2br w:val="nil"/>
              <w:tr2bl w:val="nil"/>
            </w:tcBorders>
            <w:noWrap/>
            <w:tcMar>
              <w:top w:w="15" w:type="dxa"/>
              <w:left w:w="15" w:type="dxa"/>
              <w:right w:w="15" w:type="dxa"/>
            </w:tcMar>
            <w:vAlign w:val="center"/>
          </w:tcPr>
          <w:p w14:paraId="09617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w:t>
            </w:r>
          </w:p>
        </w:tc>
        <w:tc>
          <w:tcPr>
            <w:tcW w:w="1861" w:type="dxa"/>
            <w:tcBorders>
              <w:tl2br w:val="nil"/>
              <w:tr2bl w:val="nil"/>
            </w:tcBorders>
            <w:noWrap/>
            <w:tcMar>
              <w:top w:w="15" w:type="dxa"/>
              <w:left w:w="15" w:type="dxa"/>
              <w:right w:w="15" w:type="dxa"/>
            </w:tcMar>
            <w:vAlign w:val="center"/>
          </w:tcPr>
          <w:p w14:paraId="116704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81C4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232D998">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w w:val="99"/>
                <w:sz w:val="21"/>
                <w:szCs w:val="21"/>
                <w:u w:val="none" w:color="auto"/>
              </w:rPr>
              <w:t>9</w:t>
            </w:r>
          </w:p>
        </w:tc>
        <w:tc>
          <w:tcPr>
            <w:tcW w:w="1526" w:type="dxa"/>
            <w:tcBorders>
              <w:tl2br w:val="nil"/>
              <w:tr2bl w:val="nil"/>
            </w:tcBorders>
            <w:noWrap w:val="0"/>
            <w:tcMar>
              <w:top w:w="15" w:type="dxa"/>
              <w:left w:w="15" w:type="dxa"/>
              <w:right w:w="15" w:type="dxa"/>
            </w:tcMar>
            <w:vAlign w:val="center"/>
          </w:tcPr>
          <w:p w14:paraId="534839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snapToGrid w:val="0"/>
                <w:color w:val="auto"/>
                <w:kern w:val="0"/>
                <w:sz w:val="21"/>
                <w:szCs w:val="21"/>
                <w:u w:val="none" w:color="auto"/>
                <w:lang w:val="en-US" w:eastAsia="zh-CN" w:bidi="ar"/>
              </w:rPr>
              <w:t>湖南湘联新材料科技有限公司（原</w:t>
            </w:r>
            <w:r>
              <w:rPr>
                <w:rFonts w:hint="default" w:ascii="Times New Roman" w:hAnsi="Times New Roman" w:eastAsia="宋体" w:cs="Times New Roman"/>
                <w:i w:val="0"/>
                <w:snapToGrid w:val="0"/>
                <w:color w:val="auto"/>
                <w:kern w:val="0"/>
                <w:sz w:val="21"/>
                <w:szCs w:val="21"/>
                <w:u w:val="none" w:color="auto"/>
                <w:lang w:val="en-US" w:eastAsia="zh-CN" w:bidi="ar"/>
              </w:rPr>
              <w:t>湖南展卓新材料科技有限公司</w:t>
            </w:r>
            <w:r>
              <w:rPr>
                <w:rFonts w:hint="eastAsia" w:ascii="Times New Roman" w:hAnsi="Times New Roman" w:eastAsia="宋体" w:cs="Times New Roman"/>
                <w:i w:val="0"/>
                <w:snapToGrid w:val="0"/>
                <w:color w:val="auto"/>
                <w:kern w:val="0"/>
                <w:sz w:val="21"/>
                <w:szCs w:val="21"/>
                <w:u w:val="none" w:color="auto"/>
                <w:lang w:val="en-US" w:eastAsia="zh-CN" w:bidi="ar"/>
              </w:rPr>
              <w:t>）</w:t>
            </w:r>
          </w:p>
        </w:tc>
        <w:tc>
          <w:tcPr>
            <w:tcW w:w="608" w:type="dxa"/>
            <w:tcBorders>
              <w:tl2br w:val="nil"/>
              <w:tr2bl w:val="nil"/>
            </w:tcBorders>
            <w:noWrap w:val="0"/>
            <w:tcMar>
              <w:top w:w="15" w:type="dxa"/>
              <w:left w:w="15" w:type="dxa"/>
              <w:right w:w="15" w:type="dxa"/>
            </w:tcMar>
            <w:vAlign w:val="center"/>
          </w:tcPr>
          <w:p w14:paraId="0DE395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284772</w:t>
            </w:r>
          </w:p>
        </w:tc>
        <w:tc>
          <w:tcPr>
            <w:tcW w:w="750" w:type="dxa"/>
            <w:tcBorders>
              <w:tl2br w:val="nil"/>
              <w:tr2bl w:val="nil"/>
            </w:tcBorders>
            <w:noWrap/>
            <w:tcMar>
              <w:top w:w="15" w:type="dxa"/>
              <w:left w:w="15" w:type="dxa"/>
              <w:right w:w="15" w:type="dxa"/>
            </w:tcMar>
            <w:vAlign w:val="center"/>
          </w:tcPr>
          <w:p w14:paraId="63D14D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0.326</w:t>
            </w:r>
          </w:p>
        </w:tc>
        <w:tc>
          <w:tcPr>
            <w:tcW w:w="990" w:type="dxa"/>
            <w:tcBorders>
              <w:tl2br w:val="nil"/>
              <w:tr2bl w:val="nil"/>
            </w:tcBorders>
            <w:noWrap/>
            <w:tcMar>
              <w:top w:w="15" w:type="dxa"/>
              <w:left w:w="15" w:type="dxa"/>
              <w:right w:w="15" w:type="dxa"/>
            </w:tcMar>
            <w:vAlign w:val="center"/>
          </w:tcPr>
          <w:p w14:paraId="22CC7E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0.352</w:t>
            </w:r>
          </w:p>
        </w:tc>
        <w:tc>
          <w:tcPr>
            <w:tcW w:w="901" w:type="dxa"/>
            <w:tcBorders>
              <w:tl2br w:val="nil"/>
              <w:tr2bl w:val="nil"/>
            </w:tcBorders>
            <w:noWrap/>
            <w:tcMar>
              <w:top w:w="15" w:type="dxa"/>
              <w:left w:w="15" w:type="dxa"/>
              <w:right w:w="15" w:type="dxa"/>
            </w:tcMar>
            <w:vAlign w:val="center"/>
          </w:tcPr>
          <w:p w14:paraId="072838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0.348</w:t>
            </w:r>
          </w:p>
        </w:tc>
        <w:tc>
          <w:tcPr>
            <w:tcW w:w="1250" w:type="dxa"/>
            <w:tcBorders>
              <w:tl2br w:val="nil"/>
              <w:tr2bl w:val="nil"/>
            </w:tcBorders>
            <w:noWrap/>
            <w:tcMar>
              <w:top w:w="15" w:type="dxa"/>
              <w:left w:w="15" w:type="dxa"/>
              <w:right w:w="15" w:type="dxa"/>
            </w:tcMar>
            <w:vAlign w:val="center"/>
          </w:tcPr>
          <w:p w14:paraId="1C3001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0.712</w:t>
            </w:r>
          </w:p>
        </w:tc>
        <w:tc>
          <w:tcPr>
            <w:tcW w:w="2367" w:type="dxa"/>
            <w:tcBorders>
              <w:tl2br w:val="nil"/>
              <w:tr2bl w:val="nil"/>
            </w:tcBorders>
            <w:noWrap w:val="0"/>
            <w:tcMar>
              <w:top w:w="15" w:type="dxa"/>
              <w:left w:w="15" w:type="dxa"/>
              <w:right w:w="15" w:type="dxa"/>
            </w:tcMar>
            <w:vAlign w:val="center"/>
          </w:tcPr>
          <w:p w14:paraId="2824C0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铅4.4kg/a，镉0.18kg/a，砷4.46kg/a，锡0.48kg/a，锑3.57kg/a，铬0.24kg/a，铜11.2kg/a，二噁英0.0254gTEQ/a</w:t>
            </w:r>
          </w:p>
        </w:tc>
        <w:tc>
          <w:tcPr>
            <w:tcW w:w="1170" w:type="dxa"/>
            <w:tcBorders>
              <w:tl2br w:val="nil"/>
              <w:tr2bl w:val="nil"/>
            </w:tcBorders>
            <w:noWrap/>
            <w:tcMar>
              <w:top w:w="15" w:type="dxa"/>
              <w:left w:w="15" w:type="dxa"/>
              <w:right w:w="15" w:type="dxa"/>
            </w:tcMar>
            <w:vAlign w:val="center"/>
          </w:tcPr>
          <w:p w14:paraId="42D980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5286</w:t>
            </w:r>
          </w:p>
        </w:tc>
        <w:tc>
          <w:tcPr>
            <w:tcW w:w="1061" w:type="dxa"/>
            <w:tcBorders>
              <w:tl2br w:val="nil"/>
              <w:tr2bl w:val="nil"/>
            </w:tcBorders>
            <w:noWrap/>
            <w:tcMar>
              <w:top w:w="15" w:type="dxa"/>
              <w:left w:w="15" w:type="dxa"/>
              <w:right w:w="15" w:type="dxa"/>
            </w:tcMar>
            <w:vAlign w:val="center"/>
          </w:tcPr>
          <w:p w14:paraId="2B1A36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1.57</w:t>
            </w:r>
          </w:p>
        </w:tc>
        <w:tc>
          <w:tcPr>
            <w:tcW w:w="953" w:type="dxa"/>
            <w:tcBorders>
              <w:tl2br w:val="nil"/>
              <w:tr2bl w:val="nil"/>
            </w:tcBorders>
            <w:noWrap/>
            <w:tcMar>
              <w:top w:w="15" w:type="dxa"/>
              <w:left w:w="15" w:type="dxa"/>
              <w:right w:w="15" w:type="dxa"/>
            </w:tcMar>
            <w:vAlign w:val="center"/>
          </w:tcPr>
          <w:p w14:paraId="614597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0.153</w:t>
            </w:r>
          </w:p>
        </w:tc>
        <w:tc>
          <w:tcPr>
            <w:tcW w:w="1861" w:type="dxa"/>
            <w:tcBorders>
              <w:tl2br w:val="nil"/>
              <w:tr2bl w:val="nil"/>
            </w:tcBorders>
            <w:noWrap/>
            <w:tcMar>
              <w:top w:w="15" w:type="dxa"/>
              <w:left w:w="15" w:type="dxa"/>
              <w:right w:w="15" w:type="dxa"/>
            </w:tcMar>
            <w:vAlign w:val="center"/>
          </w:tcPr>
          <w:p w14:paraId="4A4E42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0AD6D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E541CC9">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10</w:t>
            </w:r>
          </w:p>
        </w:tc>
        <w:tc>
          <w:tcPr>
            <w:tcW w:w="1526" w:type="dxa"/>
            <w:tcBorders>
              <w:tl2br w:val="nil"/>
              <w:tr2bl w:val="nil"/>
            </w:tcBorders>
            <w:noWrap w:val="0"/>
            <w:tcMar>
              <w:top w:w="15" w:type="dxa"/>
              <w:left w:w="15" w:type="dxa"/>
              <w:right w:w="15" w:type="dxa"/>
            </w:tcMar>
            <w:vAlign w:val="center"/>
          </w:tcPr>
          <w:p w14:paraId="58B6E1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汨罗市正利有色金属有限公司</w:t>
            </w:r>
          </w:p>
        </w:tc>
        <w:tc>
          <w:tcPr>
            <w:tcW w:w="608" w:type="dxa"/>
            <w:tcBorders>
              <w:tl2br w:val="nil"/>
              <w:tr2bl w:val="nil"/>
            </w:tcBorders>
            <w:noWrap w:val="0"/>
            <w:tcMar>
              <w:top w:w="15" w:type="dxa"/>
              <w:left w:w="15" w:type="dxa"/>
              <w:right w:w="15" w:type="dxa"/>
            </w:tcMar>
            <w:vAlign w:val="center"/>
          </w:tcPr>
          <w:p w14:paraId="0DF470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11400</w:t>
            </w:r>
          </w:p>
        </w:tc>
        <w:tc>
          <w:tcPr>
            <w:tcW w:w="750" w:type="dxa"/>
            <w:tcBorders>
              <w:tl2br w:val="nil"/>
              <w:tr2bl w:val="nil"/>
            </w:tcBorders>
            <w:noWrap/>
            <w:tcMar>
              <w:top w:w="15" w:type="dxa"/>
              <w:left w:w="15" w:type="dxa"/>
              <w:right w:w="15" w:type="dxa"/>
            </w:tcMar>
            <w:vAlign w:val="center"/>
          </w:tcPr>
          <w:p w14:paraId="0E1811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0.5</w:t>
            </w:r>
          </w:p>
        </w:tc>
        <w:tc>
          <w:tcPr>
            <w:tcW w:w="990" w:type="dxa"/>
            <w:tcBorders>
              <w:tl2br w:val="nil"/>
              <w:tr2bl w:val="nil"/>
            </w:tcBorders>
            <w:noWrap/>
            <w:tcMar>
              <w:top w:w="15" w:type="dxa"/>
              <w:left w:w="15" w:type="dxa"/>
              <w:right w:w="15" w:type="dxa"/>
            </w:tcMar>
            <w:vAlign w:val="center"/>
          </w:tcPr>
          <w:p w14:paraId="3F5A8E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1EF7F1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189B6E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131837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5B6239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53D9E1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w:t>
            </w:r>
          </w:p>
        </w:tc>
        <w:tc>
          <w:tcPr>
            <w:tcW w:w="953" w:type="dxa"/>
            <w:tcBorders>
              <w:tl2br w:val="nil"/>
              <w:tr2bl w:val="nil"/>
            </w:tcBorders>
            <w:noWrap/>
            <w:tcMar>
              <w:top w:w="15" w:type="dxa"/>
              <w:left w:w="15" w:type="dxa"/>
              <w:right w:w="15" w:type="dxa"/>
            </w:tcMar>
            <w:vAlign w:val="center"/>
          </w:tcPr>
          <w:p w14:paraId="4A90A8B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1861" w:type="dxa"/>
            <w:tcBorders>
              <w:tl2br w:val="nil"/>
              <w:tr2bl w:val="nil"/>
            </w:tcBorders>
            <w:noWrap/>
            <w:tcMar>
              <w:top w:w="15" w:type="dxa"/>
              <w:left w:w="15" w:type="dxa"/>
              <w:right w:w="15" w:type="dxa"/>
            </w:tcMar>
            <w:vAlign w:val="center"/>
          </w:tcPr>
          <w:p w14:paraId="0A7C280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1C4214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F5D2791">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rPr>
            </w:pPr>
          </w:p>
          <w:p w14:paraId="1579A52F">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11</w:t>
            </w:r>
          </w:p>
        </w:tc>
        <w:tc>
          <w:tcPr>
            <w:tcW w:w="1526" w:type="dxa"/>
            <w:tcBorders>
              <w:tl2br w:val="nil"/>
              <w:tr2bl w:val="nil"/>
            </w:tcBorders>
            <w:noWrap w:val="0"/>
            <w:tcMar>
              <w:top w:w="15" w:type="dxa"/>
              <w:left w:w="15" w:type="dxa"/>
              <w:right w:w="15" w:type="dxa"/>
            </w:tcMar>
            <w:vAlign w:val="center"/>
          </w:tcPr>
          <w:p w14:paraId="30E705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湖南省森阳中科新材料有限公司</w:t>
            </w:r>
          </w:p>
        </w:tc>
        <w:tc>
          <w:tcPr>
            <w:tcW w:w="608" w:type="dxa"/>
            <w:tcBorders>
              <w:tl2br w:val="nil"/>
              <w:tr2bl w:val="nil"/>
            </w:tcBorders>
            <w:noWrap w:val="0"/>
            <w:tcMar>
              <w:top w:w="15" w:type="dxa"/>
              <w:left w:w="15" w:type="dxa"/>
              <w:right w:w="15" w:type="dxa"/>
            </w:tcMar>
            <w:vAlign w:val="center"/>
          </w:tcPr>
          <w:p w14:paraId="50B7CC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75690</w:t>
            </w:r>
          </w:p>
        </w:tc>
        <w:tc>
          <w:tcPr>
            <w:tcW w:w="750" w:type="dxa"/>
            <w:tcBorders>
              <w:tl2br w:val="nil"/>
              <w:tr2bl w:val="nil"/>
            </w:tcBorders>
            <w:noWrap/>
            <w:tcMar>
              <w:top w:w="15" w:type="dxa"/>
              <w:left w:w="15" w:type="dxa"/>
              <w:right w:w="15" w:type="dxa"/>
            </w:tcMar>
            <w:vAlign w:val="center"/>
          </w:tcPr>
          <w:p w14:paraId="1039A9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1.6547</w:t>
            </w:r>
          </w:p>
        </w:tc>
        <w:tc>
          <w:tcPr>
            <w:tcW w:w="990" w:type="dxa"/>
            <w:tcBorders>
              <w:tl2br w:val="nil"/>
              <w:tr2bl w:val="nil"/>
            </w:tcBorders>
            <w:noWrap/>
            <w:tcMar>
              <w:top w:w="15" w:type="dxa"/>
              <w:left w:w="15" w:type="dxa"/>
              <w:right w:w="15" w:type="dxa"/>
            </w:tcMar>
            <w:vAlign w:val="center"/>
          </w:tcPr>
          <w:p w14:paraId="025A52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2.8872</w:t>
            </w:r>
          </w:p>
        </w:tc>
        <w:tc>
          <w:tcPr>
            <w:tcW w:w="901" w:type="dxa"/>
            <w:tcBorders>
              <w:tl2br w:val="nil"/>
              <w:tr2bl w:val="nil"/>
            </w:tcBorders>
            <w:noWrap/>
            <w:tcMar>
              <w:top w:w="15" w:type="dxa"/>
              <w:left w:w="15" w:type="dxa"/>
              <w:right w:w="15" w:type="dxa"/>
            </w:tcMar>
            <w:vAlign w:val="center"/>
          </w:tcPr>
          <w:p w14:paraId="37E55A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5.49</w:t>
            </w:r>
          </w:p>
        </w:tc>
        <w:tc>
          <w:tcPr>
            <w:tcW w:w="1250" w:type="dxa"/>
            <w:tcBorders>
              <w:tl2br w:val="nil"/>
              <w:tr2bl w:val="nil"/>
            </w:tcBorders>
            <w:noWrap/>
            <w:tcMar>
              <w:top w:w="15" w:type="dxa"/>
              <w:left w:w="15" w:type="dxa"/>
              <w:right w:w="15" w:type="dxa"/>
            </w:tcMar>
            <w:vAlign w:val="center"/>
          </w:tcPr>
          <w:p w14:paraId="180523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15D88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铅0.0067，砷0.000094，锡0.000299，锑0.021，镉0.000114，铬0.0038，铜0.036，二噁英41.4114mgTEQ/a</w:t>
            </w:r>
          </w:p>
        </w:tc>
        <w:tc>
          <w:tcPr>
            <w:tcW w:w="1170" w:type="dxa"/>
            <w:tcBorders>
              <w:tl2br w:val="nil"/>
              <w:tr2bl w:val="nil"/>
            </w:tcBorders>
            <w:noWrap/>
            <w:tcMar>
              <w:top w:w="15" w:type="dxa"/>
              <w:left w:w="15" w:type="dxa"/>
              <w:right w:w="15" w:type="dxa"/>
            </w:tcMar>
            <w:vAlign w:val="center"/>
          </w:tcPr>
          <w:p w14:paraId="71E5C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2679.6</w:t>
            </w:r>
          </w:p>
        </w:tc>
        <w:tc>
          <w:tcPr>
            <w:tcW w:w="1061" w:type="dxa"/>
            <w:tcBorders>
              <w:tl2br w:val="nil"/>
              <w:tr2bl w:val="nil"/>
            </w:tcBorders>
            <w:noWrap/>
            <w:tcMar>
              <w:top w:w="15" w:type="dxa"/>
              <w:left w:w="15" w:type="dxa"/>
              <w:right w:w="15" w:type="dxa"/>
            </w:tcMar>
            <w:vAlign w:val="center"/>
          </w:tcPr>
          <w:p w14:paraId="785E52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0.8</w:t>
            </w:r>
          </w:p>
        </w:tc>
        <w:tc>
          <w:tcPr>
            <w:tcW w:w="953" w:type="dxa"/>
            <w:tcBorders>
              <w:tl2br w:val="nil"/>
              <w:tr2bl w:val="nil"/>
            </w:tcBorders>
            <w:noWrap/>
            <w:tcMar>
              <w:top w:w="15" w:type="dxa"/>
              <w:left w:w="15" w:type="dxa"/>
              <w:right w:w="15" w:type="dxa"/>
            </w:tcMar>
            <w:vAlign w:val="center"/>
          </w:tcPr>
          <w:p w14:paraId="01DB4F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0.078</w:t>
            </w:r>
          </w:p>
        </w:tc>
        <w:tc>
          <w:tcPr>
            <w:tcW w:w="1861" w:type="dxa"/>
            <w:tcBorders>
              <w:tl2br w:val="nil"/>
              <w:tr2bl w:val="nil"/>
            </w:tcBorders>
            <w:noWrap/>
            <w:tcMar>
              <w:top w:w="15" w:type="dxa"/>
              <w:left w:w="15" w:type="dxa"/>
              <w:right w:w="15" w:type="dxa"/>
            </w:tcMar>
            <w:vAlign w:val="center"/>
          </w:tcPr>
          <w:p w14:paraId="7724F5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3A4C2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2BD4300">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12</w:t>
            </w:r>
          </w:p>
        </w:tc>
        <w:tc>
          <w:tcPr>
            <w:tcW w:w="1526" w:type="dxa"/>
            <w:tcBorders>
              <w:tl2br w:val="nil"/>
              <w:tr2bl w:val="nil"/>
            </w:tcBorders>
            <w:noWrap w:val="0"/>
            <w:tcMar>
              <w:top w:w="15" w:type="dxa"/>
              <w:left w:w="15" w:type="dxa"/>
              <w:right w:w="15" w:type="dxa"/>
            </w:tcMar>
            <w:vAlign w:val="center"/>
          </w:tcPr>
          <w:p w14:paraId="0CA06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湖南三兴精密工业股份有限公司</w:t>
            </w:r>
          </w:p>
        </w:tc>
        <w:tc>
          <w:tcPr>
            <w:tcW w:w="608" w:type="dxa"/>
            <w:tcBorders>
              <w:tl2br w:val="nil"/>
              <w:tr2bl w:val="nil"/>
            </w:tcBorders>
            <w:noWrap w:val="0"/>
            <w:tcMar>
              <w:top w:w="15" w:type="dxa"/>
              <w:left w:w="15" w:type="dxa"/>
              <w:right w:w="15" w:type="dxa"/>
            </w:tcMar>
            <w:vAlign w:val="center"/>
          </w:tcPr>
          <w:p w14:paraId="7EFD8B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41759</w:t>
            </w:r>
          </w:p>
        </w:tc>
        <w:tc>
          <w:tcPr>
            <w:tcW w:w="750" w:type="dxa"/>
            <w:tcBorders>
              <w:tl2br w:val="nil"/>
              <w:tr2bl w:val="nil"/>
            </w:tcBorders>
            <w:noWrap/>
            <w:tcMar>
              <w:top w:w="15" w:type="dxa"/>
              <w:left w:w="15" w:type="dxa"/>
              <w:right w:w="15" w:type="dxa"/>
            </w:tcMar>
            <w:vAlign w:val="center"/>
          </w:tcPr>
          <w:p w14:paraId="569E81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0" w:type="dxa"/>
            <w:tcBorders>
              <w:tl2br w:val="nil"/>
              <w:tr2bl w:val="nil"/>
            </w:tcBorders>
            <w:noWrap/>
            <w:tcMar>
              <w:top w:w="15" w:type="dxa"/>
              <w:left w:w="15" w:type="dxa"/>
              <w:right w:w="15" w:type="dxa"/>
            </w:tcMar>
            <w:vAlign w:val="center"/>
          </w:tcPr>
          <w:p w14:paraId="62FD74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0.092</w:t>
            </w:r>
          </w:p>
        </w:tc>
        <w:tc>
          <w:tcPr>
            <w:tcW w:w="901" w:type="dxa"/>
            <w:tcBorders>
              <w:tl2br w:val="nil"/>
              <w:tr2bl w:val="nil"/>
            </w:tcBorders>
            <w:noWrap/>
            <w:tcMar>
              <w:top w:w="15" w:type="dxa"/>
              <w:left w:w="15" w:type="dxa"/>
              <w:right w:w="15" w:type="dxa"/>
            </w:tcMar>
            <w:vAlign w:val="center"/>
          </w:tcPr>
          <w:p w14:paraId="7AC42A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304E09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51BB3F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1F91F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1440</w:t>
            </w:r>
          </w:p>
        </w:tc>
        <w:tc>
          <w:tcPr>
            <w:tcW w:w="1061" w:type="dxa"/>
            <w:tcBorders>
              <w:tl2br w:val="nil"/>
              <w:tr2bl w:val="nil"/>
            </w:tcBorders>
            <w:noWrap/>
            <w:tcMar>
              <w:top w:w="15" w:type="dxa"/>
              <w:left w:w="15" w:type="dxa"/>
              <w:right w:w="15" w:type="dxa"/>
            </w:tcMar>
            <w:vAlign w:val="center"/>
          </w:tcPr>
          <w:p w14:paraId="25E557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1.17</w:t>
            </w:r>
          </w:p>
        </w:tc>
        <w:tc>
          <w:tcPr>
            <w:tcW w:w="953" w:type="dxa"/>
            <w:tcBorders>
              <w:tl2br w:val="nil"/>
              <w:tr2bl w:val="nil"/>
            </w:tcBorders>
            <w:noWrap/>
            <w:tcMar>
              <w:top w:w="15" w:type="dxa"/>
              <w:left w:w="15" w:type="dxa"/>
              <w:right w:w="15" w:type="dxa"/>
            </w:tcMar>
            <w:vAlign w:val="center"/>
          </w:tcPr>
          <w:p w14:paraId="794319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w:t>
            </w:r>
          </w:p>
        </w:tc>
        <w:tc>
          <w:tcPr>
            <w:tcW w:w="1861" w:type="dxa"/>
            <w:tcBorders>
              <w:tl2br w:val="nil"/>
              <w:tr2bl w:val="nil"/>
            </w:tcBorders>
            <w:noWrap/>
            <w:tcMar>
              <w:top w:w="15" w:type="dxa"/>
              <w:left w:w="15" w:type="dxa"/>
              <w:right w:w="15" w:type="dxa"/>
            </w:tcMar>
            <w:vAlign w:val="center"/>
          </w:tcPr>
          <w:p w14:paraId="5DA9FA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66F19A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077D836">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13</w:t>
            </w:r>
          </w:p>
        </w:tc>
        <w:tc>
          <w:tcPr>
            <w:tcW w:w="1526" w:type="dxa"/>
            <w:tcBorders>
              <w:tl2br w:val="nil"/>
              <w:tr2bl w:val="nil"/>
            </w:tcBorders>
            <w:noWrap w:val="0"/>
            <w:tcMar>
              <w:top w:w="15" w:type="dxa"/>
              <w:left w:w="15" w:type="dxa"/>
              <w:right w:w="15" w:type="dxa"/>
            </w:tcMar>
            <w:vAlign w:val="center"/>
          </w:tcPr>
          <w:p w14:paraId="647CF9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湖南新威凌新材料有限公司</w:t>
            </w:r>
          </w:p>
        </w:tc>
        <w:tc>
          <w:tcPr>
            <w:tcW w:w="608" w:type="dxa"/>
            <w:tcBorders>
              <w:tl2br w:val="nil"/>
              <w:tr2bl w:val="nil"/>
            </w:tcBorders>
            <w:noWrap w:val="0"/>
            <w:tcMar>
              <w:top w:w="15" w:type="dxa"/>
              <w:left w:w="15" w:type="dxa"/>
              <w:right w:w="15" w:type="dxa"/>
            </w:tcMar>
            <w:vAlign w:val="center"/>
          </w:tcPr>
          <w:p w14:paraId="7E0303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24617</w:t>
            </w:r>
          </w:p>
        </w:tc>
        <w:tc>
          <w:tcPr>
            <w:tcW w:w="750" w:type="dxa"/>
            <w:tcBorders>
              <w:tl2br w:val="nil"/>
              <w:tr2bl w:val="nil"/>
            </w:tcBorders>
            <w:noWrap/>
            <w:tcMar>
              <w:top w:w="15" w:type="dxa"/>
              <w:left w:w="15" w:type="dxa"/>
              <w:right w:w="15" w:type="dxa"/>
            </w:tcMar>
            <w:vAlign w:val="center"/>
          </w:tcPr>
          <w:p w14:paraId="55527A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0.70332</w:t>
            </w:r>
          </w:p>
        </w:tc>
        <w:tc>
          <w:tcPr>
            <w:tcW w:w="990" w:type="dxa"/>
            <w:tcBorders>
              <w:tl2br w:val="nil"/>
              <w:tr2bl w:val="nil"/>
            </w:tcBorders>
            <w:noWrap/>
            <w:tcMar>
              <w:top w:w="15" w:type="dxa"/>
              <w:left w:w="15" w:type="dxa"/>
              <w:right w:w="15" w:type="dxa"/>
            </w:tcMar>
            <w:vAlign w:val="center"/>
          </w:tcPr>
          <w:p w14:paraId="69F37F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1.2</w:t>
            </w:r>
          </w:p>
        </w:tc>
        <w:tc>
          <w:tcPr>
            <w:tcW w:w="901" w:type="dxa"/>
            <w:tcBorders>
              <w:tl2br w:val="nil"/>
              <w:tr2bl w:val="nil"/>
            </w:tcBorders>
            <w:noWrap/>
            <w:tcMar>
              <w:top w:w="15" w:type="dxa"/>
              <w:left w:w="15" w:type="dxa"/>
              <w:right w:w="15" w:type="dxa"/>
            </w:tcMar>
            <w:vAlign w:val="center"/>
          </w:tcPr>
          <w:p w14:paraId="73DF1A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5.256</w:t>
            </w:r>
          </w:p>
        </w:tc>
        <w:tc>
          <w:tcPr>
            <w:tcW w:w="1250" w:type="dxa"/>
            <w:tcBorders>
              <w:tl2br w:val="nil"/>
              <w:tr2bl w:val="nil"/>
            </w:tcBorders>
            <w:noWrap/>
            <w:tcMar>
              <w:top w:w="15" w:type="dxa"/>
              <w:left w:w="15" w:type="dxa"/>
              <w:right w:w="15" w:type="dxa"/>
            </w:tcMar>
            <w:vAlign w:val="center"/>
          </w:tcPr>
          <w:p w14:paraId="019514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556BD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2D5E06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6336</w:t>
            </w:r>
          </w:p>
        </w:tc>
        <w:tc>
          <w:tcPr>
            <w:tcW w:w="1061" w:type="dxa"/>
            <w:tcBorders>
              <w:tl2br w:val="nil"/>
              <w:tr2bl w:val="nil"/>
            </w:tcBorders>
            <w:noWrap/>
            <w:tcMar>
              <w:top w:w="15" w:type="dxa"/>
              <w:left w:w="15" w:type="dxa"/>
              <w:right w:w="15" w:type="dxa"/>
            </w:tcMar>
            <w:vAlign w:val="center"/>
          </w:tcPr>
          <w:p w14:paraId="6008B9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2.2</w:t>
            </w:r>
          </w:p>
        </w:tc>
        <w:tc>
          <w:tcPr>
            <w:tcW w:w="953" w:type="dxa"/>
            <w:tcBorders>
              <w:tl2br w:val="nil"/>
              <w:tr2bl w:val="nil"/>
            </w:tcBorders>
            <w:noWrap/>
            <w:tcMar>
              <w:top w:w="15" w:type="dxa"/>
              <w:left w:w="15" w:type="dxa"/>
              <w:right w:w="15" w:type="dxa"/>
            </w:tcMar>
            <w:vAlign w:val="center"/>
          </w:tcPr>
          <w:p w14:paraId="0D7751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1861" w:type="dxa"/>
            <w:tcBorders>
              <w:tl2br w:val="nil"/>
              <w:tr2bl w:val="nil"/>
            </w:tcBorders>
            <w:noWrap/>
            <w:tcMar>
              <w:top w:w="15" w:type="dxa"/>
              <w:left w:w="15" w:type="dxa"/>
              <w:right w:w="15" w:type="dxa"/>
            </w:tcMar>
            <w:vAlign w:val="center"/>
          </w:tcPr>
          <w:p w14:paraId="5DE423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7E2622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DAA4000">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14</w:t>
            </w:r>
          </w:p>
        </w:tc>
        <w:tc>
          <w:tcPr>
            <w:tcW w:w="1526" w:type="dxa"/>
            <w:tcBorders>
              <w:tl2br w:val="nil"/>
              <w:tr2bl w:val="nil"/>
            </w:tcBorders>
            <w:noWrap w:val="0"/>
            <w:tcMar>
              <w:top w:w="15" w:type="dxa"/>
              <w:left w:w="15" w:type="dxa"/>
              <w:right w:w="15" w:type="dxa"/>
            </w:tcMar>
            <w:vAlign w:val="center"/>
          </w:tcPr>
          <w:p w14:paraId="690C5F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湖南驰优新材料有限公司</w:t>
            </w:r>
          </w:p>
        </w:tc>
        <w:tc>
          <w:tcPr>
            <w:tcW w:w="608" w:type="dxa"/>
            <w:tcBorders>
              <w:tl2br w:val="nil"/>
              <w:tr2bl w:val="nil"/>
            </w:tcBorders>
            <w:noWrap w:val="0"/>
            <w:tcMar>
              <w:top w:w="15" w:type="dxa"/>
              <w:left w:w="15" w:type="dxa"/>
              <w:right w:w="15" w:type="dxa"/>
            </w:tcMar>
            <w:vAlign w:val="center"/>
          </w:tcPr>
          <w:p w14:paraId="1CD303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2000</w:t>
            </w:r>
          </w:p>
        </w:tc>
        <w:tc>
          <w:tcPr>
            <w:tcW w:w="750" w:type="dxa"/>
            <w:tcBorders>
              <w:tl2br w:val="nil"/>
              <w:tr2bl w:val="nil"/>
            </w:tcBorders>
            <w:noWrap/>
            <w:tcMar>
              <w:top w:w="15" w:type="dxa"/>
              <w:left w:w="15" w:type="dxa"/>
              <w:right w:w="15" w:type="dxa"/>
            </w:tcMar>
            <w:vAlign w:val="center"/>
          </w:tcPr>
          <w:p w14:paraId="1F07FE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0.0233</w:t>
            </w:r>
          </w:p>
        </w:tc>
        <w:tc>
          <w:tcPr>
            <w:tcW w:w="990" w:type="dxa"/>
            <w:tcBorders>
              <w:tl2br w:val="nil"/>
              <w:tr2bl w:val="nil"/>
            </w:tcBorders>
            <w:noWrap/>
            <w:tcMar>
              <w:top w:w="15" w:type="dxa"/>
              <w:left w:w="15" w:type="dxa"/>
              <w:right w:w="15" w:type="dxa"/>
            </w:tcMar>
            <w:vAlign w:val="center"/>
          </w:tcPr>
          <w:p w14:paraId="5D9A20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697141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523E95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392C71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镍及其化合物0.0233，氨0.03，草酸0.215</w:t>
            </w:r>
          </w:p>
        </w:tc>
        <w:tc>
          <w:tcPr>
            <w:tcW w:w="1170" w:type="dxa"/>
            <w:tcBorders>
              <w:tl2br w:val="nil"/>
              <w:tr2bl w:val="nil"/>
            </w:tcBorders>
            <w:noWrap/>
            <w:tcMar>
              <w:top w:w="15" w:type="dxa"/>
              <w:left w:w="15" w:type="dxa"/>
              <w:right w:w="15" w:type="dxa"/>
            </w:tcMar>
            <w:vAlign w:val="center"/>
          </w:tcPr>
          <w:p w14:paraId="367BBF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1080</w:t>
            </w:r>
          </w:p>
        </w:tc>
        <w:tc>
          <w:tcPr>
            <w:tcW w:w="1061" w:type="dxa"/>
            <w:tcBorders>
              <w:tl2br w:val="nil"/>
              <w:tr2bl w:val="nil"/>
            </w:tcBorders>
            <w:noWrap/>
            <w:tcMar>
              <w:top w:w="15" w:type="dxa"/>
              <w:left w:w="15" w:type="dxa"/>
              <w:right w:w="15" w:type="dxa"/>
            </w:tcMar>
            <w:vAlign w:val="center"/>
          </w:tcPr>
          <w:p w14:paraId="794B761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0.064</w:t>
            </w:r>
          </w:p>
        </w:tc>
        <w:tc>
          <w:tcPr>
            <w:tcW w:w="953" w:type="dxa"/>
            <w:tcBorders>
              <w:tl2br w:val="nil"/>
              <w:tr2bl w:val="nil"/>
            </w:tcBorders>
            <w:noWrap/>
            <w:tcMar>
              <w:top w:w="15" w:type="dxa"/>
              <w:left w:w="15" w:type="dxa"/>
              <w:right w:w="15" w:type="dxa"/>
            </w:tcMar>
            <w:vAlign w:val="center"/>
          </w:tcPr>
          <w:p w14:paraId="63CA1A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0.009</w:t>
            </w:r>
          </w:p>
        </w:tc>
        <w:tc>
          <w:tcPr>
            <w:tcW w:w="1861" w:type="dxa"/>
            <w:tcBorders>
              <w:tl2br w:val="nil"/>
              <w:tr2bl w:val="nil"/>
            </w:tcBorders>
            <w:noWrap/>
            <w:tcMar>
              <w:top w:w="15" w:type="dxa"/>
              <w:left w:w="15" w:type="dxa"/>
              <w:right w:w="15" w:type="dxa"/>
            </w:tcMar>
            <w:vAlign w:val="center"/>
          </w:tcPr>
          <w:p w14:paraId="4C79B9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E256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5BD6E03">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15</w:t>
            </w:r>
          </w:p>
        </w:tc>
        <w:tc>
          <w:tcPr>
            <w:tcW w:w="1526" w:type="dxa"/>
            <w:tcBorders>
              <w:tl2br w:val="nil"/>
              <w:tr2bl w:val="nil"/>
            </w:tcBorders>
            <w:noWrap w:val="0"/>
            <w:tcMar>
              <w:top w:w="15" w:type="dxa"/>
              <w:left w:w="15" w:type="dxa"/>
              <w:right w:w="15" w:type="dxa"/>
            </w:tcMar>
            <w:vAlign w:val="center"/>
          </w:tcPr>
          <w:p w14:paraId="622150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湖南拓曼节能科技股份有限公司</w:t>
            </w:r>
          </w:p>
        </w:tc>
        <w:tc>
          <w:tcPr>
            <w:tcW w:w="608" w:type="dxa"/>
            <w:tcBorders>
              <w:tl2br w:val="nil"/>
              <w:tr2bl w:val="nil"/>
            </w:tcBorders>
            <w:noWrap w:val="0"/>
            <w:tcMar>
              <w:top w:w="15" w:type="dxa"/>
              <w:left w:w="15" w:type="dxa"/>
              <w:right w:w="15" w:type="dxa"/>
            </w:tcMar>
            <w:vAlign w:val="center"/>
          </w:tcPr>
          <w:p w14:paraId="723DD1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23345</w:t>
            </w:r>
          </w:p>
        </w:tc>
        <w:tc>
          <w:tcPr>
            <w:tcW w:w="750" w:type="dxa"/>
            <w:tcBorders>
              <w:tl2br w:val="nil"/>
              <w:tr2bl w:val="nil"/>
            </w:tcBorders>
            <w:noWrap/>
            <w:tcMar>
              <w:top w:w="15" w:type="dxa"/>
              <w:left w:w="15" w:type="dxa"/>
              <w:right w:w="15" w:type="dxa"/>
            </w:tcMar>
            <w:vAlign w:val="center"/>
          </w:tcPr>
          <w:p w14:paraId="339AEE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3.787</w:t>
            </w:r>
          </w:p>
        </w:tc>
        <w:tc>
          <w:tcPr>
            <w:tcW w:w="990" w:type="dxa"/>
            <w:tcBorders>
              <w:tl2br w:val="nil"/>
              <w:tr2bl w:val="nil"/>
            </w:tcBorders>
            <w:noWrap/>
            <w:tcMar>
              <w:top w:w="15" w:type="dxa"/>
              <w:left w:w="15" w:type="dxa"/>
              <w:right w:w="15" w:type="dxa"/>
            </w:tcMar>
            <w:vAlign w:val="center"/>
          </w:tcPr>
          <w:p w14:paraId="5E5D45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0.084</w:t>
            </w:r>
          </w:p>
        </w:tc>
        <w:tc>
          <w:tcPr>
            <w:tcW w:w="901" w:type="dxa"/>
            <w:tcBorders>
              <w:tl2br w:val="nil"/>
              <w:tr2bl w:val="nil"/>
            </w:tcBorders>
            <w:noWrap/>
            <w:tcMar>
              <w:top w:w="15" w:type="dxa"/>
              <w:left w:w="15" w:type="dxa"/>
              <w:right w:w="15" w:type="dxa"/>
            </w:tcMar>
            <w:vAlign w:val="center"/>
          </w:tcPr>
          <w:p w14:paraId="7A2B45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0.234</w:t>
            </w:r>
          </w:p>
        </w:tc>
        <w:tc>
          <w:tcPr>
            <w:tcW w:w="1250" w:type="dxa"/>
            <w:tcBorders>
              <w:tl2br w:val="nil"/>
              <w:tr2bl w:val="nil"/>
            </w:tcBorders>
            <w:noWrap/>
            <w:tcMar>
              <w:top w:w="15" w:type="dxa"/>
              <w:left w:w="15" w:type="dxa"/>
              <w:right w:w="15" w:type="dxa"/>
            </w:tcMar>
            <w:vAlign w:val="center"/>
          </w:tcPr>
          <w:p w14:paraId="68EC27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3.941</w:t>
            </w:r>
          </w:p>
        </w:tc>
        <w:tc>
          <w:tcPr>
            <w:tcW w:w="2367" w:type="dxa"/>
            <w:tcBorders>
              <w:tl2br w:val="nil"/>
              <w:tr2bl w:val="nil"/>
            </w:tcBorders>
            <w:noWrap/>
            <w:tcMar>
              <w:top w:w="15" w:type="dxa"/>
              <w:left w:w="15" w:type="dxa"/>
              <w:right w:w="15" w:type="dxa"/>
            </w:tcMar>
            <w:vAlign w:val="center"/>
          </w:tcPr>
          <w:p w14:paraId="649CB5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4ED133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p>
        </w:tc>
        <w:tc>
          <w:tcPr>
            <w:tcW w:w="1061" w:type="dxa"/>
            <w:tcBorders>
              <w:tl2br w:val="nil"/>
              <w:tr2bl w:val="nil"/>
            </w:tcBorders>
            <w:noWrap/>
            <w:tcMar>
              <w:top w:w="15" w:type="dxa"/>
              <w:left w:w="15" w:type="dxa"/>
              <w:right w:w="15" w:type="dxa"/>
            </w:tcMar>
            <w:vAlign w:val="center"/>
          </w:tcPr>
          <w:p w14:paraId="3EC263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0.5</w:t>
            </w:r>
          </w:p>
        </w:tc>
        <w:tc>
          <w:tcPr>
            <w:tcW w:w="953" w:type="dxa"/>
            <w:tcBorders>
              <w:tl2br w:val="nil"/>
              <w:tr2bl w:val="nil"/>
            </w:tcBorders>
            <w:noWrap/>
            <w:tcMar>
              <w:top w:w="15" w:type="dxa"/>
              <w:left w:w="15" w:type="dxa"/>
              <w:right w:w="15" w:type="dxa"/>
            </w:tcMar>
            <w:vAlign w:val="center"/>
          </w:tcPr>
          <w:p w14:paraId="4502C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w:t>
            </w:r>
          </w:p>
        </w:tc>
        <w:tc>
          <w:tcPr>
            <w:tcW w:w="1861" w:type="dxa"/>
            <w:tcBorders>
              <w:tl2br w:val="nil"/>
              <w:tr2bl w:val="nil"/>
            </w:tcBorders>
            <w:noWrap/>
            <w:tcMar>
              <w:top w:w="15" w:type="dxa"/>
              <w:left w:w="15" w:type="dxa"/>
              <w:right w:w="15" w:type="dxa"/>
            </w:tcMar>
            <w:vAlign w:val="center"/>
          </w:tcPr>
          <w:p w14:paraId="5649CE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686854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1F4ED11">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16</w:t>
            </w:r>
          </w:p>
        </w:tc>
        <w:tc>
          <w:tcPr>
            <w:tcW w:w="1526" w:type="dxa"/>
            <w:tcBorders>
              <w:tl2br w:val="nil"/>
              <w:tr2bl w:val="nil"/>
            </w:tcBorders>
            <w:noWrap w:val="0"/>
            <w:tcMar>
              <w:top w:w="15" w:type="dxa"/>
              <w:left w:w="15" w:type="dxa"/>
              <w:right w:w="15" w:type="dxa"/>
            </w:tcMar>
            <w:vAlign w:val="center"/>
          </w:tcPr>
          <w:p w14:paraId="6037A7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湖南盛华源材料科技有限公司</w:t>
            </w:r>
          </w:p>
        </w:tc>
        <w:tc>
          <w:tcPr>
            <w:tcW w:w="608" w:type="dxa"/>
            <w:tcBorders>
              <w:tl2br w:val="nil"/>
              <w:tr2bl w:val="nil"/>
            </w:tcBorders>
            <w:noWrap w:val="0"/>
            <w:tcMar>
              <w:top w:w="15" w:type="dxa"/>
              <w:left w:w="15" w:type="dxa"/>
              <w:right w:w="15" w:type="dxa"/>
            </w:tcMar>
            <w:vAlign w:val="center"/>
          </w:tcPr>
          <w:p w14:paraId="0EAE81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16235.46</w:t>
            </w:r>
          </w:p>
        </w:tc>
        <w:tc>
          <w:tcPr>
            <w:tcW w:w="750" w:type="dxa"/>
            <w:tcBorders>
              <w:tl2br w:val="nil"/>
              <w:tr2bl w:val="nil"/>
            </w:tcBorders>
            <w:noWrap/>
            <w:tcMar>
              <w:top w:w="15" w:type="dxa"/>
              <w:left w:w="15" w:type="dxa"/>
              <w:right w:w="15" w:type="dxa"/>
            </w:tcMar>
            <w:vAlign w:val="center"/>
          </w:tcPr>
          <w:p w14:paraId="4E73AE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0.168</w:t>
            </w:r>
          </w:p>
        </w:tc>
        <w:tc>
          <w:tcPr>
            <w:tcW w:w="990" w:type="dxa"/>
            <w:tcBorders>
              <w:tl2br w:val="nil"/>
              <w:tr2bl w:val="nil"/>
            </w:tcBorders>
            <w:noWrap/>
            <w:tcMar>
              <w:top w:w="15" w:type="dxa"/>
              <w:left w:w="15" w:type="dxa"/>
              <w:right w:w="15" w:type="dxa"/>
            </w:tcMar>
            <w:vAlign w:val="center"/>
          </w:tcPr>
          <w:p w14:paraId="0D6BE2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155A21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3E0E1DB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val="0"/>
            <w:tcMar>
              <w:top w:w="15" w:type="dxa"/>
              <w:left w:w="15" w:type="dxa"/>
              <w:right w:w="15" w:type="dxa"/>
            </w:tcMar>
            <w:vAlign w:val="center"/>
          </w:tcPr>
          <w:p w14:paraId="6389FC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硫酸雾0.148</w:t>
            </w:r>
          </w:p>
        </w:tc>
        <w:tc>
          <w:tcPr>
            <w:tcW w:w="1170" w:type="dxa"/>
            <w:tcBorders>
              <w:tl2br w:val="nil"/>
              <w:tr2bl w:val="nil"/>
            </w:tcBorders>
            <w:noWrap/>
            <w:tcMar>
              <w:top w:w="15" w:type="dxa"/>
              <w:left w:w="15" w:type="dxa"/>
              <w:right w:w="15" w:type="dxa"/>
            </w:tcMar>
            <w:vAlign w:val="center"/>
          </w:tcPr>
          <w:p w14:paraId="238572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1314</w:t>
            </w:r>
          </w:p>
        </w:tc>
        <w:tc>
          <w:tcPr>
            <w:tcW w:w="1061" w:type="dxa"/>
            <w:tcBorders>
              <w:tl2br w:val="nil"/>
              <w:tr2bl w:val="nil"/>
            </w:tcBorders>
            <w:noWrap/>
            <w:tcMar>
              <w:top w:w="15" w:type="dxa"/>
              <w:left w:w="15" w:type="dxa"/>
              <w:right w:w="15" w:type="dxa"/>
            </w:tcMar>
            <w:vAlign w:val="center"/>
          </w:tcPr>
          <w:p w14:paraId="2B473E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0.298</w:t>
            </w:r>
          </w:p>
        </w:tc>
        <w:tc>
          <w:tcPr>
            <w:tcW w:w="953" w:type="dxa"/>
            <w:tcBorders>
              <w:tl2br w:val="nil"/>
              <w:tr2bl w:val="nil"/>
            </w:tcBorders>
            <w:noWrap/>
            <w:tcMar>
              <w:top w:w="15" w:type="dxa"/>
              <w:left w:w="15" w:type="dxa"/>
              <w:right w:w="15" w:type="dxa"/>
            </w:tcMar>
            <w:vAlign w:val="center"/>
          </w:tcPr>
          <w:p w14:paraId="4DA9C6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0.009</w:t>
            </w:r>
          </w:p>
        </w:tc>
        <w:tc>
          <w:tcPr>
            <w:tcW w:w="1861" w:type="dxa"/>
            <w:tcBorders>
              <w:tl2br w:val="nil"/>
              <w:tr2bl w:val="nil"/>
            </w:tcBorders>
            <w:noWrap/>
            <w:tcMar>
              <w:top w:w="15" w:type="dxa"/>
              <w:left w:w="15" w:type="dxa"/>
              <w:right w:w="15" w:type="dxa"/>
            </w:tcMar>
            <w:vAlign w:val="center"/>
          </w:tcPr>
          <w:p w14:paraId="30BB98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5B885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73D6B58">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17</w:t>
            </w:r>
          </w:p>
        </w:tc>
        <w:tc>
          <w:tcPr>
            <w:tcW w:w="1526" w:type="dxa"/>
            <w:tcBorders>
              <w:tl2br w:val="nil"/>
              <w:tr2bl w:val="nil"/>
            </w:tcBorders>
            <w:noWrap w:val="0"/>
            <w:tcMar>
              <w:top w:w="15" w:type="dxa"/>
              <w:left w:w="15" w:type="dxa"/>
              <w:right w:w="15" w:type="dxa"/>
            </w:tcMar>
            <w:vAlign w:val="center"/>
          </w:tcPr>
          <w:p w14:paraId="6D4F64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汨罗市晟泰科技有限公司</w:t>
            </w:r>
          </w:p>
        </w:tc>
        <w:tc>
          <w:tcPr>
            <w:tcW w:w="608" w:type="dxa"/>
            <w:tcBorders>
              <w:tl2br w:val="nil"/>
              <w:tr2bl w:val="nil"/>
            </w:tcBorders>
            <w:noWrap w:val="0"/>
            <w:tcMar>
              <w:top w:w="15" w:type="dxa"/>
              <w:left w:w="15" w:type="dxa"/>
              <w:right w:w="15" w:type="dxa"/>
            </w:tcMar>
            <w:vAlign w:val="center"/>
          </w:tcPr>
          <w:p w14:paraId="035A88A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8800</w:t>
            </w:r>
          </w:p>
        </w:tc>
        <w:tc>
          <w:tcPr>
            <w:tcW w:w="750" w:type="dxa"/>
            <w:tcBorders>
              <w:tl2br w:val="nil"/>
              <w:tr2bl w:val="nil"/>
            </w:tcBorders>
            <w:noWrap/>
            <w:tcMar>
              <w:top w:w="15" w:type="dxa"/>
              <w:left w:w="15" w:type="dxa"/>
              <w:right w:w="15" w:type="dxa"/>
            </w:tcMar>
            <w:vAlign w:val="center"/>
          </w:tcPr>
          <w:p w14:paraId="5C523D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0.222</w:t>
            </w:r>
          </w:p>
        </w:tc>
        <w:tc>
          <w:tcPr>
            <w:tcW w:w="990" w:type="dxa"/>
            <w:tcBorders>
              <w:tl2br w:val="nil"/>
              <w:tr2bl w:val="nil"/>
            </w:tcBorders>
            <w:noWrap/>
            <w:tcMar>
              <w:top w:w="15" w:type="dxa"/>
              <w:left w:w="15" w:type="dxa"/>
              <w:right w:w="15" w:type="dxa"/>
            </w:tcMar>
            <w:vAlign w:val="center"/>
          </w:tcPr>
          <w:p w14:paraId="610534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758735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1F1A423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76CA8D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7E0517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9100</w:t>
            </w:r>
          </w:p>
        </w:tc>
        <w:tc>
          <w:tcPr>
            <w:tcW w:w="1061" w:type="dxa"/>
            <w:tcBorders>
              <w:tl2br w:val="nil"/>
              <w:tr2bl w:val="nil"/>
            </w:tcBorders>
            <w:noWrap/>
            <w:tcMar>
              <w:top w:w="15" w:type="dxa"/>
              <w:left w:w="15" w:type="dxa"/>
              <w:right w:w="15" w:type="dxa"/>
            </w:tcMar>
            <w:vAlign w:val="center"/>
          </w:tcPr>
          <w:p w14:paraId="6A1984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3.0432</w:t>
            </w:r>
          </w:p>
        </w:tc>
        <w:tc>
          <w:tcPr>
            <w:tcW w:w="953" w:type="dxa"/>
            <w:tcBorders>
              <w:tl2br w:val="nil"/>
              <w:tr2bl w:val="nil"/>
            </w:tcBorders>
            <w:noWrap/>
            <w:tcMar>
              <w:top w:w="15" w:type="dxa"/>
              <w:left w:w="15" w:type="dxa"/>
              <w:right w:w="15" w:type="dxa"/>
            </w:tcMar>
            <w:vAlign w:val="center"/>
          </w:tcPr>
          <w:p w14:paraId="22315C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0.2536</w:t>
            </w:r>
          </w:p>
        </w:tc>
        <w:tc>
          <w:tcPr>
            <w:tcW w:w="1861" w:type="dxa"/>
            <w:tcBorders>
              <w:tl2br w:val="nil"/>
              <w:tr2bl w:val="nil"/>
            </w:tcBorders>
            <w:noWrap/>
            <w:tcMar>
              <w:top w:w="15" w:type="dxa"/>
              <w:left w:w="15" w:type="dxa"/>
              <w:right w:w="15" w:type="dxa"/>
            </w:tcMar>
            <w:vAlign w:val="center"/>
          </w:tcPr>
          <w:p w14:paraId="50F545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44CA1B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7C7CDD0">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18</w:t>
            </w:r>
          </w:p>
        </w:tc>
        <w:tc>
          <w:tcPr>
            <w:tcW w:w="1526" w:type="dxa"/>
            <w:tcBorders>
              <w:tl2br w:val="nil"/>
              <w:tr2bl w:val="nil"/>
            </w:tcBorders>
            <w:noWrap w:val="0"/>
            <w:tcMar>
              <w:top w:w="15" w:type="dxa"/>
              <w:left w:w="15" w:type="dxa"/>
              <w:right w:w="15" w:type="dxa"/>
            </w:tcMar>
            <w:vAlign w:val="center"/>
          </w:tcPr>
          <w:p w14:paraId="6EB6B6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湖南湘达环保工程有限公司</w:t>
            </w:r>
          </w:p>
        </w:tc>
        <w:tc>
          <w:tcPr>
            <w:tcW w:w="608" w:type="dxa"/>
            <w:tcBorders>
              <w:tl2br w:val="nil"/>
              <w:tr2bl w:val="nil"/>
            </w:tcBorders>
            <w:noWrap w:val="0"/>
            <w:tcMar>
              <w:top w:w="15" w:type="dxa"/>
              <w:left w:w="15" w:type="dxa"/>
              <w:right w:w="15" w:type="dxa"/>
            </w:tcMar>
            <w:vAlign w:val="center"/>
          </w:tcPr>
          <w:p w14:paraId="6DE457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13830</w:t>
            </w:r>
          </w:p>
        </w:tc>
        <w:tc>
          <w:tcPr>
            <w:tcW w:w="750" w:type="dxa"/>
            <w:tcBorders>
              <w:tl2br w:val="nil"/>
              <w:tr2bl w:val="nil"/>
            </w:tcBorders>
            <w:noWrap/>
            <w:tcMar>
              <w:top w:w="15" w:type="dxa"/>
              <w:left w:w="15" w:type="dxa"/>
              <w:right w:w="15" w:type="dxa"/>
            </w:tcMar>
            <w:vAlign w:val="center"/>
          </w:tcPr>
          <w:p w14:paraId="425CB2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0.55</w:t>
            </w:r>
          </w:p>
        </w:tc>
        <w:tc>
          <w:tcPr>
            <w:tcW w:w="990" w:type="dxa"/>
            <w:tcBorders>
              <w:tl2br w:val="nil"/>
              <w:tr2bl w:val="nil"/>
            </w:tcBorders>
            <w:noWrap/>
            <w:tcMar>
              <w:top w:w="15" w:type="dxa"/>
              <w:left w:w="15" w:type="dxa"/>
              <w:right w:w="15" w:type="dxa"/>
            </w:tcMar>
            <w:vAlign w:val="center"/>
          </w:tcPr>
          <w:p w14:paraId="0DFEF2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0132C5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25AC0A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7F68D5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D0B47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267.2</w:t>
            </w:r>
          </w:p>
        </w:tc>
        <w:tc>
          <w:tcPr>
            <w:tcW w:w="1061" w:type="dxa"/>
            <w:tcBorders>
              <w:tl2br w:val="nil"/>
              <w:tr2bl w:val="nil"/>
            </w:tcBorders>
            <w:noWrap/>
            <w:tcMar>
              <w:top w:w="15" w:type="dxa"/>
              <w:left w:w="15" w:type="dxa"/>
              <w:right w:w="15" w:type="dxa"/>
            </w:tcMar>
            <w:vAlign w:val="center"/>
          </w:tcPr>
          <w:p w14:paraId="2609CC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0.0134</w:t>
            </w:r>
          </w:p>
        </w:tc>
        <w:tc>
          <w:tcPr>
            <w:tcW w:w="953" w:type="dxa"/>
            <w:tcBorders>
              <w:tl2br w:val="nil"/>
              <w:tr2bl w:val="nil"/>
            </w:tcBorders>
            <w:noWrap/>
            <w:tcMar>
              <w:top w:w="15" w:type="dxa"/>
              <w:left w:w="15" w:type="dxa"/>
              <w:right w:w="15" w:type="dxa"/>
            </w:tcMar>
            <w:vAlign w:val="center"/>
          </w:tcPr>
          <w:p w14:paraId="385871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0.0021</w:t>
            </w:r>
          </w:p>
        </w:tc>
        <w:tc>
          <w:tcPr>
            <w:tcW w:w="1861" w:type="dxa"/>
            <w:tcBorders>
              <w:tl2br w:val="nil"/>
              <w:tr2bl w:val="nil"/>
            </w:tcBorders>
            <w:noWrap/>
            <w:tcMar>
              <w:top w:w="15" w:type="dxa"/>
              <w:left w:w="15" w:type="dxa"/>
              <w:right w:w="15" w:type="dxa"/>
            </w:tcMar>
            <w:vAlign w:val="center"/>
          </w:tcPr>
          <w:p w14:paraId="232832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D7A7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8201591">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19</w:t>
            </w:r>
          </w:p>
        </w:tc>
        <w:tc>
          <w:tcPr>
            <w:tcW w:w="1526" w:type="dxa"/>
            <w:tcBorders>
              <w:tl2br w:val="nil"/>
              <w:tr2bl w:val="nil"/>
            </w:tcBorders>
            <w:noWrap w:val="0"/>
            <w:tcMar>
              <w:top w:w="15" w:type="dxa"/>
              <w:left w:w="15" w:type="dxa"/>
              <w:right w:w="15" w:type="dxa"/>
            </w:tcMar>
            <w:vAlign w:val="center"/>
          </w:tcPr>
          <w:p w14:paraId="1B3B77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汨罗市自强塑料有限公司</w:t>
            </w:r>
          </w:p>
        </w:tc>
        <w:tc>
          <w:tcPr>
            <w:tcW w:w="608" w:type="dxa"/>
            <w:tcBorders>
              <w:tl2br w:val="nil"/>
              <w:tr2bl w:val="nil"/>
            </w:tcBorders>
            <w:noWrap w:val="0"/>
            <w:tcMar>
              <w:top w:w="15" w:type="dxa"/>
              <w:left w:w="15" w:type="dxa"/>
              <w:right w:w="15" w:type="dxa"/>
            </w:tcMar>
            <w:vAlign w:val="center"/>
          </w:tcPr>
          <w:p w14:paraId="1679F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8500</w:t>
            </w:r>
          </w:p>
        </w:tc>
        <w:tc>
          <w:tcPr>
            <w:tcW w:w="750" w:type="dxa"/>
            <w:tcBorders>
              <w:tl2br w:val="nil"/>
              <w:tr2bl w:val="nil"/>
            </w:tcBorders>
            <w:noWrap/>
            <w:tcMar>
              <w:top w:w="15" w:type="dxa"/>
              <w:left w:w="15" w:type="dxa"/>
              <w:right w:w="15" w:type="dxa"/>
            </w:tcMar>
            <w:vAlign w:val="center"/>
          </w:tcPr>
          <w:p w14:paraId="5DC9F7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0.646</w:t>
            </w:r>
          </w:p>
        </w:tc>
        <w:tc>
          <w:tcPr>
            <w:tcW w:w="990" w:type="dxa"/>
            <w:tcBorders>
              <w:tl2br w:val="nil"/>
              <w:tr2bl w:val="nil"/>
            </w:tcBorders>
            <w:noWrap/>
            <w:tcMar>
              <w:top w:w="15" w:type="dxa"/>
              <w:left w:w="15" w:type="dxa"/>
              <w:right w:w="15" w:type="dxa"/>
            </w:tcMar>
            <w:vAlign w:val="center"/>
          </w:tcPr>
          <w:p w14:paraId="7D0BA13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6EEC0A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497A3B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0.22</w:t>
            </w:r>
          </w:p>
        </w:tc>
        <w:tc>
          <w:tcPr>
            <w:tcW w:w="2367" w:type="dxa"/>
            <w:tcBorders>
              <w:tl2br w:val="nil"/>
              <w:tr2bl w:val="nil"/>
            </w:tcBorders>
            <w:noWrap w:val="0"/>
            <w:tcMar>
              <w:top w:w="15" w:type="dxa"/>
              <w:left w:w="15" w:type="dxa"/>
              <w:right w:w="15" w:type="dxa"/>
            </w:tcMar>
            <w:vAlign w:val="center"/>
          </w:tcPr>
          <w:p w14:paraId="3DB634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氯化氢0.15</w:t>
            </w:r>
          </w:p>
        </w:tc>
        <w:tc>
          <w:tcPr>
            <w:tcW w:w="1170" w:type="dxa"/>
            <w:tcBorders>
              <w:tl2br w:val="nil"/>
              <w:tr2bl w:val="nil"/>
            </w:tcBorders>
            <w:noWrap/>
            <w:tcMar>
              <w:top w:w="15" w:type="dxa"/>
              <w:left w:w="15" w:type="dxa"/>
              <w:right w:w="15" w:type="dxa"/>
            </w:tcMar>
            <w:vAlign w:val="center"/>
          </w:tcPr>
          <w:p w14:paraId="44AAB7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364.8</w:t>
            </w:r>
          </w:p>
        </w:tc>
        <w:tc>
          <w:tcPr>
            <w:tcW w:w="1061" w:type="dxa"/>
            <w:tcBorders>
              <w:tl2br w:val="nil"/>
              <w:tr2bl w:val="nil"/>
            </w:tcBorders>
            <w:noWrap/>
            <w:tcMar>
              <w:top w:w="15" w:type="dxa"/>
              <w:left w:w="15" w:type="dxa"/>
              <w:right w:w="15" w:type="dxa"/>
            </w:tcMar>
            <w:vAlign w:val="center"/>
          </w:tcPr>
          <w:p w14:paraId="7DB32C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0.093</w:t>
            </w:r>
          </w:p>
        </w:tc>
        <w:tc>
          <w:tcPr>
            <w:tcW w:w="953" w:type="dxa"/>
            <w:tcBorders>
              <w:tl2br w:val="nil"/>
              <w:tr2bl w:val="nil"/>
            </w:tcBorders>
            <w:noWrap/>
            <w:tcMar>
              <w:top w:w="15" w:type="dxa"/>
              <w:left w:w="15" w:type="dxa"/>
              <w:right w:w="15" w:type="dxa"/>
            </w:tcMar>
            <w:vAlign w:val="center"/>
          </w:tcPr>
          <w:p w14:paraId="766E80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w:t>
            </w:r>
          </w:p>
        </w:tc>
        <w:tc>
          <w:tcPr>
            <w:tcW w:w="1861" w:type="dxa"/>
            <w:tcBorders>
              <w:tl2br w:val="nil"/>
              <w:tr2bl w:val="nil"/>
            </w:tcBorders>
            <w:noWrap/>
            <w:tcMar>
              <w:top w:w="15" w:type="dxa"/>
              <w:left w:w="15" w:type="dxa"/>
              <w:right w:w="15" w:type="dxa"/>
            </w:tcMar>
            <w:vAlign w:val="center"/>
          </w:tcPr>
          <w:p w14:paraId="2F89D2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95092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82AF2BD">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20</w:t>
            </w:r>
          </w:p>
        </w:tc>
        <w:tc>
          <w:tcPr>
            <w:tcW w:w="1526" w:type="dxa"/>
            <w:tcBorders>
              <w:tl2br w:val="nil"/>
              <w:tr2bl w:val="nil"/>
            </w:tcBorders>
            <w:noWrap w:val="0"/>
            <w:tcMar>
              <w:top w:w="15" w:type="dxa"/>
              <w:left w:w="15" w:type="dxa"/>
              <w:right w:w="15" w:type="dxa"/>
            </w:tcMar>
            <w:vAlign w:val="center"/>
          </w:tcPr>
          <w:p w14:paraId="72B835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湖南新佳懿环保新材料有限公司</w:t>
            </w:r>
          </w:p>
        </w:tc>
        <w:tc>
          <w:tcPr>
            <w:tcW w:w="608" w:type="dxa"/>
            <w:tcBorders>
              <w:tl2br w:val="nil"/>
              <w:tr2bl w:val="nil"/>
            </w:tcBorders>
            <w:noWrap w:val="0"/>
            <w:tcMar>
              <w:top w:w="15" w:type="dxa"/>
              <w:left w:w="15" w:type="dxa"/>
              <w:right w:w="15" w:type="dxa"/>
            </w:tcMar>
            <w:vAlign w:val="center"/>
          </w:tcPr>
          <w:p w14:paraId="0529FD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12630</w:t>
            </w:r>
          </w:p>
        </w:tc>
        <w:tc>
          <w:tcPr>
            <w:tcW w:w="750" w:type="dxa"/>
            <w:tcBorders>
              <w:tl2br w:val="nil"/>
              <w:tr2bl w:val="nil"/>
            </w:tcBorders>
            <w:noWrap/>
            <w:tcMar>
              <w:top w:w="15" w:type="dxa"/>
              <w:left w:w="15" w:type="dxa"/>
              <w:right w:w="15" w:type="dxa"/>
            </w:tcMar>
            <w:vAlign w:val="center"/>
          </w:tcPr>
          <w:p w14:paraId="18487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snapToGrid w:val="0"/>
                <w:color w:val="auto"/>
                <w:kern w:val="0"/>
                <w:sz w:val="21"/>
                <w:szCs w:val="21"/>
                <w:u w:val="none"/>
                <w:lang w:val="en-US" w:eastAsia="zh-CN" w:bidi="ar"/>
              </w:rPr>
              <w:t>0.</w:t>
            </w:r>
            <w:r>
              <w:rPr>
                <w:rFonts w:hint="eastAsia" w:ascii="Times New Roman" w:hAnsi="Times New Roman" w:eastAsia="宋体" w:cs="Times New Roman"/>
                <w:i w:val="0"/>
                <w:snapToGrid w:val="0"/>
                <w:color w:val="auto"/>
                <w:kern w:val="0"/>
                <w:sz w:val="21"/>
                <w:szCs w:val="21"/>
                <w:u w:val="none"/>
                <w:lang w:val="en-US" w:eastAsia="zh-CN" w:bidi="ar"/>
              </w:rPr>
              <w:t>267</w:t>
            </w:r>
          </w:p>
        </w:tc>
        <w:tc>
          <w:tcPr>
            <w:tcW w:w="990" w:type="dxa"/>
            <w:tcBorders>
              <w:tl2br w:val="nil"/>
              <w:tr2bl w:val="nil"/>
            </w:tcBorders>
            <w:noWrap/>
            <w:tcMar>
              <w:top w:w="15" w:type="dxa"/>
              <w:left w:w="15" w:type="dxa"/>
              <w:right w:w="15" w:type="dxa"/>
            </w:tcMar>
            <w:vAlign w:val="center"/>
          </w:tcPr>
          <w:p w14:paraId="444224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429D81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4C80B4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snapToGrid w:val="0"/>
                <w:color w:val="auto"/>
                <w:kern w:val="0"/>
                <w:sz w:val="21"/>
                <w:szCs w:val="21"/>
                <w:u w:val="none"/>
                <w:lang w:val="en-US" w:eastAsia="zh-CN" w:bidi="ar"/>
              </w:rPr>
              <w:t>1.794</w:t>
            </w:r>
          </w:p>
        </w:tc>
        <w:tc>
          <w:tcPr>
            <w:tcW w:w="2367" w:type="dxa"/>
            <w:tcBorders>
              <w:tl2br w:val="nil"/>
              <w:tr2bl w:val="nil"/>
            </w:tcBorders>
            <w:noWrap w:val="0"/>
            <w:tcMar>
              <w:top w:w="15" w:type="dxa"/>
              <w:left w:w="15" w:type="dxa"/>
              <w:right w:w="15" w:type="dxa"/>
            </w:tcMar>
            <w:vAlign w:val="center"/>
          </w:tcPr>
          <w:p w14:paraId="232DB0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snapToGrid w:val="0"/>
                <w:color w:val="auto"/>
                <w:kern w:val="0"/>
                <w:sz w:val="21"/>
                <w:szCs w:val="21"/>
                <w:u w:val="none"/>
                <w:lang w:val="en-US" w:eastAsia="zh-CN" w:bidi="ar"/>
              </w:rPr>
              <w:t>氯化氢：</w:t>
            </w:r>
            <w:r>
              <w:rPr>
                <w:rFonts w:hint="eastAsia" w:ascii="Times New Roman" w:hAnsi="Times New Roman" w:eastAsia="宋体" w:cs="Times New Roman"/>
                <w:i w:val="0"/>
                <w:snapToGrid w:val="0"/>
                <w:color w:val="auto"/>
                <w:kern w:val="0"/>
                <w:sz w:val="21"/>
                <w:szCs w:val="21"/>
                <w:u w:val="none"/>
                <w:lang w:val="en-US" w:eastAsia="zh-CN" w:bidi="ar"/>
              </w:rPr>
              <w:t>0.062</w:t>
            </w:r>
          </w:p>
        </w:tc>
        <w:tc>
          <w:tcPr>
            <w:tcW w:w="1170" w:type="dxa"/>
            <w:tcBorders>
              <w:tl2br w:val="nil"/>
              <w:tr2bl w:val="nil"/>
            </w:tcBorders>
            <w:noWrap/>
            <w:tcMar>
              <w:top w:w="15" w:type="dxa"/>
              <w:left w:w="15" w:type="dxa"/>
              <w:right w:w="15" w:type="dxa"/>
            </w:tcMar>
            <w:vAlign w:val="center"/>
          </w:tcPr>
          <w:p w14:paraId="636F1FC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snapToGrid w:val="0"/>
                <w:color w:val="auto"/>
                <w:kern w:val="0"/>
                <w:sz w:val="21"/>
                <w:szCs w:val="21"/>
                <w:u w:val="none"/>
                <w:lang w:val="en-US" w:eastAsia="zh-CN" w:bidi="ar"/>
              </w:rPr>
              <w:t>1521.6</w:t>
            </w:r>
          </w:p>
        </w:tc>
        <w:tc>
          <w:tcPr>
            <w:tcW w:w="1061" w:type="dxa"/>
            <w:tcBorders>
              <w:tl2br w:val="nil"/>
              <w:tr2bl w:val="nil"/>
            </w:tcBorders>
            <w:noWrap/>
            <w:tcMar>
              <w:top w:w="15" w:type="dxa"/>
              <w:left w:w="15" w:type="dxa"/>
              <w:right w:w="15" w:type="dxa"/>
            </w:tcMar>
            <w:vAlign w:val="center"/>
          </w:tcPr>
          <w:p w14:paraId="053593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snapToGrid w:val="0"/>
                <w:color w:val="auto"/>
                <w:kern w:val="0"/>
                <w:sz w:val="21"/>
                <w:szCs w:val="21"/>
                <w:u w:val="none"/>
                <w:lang w:val="en-US" w:eastAsia="zh-CN" w:bidi="ar"/>
              </w:rPr>
              <w:t>0.4005</w:t>
            </w:r>
          </w:p>
        </w:tc>
        <w:tc>
          <w:tcPr>
            <w:tcW w:w="953" w:type="dxa"/>
            <w:tcBorders>
              <w:tl2br w:val="nil"/>
              <w:tr2bl w:val="nil"/>
            </w:tcBorders>
            <w:noWrap/>
            <w:tcMar>
              <w:top w:w="15" w:type="dxa"/>
              <w:left w:w="15" w:type="dxa"/>
              <w:right w:w="15" w:type="dxa"/>
            </w:tcMar>
            <w:vAlign w:val="center"/>
          </w:tcPr>
          <w:p w14:paraId="6624B8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snapToGrid w:val="0"/>
                <w:color w:val="auto"/>
                <w:kern w:val="0"/>
                <w:sz w:val="21"/>
                <w:szCs w:val="21"/>
                <w:u w:val="none"/>
                <w:lang w:val="en-US" w:eastAsia="zh-CN" w:bidi="ar"/>
              </w:rPr>
              <w:t>0.0</w:t>
            </w:r>
            <w:r>
              <w:rPr>
                <w:rFonts w:hint="eastAsia" w:ascii="Times New Roman" w:hAnsi="Times New Roman" w:eastAsia="宋体" w:cs="Times New Roman"/>
                <w:i w:val="0"/>
                <w:snapToGrid w:val="0"/>
                <w:color w:val="auto"/>
                <w:kern w:val="0"/>
                <w:sz w:val="21"/>
                <w:szCs w:val="21"/>
                <w:u w:val="none"/>
                <w:lang w:val="en-US" w:eastAsia="zh-CN" w:bidi="ar"/>
              </w:rPr>
              <w:t>432</w:t>
            </w:r>
          </w:p>
        </w:tc>
        <w:tc>
          <w:tcPr>
            <w:tcW w:w="1861" w:type="dxa"/>
            <w:tcBorders>
              <w:tl2br w:val="nil"/>
              <w:tr2bl w:val="nil"/>
            </w:tcBorders>
            <w:noWrap/>
            <w:tcMar>
              <w:top w:w="15" w:type="dxa"/>
              <w:left w:w="15" w:type="dxa"/>
              <w:right w:w="15" w:type="dxa"/>
            </w:tcMar>
            <w:vAlign w:val="center"/>
          </w:tcPr>
          <w:p w14:paraId="204EA3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455A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BC87659">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21</w:t>
            </w:r>
          </w:p>
        </w:tc>
        <w:tc>
          <w:tcPr>
            <w:tcW w:w="1526" w:type="dxa"/>
            <w:tcBorders>
              <w:tl2br w:val="nil"/>
              <w:tr2bl w:val="nil"/>
            </w:tcBorders>
            <w:noWrap w:val="0"/>
            <w:tcMar>
              <w:top w:w="15" w:type="dxa"/>
              <w:left w:w="15" w:type="dxa"/>
              <w:right w:w="15" w:type="dxa"/>
            </w:tcMar>
            <w:vAlign w:val="center"/>
          </w:tcPr>
          <w:p w14:paraId="3975F4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湖南金世联塑业有限公司</w:t>
            </w:r>
          </w:p>
        </w:tc>
        <w:tc>
          <w:tcPr>
            <w:tcW w:w="608" w:type="dxa"/>
            <w:tcBorders>
              <w:tl2br w:val="nil"/>
              <w:tr2bl w:val="nil"/>
            </w:tcBorders>
            <w:noWrap w:val="0"/>
            <w:tcMar>
              <w:top w:w="15" w:type="dxa"/>
              <w:left w:w="15" w:type="dxa"/>
              <w:right w:w="15" w:type="dxa"/>
            </w:tcMar>
            <w:vAlign w:val="center"/>
          </w:tcPr>
          <w:p w14:paraId="607C57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8000</w:t>
            </w:r>
          </w:p>
        </w:tc>
        <w:tc>
          <w:tcPr>
            <w:tcW w:w="750" w:type="dxa"/>
            <w:tcBorders>
              <w:tl2br w:val="nil"/>
              <w:tr2bl w:val="nil"/>
            </w:tcBorders>
            <w:noWrap/>
            <w:tcMar>
              <w:top w:w="15" w:type="dxa"/>
              <w:left w:w="15" w:type="dxa"/>
              <w:right w:w="15" w:type="dxa"/>
            </w:tcMar>
            <w:vAlign w:val="center"/>
          </w:tcPr>
          <w:p w14:paraId="5CA6A5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1.149</w:t>
            </w:r>
          </w:p>
        </w:tc>
        <w:tc>
          <w:tcPr>
            <w:tcW w:w="990" w:type="dxa"/>
            <w:tcBorders>
              <w:tl2br w:val="nil"/>
              <w:tr2bl w:val="nil"/>
            </w:tcBorders>
            <w:noWrap/>
            <w:tcMar>
              <w:top w:w="15" w:type="dxa"/>
              <w:left w:w="15" w:type="dxa"/>
              <w:right w:w="15" w:type="dxa"/>
            </w:tcMar>
            <w:vAlign w:val="center"/>
          </w:tcPr>
          <w:p w14:paraId="2041AA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w:t>
            </w:r>
          </w:p>
        </w:tc>
        <w:tc>
          <w:tcPr>
            <w:tcW w:w="901" w:type="dxa"/>
            <w:tcBorders>
              <w:tl2br w:val="nil"/>
              <w:tr2bl w:val="nil"/>
            </w:tcBorders>
            <w:noWrap/>
            <w:tcMar>
              <w:top w:w="15" w:type="dxa"/>
              <w:left w:w="15" w:type="dxa"/>
              <w:right w:w="15" w:type="dxa"/>
            </w:tcMar>
            <w:vAlign w:val="center"/>
          </w:tcPr>
          <w:p w14:paraId="72FAA2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w:t>
            </w:r>
          </w:p>
        </w:tc>
        <w:tc>
          <w:tcPr>
            <w:tcW w:w="1250" w:type="dxa"/>
            <w:tcBorders>
              <w:tl2br w:val="nil"/>
              <w:tr2bl w:val="nil"/>
            </w:tcBorders>
            <w:noWrap/>
            <w:tcMar>
              <w:top w:w="15" w:type="dxa"/>
              <w:left w:w="15" w:type="dxa"/>
              <w:right w:w="15" w:type="dxa"/>
            </w:tcMar>
            <w:vAlign w:val="center"/>
          </w:tcPr>
          <w:p w14:paraId="245C47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3.4</w:t>
            </w:r>
          </w:p>
        </w:tc>
        <w:tc>
          <w:tcPr>
            <w:tcW w:w="2367" w:type="dxa"/>
            <w:tcBorders>
              <w:tl2br w:val="nil"/>
              <w:tr2bl w:val="nil"/>
            </w:tcBorders>
            <w:noWrap w:val="0"/>
            <w:tcMar>
              <w:top w:w="15" w:type="dxa"/>
              <w:left w:w="15" w:type="dxa"/>
              <w:right w:w="15" w:type="dxa"/>
            </w:tcMar>
            <w:vAlign w:val="center"/>
          </w:tcPr>
          <w:p w14:paraId="61124A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HCL:0.328</w:t>
            </w:r>
          </w:p>
        </w:tc>
        <w:tc>
          <w:tcPr>
            <w:tcW w:w="1170" w:type="dxa"/>
            <w:tcBorders>
              <w:tl2br w:val="nil"/>
              <w:tr2bl w:val="nil"/>
            </w:tcBorders>
            <w:noWrap/>
            <w:tcMar>
              <w:top w:w="15" w:type="dxa"/>
              <w:left w:w="15" w:type="dxa"/>
              <w:right w:w="15" w:type="dxa"/>
            </w:tcMar>
            <w:vAlign w:val="center"/>
          </w:tcPr>
          <w:p w14:paraId="5A8F7B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2215</w:t>
            </w:r>
          </w:p>
        </w:tc>
        <w:tc>
          <w:tcPr>
            <w:tcW w:w="1061" w:type="dxa"/>
            <w:tcBorders>
              <w:tl2br w:val="nil"/>
              <w:tr2bl w:val="nil"/>
            </w:tcBorders>
            <w:noWrap/>
            <w:tcMar>
              <w:top w:w="15" w:type="dxa"/>
              <w:left w:w="15" w:type="dxa"/>
              <w:right w:w="15" w:type="dxa"/>
            </w:tcMar>
            <w:vAlign w:val="center"/>
          </w:tcPr>
          <w:p w14:paraId="766F5F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0.317</w:t>
            </w:r>
          </w:p>
        </w:tc>
        <w:tc>
          <w:tcPr>
            <w:tcW w:w="953" w:type="dxa"/>
            <w:tcBorders>
              <w:tl2br w:val="nil"/>
              <w:tr2bl w:val="nil"/>
            </w:tcBorders>
            <w:noWrap/>
            <w:tcMar>
              <w:top w:w="15" w:type="dxa"/>
              <w:left w:w="15" w:type="dxa"/>
              <w:right w:w="15" w:type="dxa"/>
            </w:tcMar>
            <w:vAlign w:val="center"/>
          </w:tcPr>
          <w:p w14:paraId="3E6DC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0.048</w:t>
            </w:r>
          </w:p>
        </w:tc>
        <w:tc>
          <w:tcPr>
            <w:tcW w:w="1861" w:type="dxa"/>
            <w:tcBorders>
              <w:tl2br w:val="nil"/>
              <w:tr2bl w:val="nil"/>
            </w:tcBorders>
            <w:noWrap/>
            <w:tcMar>
              <w:top w:w="15" w:type="dxa"/>
              <w:left w:w="15" w:type="dxa"/>
              <w:right w:w="15" w:type="dxa"/>
            </w:tcMar>
            <w:vAlign w:val="center"/>
          </w:tcPr>
          <w:p w14:paraId="5A4D3A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E799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FBF4BEC">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22</w:t>
            </w:r>
          </w:p>
        </w:tc>
        <w:tc>
          <w:tcPr>
            <w:tcW w:w="1526" w:type="dxa"/>
            <w:tcBorders>
              <w:tl2br w:val="nil"/>
              <w:tr2bl w:val="nil"/>
            </w:tcBorders>
            <w:noWrap w:val="0"/>
            <w:tcMar>
              <w:top w:w="15" w:type="dxa"/>
              <w:left w:w="15" w:type="dxa"/>
              <w:right w:w="15" w:type="dxa"/>
            </w:tcMar>
            <w:vAlign w:val="center"/>
          </w:tcPr>
          <w:p w14:paraId="06B08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汨罗市华先碳素有限公司</w:t>
            </w:r>
          </w:p>
        </w:tc>
        <w:tc>
          <w:tcPr>
            <w:tcW w:w="608" w:type="dxa"/>
            <w:tcBorders>
              <w:tl2br w:val="nil"/>
              <w:tr2bl w:val="nil"/>
            </w:tcBorders>
            <w:noWrap w:val="0"/>
            <w:tcMar>
              <w:top w:w="15" w:type="dxa"/>
              <w:left w:w="15" w:type="dxa"/>
              <w:right w:w="15" w:type="dxa"/>
            </w:tcMar>
            <w:vAlign w:val="center"/>
          </w:tcPr>
          <w:p w14:paraId="74B37A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20210</w:t>
            </w:r>
          </w:p>
        </w:tc>
        <w:tc>
          <w:tcPr>
            <w:tcW w:w="750" w:type="dxa"/>
            <w:tcBorders>
              <w:tl2br w:val="nil"/>
              <w:tr2bl w:val="nil"/>
            </w:tcBorders>
            <w:noWrap/>
            <w:tcMar>
              <w:top w:w="15" w:type="dxa"/>
              <w:left w:w="15" w:type="dxa"/>
              <w:right w:w="15" w:type="dxa"/>
            </w:tcMar>
            <w:vAlign w:val="center"/>
          </w:tcPr>
          <w:p w14:paraId="013286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3.36</w:t>
            </w:r>
          </w:p>
        </w:tc>
        <w:tc>
          <w:tcPr>
            <w:tcW w:w="990" w:type="dxa"/>
            <w:tcBorders>
              <w:tl2br w:val="nil"/>
              <w:tr2bl w:val="nil"/>
            </w:tcBorders>
            <w:noWrap/>
            <w:tcMar>
              <w:top w:w="15" w:type="dxa"/>
              <w:left w:w="15" w:type="dxa"/>
              <w:right w:w="15" w:type="dxa"/>
            </w:tcMar>
            <w:vAlign w:val="center"/>
          </w:tcPr>
          <w:p w14:paraId="5051DF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w:t>
            </w:r>
          </w:p>
        </w:tc>
        <w:tc>
          <w:tcPr>
            <w:tcW w:w="901" w:type="dxa"/>
            <w:tcBorders>
              <w:tl2br w:val="nil"/>
              <w:tr2bl w:val="nil"/>
            </w:tcBorders>
            <w:noWrap/>
            <w:tcMar>
              <w:top w:w="15" w:type="dxa"/>
              <w:left w:w="15" w:type="dxa"/>
              <w:right w:w="15" w:type="dxa"/>
            </w:tcMar>
            <w:vAlign w:val="center"/>
          </w:tcPr>
          <w:p w14:paraId="7DD6F2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3.93</w:t>
            </w:r>
          </w:p>
        </w:tc>
        <w:tc>
          <w:tcPr>
            <w:tcW w:w="1250" w:type="dxa"/>
            <w:tcBorders>
              <w:tl2br w:val="nil"/>
              <w:tr2bl w:val="nil"/>
            </w:tcBorders>
            <w:noWrap/>
            <w:tcMar>
              <w:top w:w="15" w:type="dxa"/>
              <w:left w:w="15" w:type="dxa"/>
              <w:right w:w="15" w:type="dxa"/>
            </w:tcMar>
            <w:vAlign w:val="center"/>
          </w:tcPr>
          <w:p w14:paraId="1D576A7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val="0"/>
            <w:tcMar>
              <w:top w:w="15" w:type="dxa"/>
              <w:left w:w="15" w:type="dxa"/>
              <w:right w:w="15" w:type="dxa"/>
            </w:tcMar>
            <w:vAlign w:val="center"/>
          </w:tcPr>
          <w:p w14:paraId="20FA9D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沥青烟1.379</w:t>
            </w:r>
          </w:p>
        </w:tc>
        <w:tc>
          <w:tcPr>
            <w:tcW w:w="1170" w:type="dxa"/>
            <w:tcBorders>
              <w:tl2br w:val="nil"/>
              <w:tr2bl w:val="nil"/>
            </w:tcBorders>
            <w:noWrap/>
            <w:tcMar>
              <w:top w:w="15" w:type="dxa"/>
              <w:left w:w="15" w:type="dxa"/>
              <w:right w:w="15" w:type="dxa"/>
            </w:tcMar>
            <w:vAlign w:val="center"/>
          </w:tcPr>
          <w:p w14:paraId="568A6B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7642.8</w:t>
            </w:r>
          </w:p>
        </w:tc>
        <w:tc>
          <w:tcPr>
            <w:tcW w:w="1061" w:type="dxa"/>
            <w:tcBorders>
              <w:tl2br w:val="nil"/>
              <w:tr2bl w:val="nil"/>
            </w:tcBorders>
            <w:noWrap/>
            <w:tcMar>
              <w:top w:w="15" w:type="dxa"/>
              <w:left w:w="15" w:type="dxa"/>
              <w:right w:w="15" w:type="dxa"/>
            </w:tcMar>
            <w:vAlign w:val="center"/>
          </w:tcPr>
          <w:p w14:paraId="0F9E84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0.4</w:t>
            </w:r>
          </w:p>
        </w:tc>
        <w:tc>
          <w:tcPr>
            <w:tcW w:w="953" w:type="dxa"/>
            <w:tcBorders>
              <w:tl2br w:val="nil"/>
              <w:tr2bl w:val="nil"/>
            </w:tcBorders>
            <w:noWrap/>
            <w:tcMar>
              <w:top w:w="15" w:type="dxa"/>
              <w:left w:w="15" w:type="dxa"/>
              <w:right w:w="15" w:type="dxa"/>
            </w:tcMar>
            <w:vAlign w:val="center"/>
          </w:tcPr>
          <w:p w14:paraId="56B08B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1861" w:type="dxa"/>
            <w:tcBorders>
              <w:tl2br w:val="nil"/>
              <w:tr2bl w:val="nil"/>
            </w:tcBorders>
            <w:noWrap/>
            <w:tcMar>
              <w:top w:w="15" w:type="dxa"/>
              <w:left w:w="15" w:type="dxa"/>
              <w:right w:w="15" w:type="dxa"/>
            </w:tcMar>
            <w:vAlign w:val="center"/>
          </w:tcPr>
          <w:p w14:paraId="464812D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6EC9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07C504A">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23</w:t>
            </w:r>
          </w:p>
        </w:tc>
        <w:tc>
          <w:tcPr>
            <w:tcW w:w="1526" w:type="dxa"/>
            <w:tcBorders>
              <w:tl2br w:val="nil"/>
              <w:tr2bl w:val="nil"/>
            </w:tcBorders>
            <w:noWrap w:val="0"/>
            <w:tcMar>
              <w:top w:w="15" w:type="dxa"/>
              <w:left w:w="15" w:type="dxa"/>
              <w:right w:w="15" w:type="dxa"/>
            </w:tcMar>
            <w:vAlign w:val="center"/>
          </w:tcPr>
          <w:p w14:paraId="7A234F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湖南现代家俱装饰有限公司</w:t>
            </w:r>
          </w:p>
        </w:tc>
        <w:tc>
          <w:tcPr>
            <w:tcW w:w="608" w:type="dxa"/>
            <w:tcBorders>
              <w:tl2br w:val="nil"/>
              <w:tr2bl w:val="nil"/>
            </w:tcBorders>
            <w:noWrap w:val="0"/>
            <w:tcMar>
              <w:top w:w="15" w:type="dxa"/>
              <w:left w:w="15" w:type="dxa"/>
              <w:right w:w="15" w:type="dxa"/>
            </w:tcMar>
            <w:vAlign w:val="center"/>
          </w:tcPr>
          <w:p w14:paraId="231109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37965</w:t>
            </w:r>
          </w:p>
        </w:tc>
        <w:tc>
          <w:tcPr>
            <w:tcW w:w="750" w:type="dxa"/>
            <w:tcBorders>
              <w:tl2br w:val="nil"/>
              <w:tr2bl w:val="nil"/>
            </w:tcBorders>
            <w:noWrap/>
            <w:tcMar>
              <w:top w:w="15" w:type="dxa"/>
              <w:left w:w="15" w:type="dxa"/>
              <w:right w:w="15" w:type="dxa"/>
            </w:tcMar>
            <w:vAlign w:val="center"/>
          </w:tcPr>
          <w:p w14:paraId="4821E7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0" w:type="dxa"/>
            <w:tcBorders>
              <w:tl2br w:val="nil"/>
              <w:tr2bl w:val="nil"/>
            </w:tcBorders>
            <w:noWrap/>
            <w:tcMar>
              <w:top w:w="15" w:type="dxa"/>
              <w:left w:w="15" w:type="dxa"/>
              <w:right w:w="15" w:type="dxa"/>
            </w:tcMar>
            <w:vAlign w:val="center"/>
          </w:tcPr>
          <w:p w14:paraId="5ED9C4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5B7375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06B5D03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77F82C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2AC821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66F47E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3B6D1C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018FCF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053EDA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BB6057B">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24</w:t>
            </w:r>
          </w:p>
        </w:tc>
        <w:tc>
          <w:tcPr>
            <w:tcW w:w="1526" w:type="dxa"/>
            <w:tcBorders>
              <w:tl2br w:val="nil"/>
              <w:tr2bl w:val="nil"/>
            </w:tcBorders>
            <w:noWrap w:val="0"/>
            <w:tcMar>
              <w:top w:w="15" w:type="dxa"/>
              <w:left w:w="15" w:type="dxa"/>
              <w:right w:w="15" w:type="dxa"/>
            </w:tcMar>
            <w:vAlign w:val="center"/>
          </w:tcPr>
          <w:p w14:paraId="5ED0E9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汨罗市润达玻璃有限责任公司</w:t>
            </w:r>
          </w:p>
        </w:tc>
        <w:tc>
          <w:tcPr>
            <w:tcW w:w="608" w:type="dxa"/>
            <w:tcBorders>
              <w:tl2br w:val="nil"/>
              <w:tr2bl w:val="nil"/>
            </w:tcBorders>
            <w:noWrap w:val="0"/>
            <w:tcMar>
              <w:top w:w="15" w:type="dxa"/>
              <w:left w:w="15" w:type="dxa"/>
              <w:right w:w="15" w:type="dxa"/>
            </w:tcMar>
            <w:vAlign w:val="center"/>
          </w:tcPr>
          <w:p w14:paraId="1717C6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6000</w:t>
            </w:r>
          </w:p>
        </w:tc>
        <w:tc>
          <w:tcPr>
            <w:tcW w:w="750" w:type="dxa"/>
            <w:tcBorders>
              <w:tl2br w:val="nil"/>
              <w:tr2bl w:val="nil"/>
            </w:tcBorders>
            <w:noWrap/>
            <w:tcMar>
              <w:top w:w="15" w:type="dxa"/>
              <w:left w:w="15" w:type="dxa"/>
              <w:right w:w="15" w:type="dxa"/>
            </w:tcMar>
            <w:vAlign w:val="center"/>
          </w:tcPr>
          <w:p w14:paraId="00D170D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1.0368</w:t>
            </w:r>
          </w:p>
        </w:tc>
        <w:tc>
          <w:tcPr>
            <w:tcW w:w="990" w:type="dxa"/>
            <w:tcBorders>
              <w:tl2br w:val="nil"/>
              <w:tr2bl w:val="nil"/>
            </w:tcBorders>
            <w:noWrap/>
            <w:tcMar>
              <w:top w:w="15" w:type="dxa"/>
              <w:left w:w="15" w:type="dxa"/>
              <w:right w:w="15" w:type="dxa"/>
            </w:tcMar>
            <w:vAlign w:val="center"/>
          </w:tcPr>
          <w:p w14:paraId="5CAF8E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4A477B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71A6E0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0.0000064</w:t>
            </w:r>
          </w:p>
        </w:tc>
        <w:tc>
          <w:tcPr>
            <w:tcW w:w="2367" w:type="dxa"/>
            <w:tcBorders>
              <w:tl2br w:val="nil"/>
              <w:tr2bl w:val="nil"/>
            </w:tcBorders>
            <w:noWrap/>
            <w:tcMar>
              <w:top w:w="15" w:type="dxa"/>
              <w:left w:w="15" w:type="dxa"/>
              <w:right w:w="15" w:type="dxa"/>
            </w:tcMar>
            <w:vAlign w:val="center"/>
          </w:tcPr>
          <w:p w14:paraId="21A11F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66B908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1095</w:t>
            </w:r>
          </w:p>
        </w:tc>
        <w:tc>
          <w:tcPr>
            <w:tcW w:w="1061" w:type="dxa"/>
            <w:tcBorders>
              <w:tl2br w:val="nil"/>
              <w:tr2bl w:val="nil"/>
            </w:tcBorders>
            <w:noWrap/>
            <w:tcMar>
              <w:top w:w="15" w:type="dxa"/>
              <w:left w:w="15" w:type="dxa"/>
              <w:right w:w="15" w:type="dxa"/>
            </w:tcMar>
            <w:vAlign w:val="center"/>
          </w:tcPr>
          <w:p w14:paraId="693A35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0.0657</w:t>
            </w:r>
          </w:p>
        </w:tc>
        <w:tc>
          <w:tcPr>
            <w:tcW w:w="953" w:type="dxa"/>
            <w:tcBorders>
              <w:tl2br w:val="nil"/>
              <w:tr2bl w:val="nil"/>
            </w:tcBorders>
            <w:noWrap/>
            <w:tcMar>
              <w:top w:w="15" w:type="dxa"/>
              <w:left w:w="15" w:type="dxa"/>
              <w:right w:w="15" w:type="dxa"/>
            </w:tcMar>
            <w:vAlign w:val="center"/>
          </w:tcPr>
          <w:p w14:paraId="2B64F9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0.0164</w:t>
            </w:r>
          </w:p>
        </w:tc>
        <w:tc>
          <w:tcPr>
            <w:tcW w:w="1861" w:type="dxa"/>
            <w:tcBorders>
              <w:tl2br w:val="nil"/>
              <w:tr2bl w:val="nil"/>
            </w:tcBorders>
            <w:noWrap/>
            <w:tcMar>
              <w:top w:w="15" w:type="dxa"/>
              <w:left w:w="15" w:type="dxa"/>
              <w:right w:w="15" w:type="dxa"/>
            </w:tcMar>
            <w:vAlign w:val="center"/>
          </w:tcPr>
          <w:p w14:paraId="3076EBE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39D1B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750B120">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25</w:t>
            </w:r>
          </w:p>
        </w:tc>
        <w:tc>
          <w:tcPr>
            <w:tcW w:w="1526" w:type="dxa"/>
            <w:tcBorders>
              <w:tl2br w:val="nil"/>
              <w:tr2bl w:val="nil"/>
            </w:tcBorders>
            <w:noWrap w:val="0"/>
            <w:tcMar>
              <w:top w:w="15" w:type="dxa"/>
              <w:left w:w="15" w:type="dxa"/>
              <w:right w:w="15" w:type="dxa"/>
            </w:tcMar>
            <w:vAlign w:val="center"/>
          </w:tcPr>
          <w:p w14:paraId="5195C9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汨罗市龙舟惠群农机有限公司</w:t>
            </w:r>
          </w:p>
        </w:tc>
        <w:tc>
          <w:tcPr>
            <w:tcW w:w="608" w:type="dxa"/>
            <w:tcBorders>
              <w:tl2br w:val="nil"/>
              <w:tr2bl w:val="nil"/>
            </w:tcBorders>
            <w:noWrap w:val="0"/>
            <w:tcMar>
              <w:top w:w="15" w:type="dxa"/>
              <w:left w:w="15" w:type="dxa"/>
              <w:right w:w="15" w:type="dxa"/>
            </w:tcMar>
            <w:vAlign w:val="center"/>
          </w:tcPr>
          <w:p w14:paraId="4B426F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9400</w:t>
            </w:r>
          </w:p>
        </w:tc>
        <w:tc>
          <w:tcPr>
            <w:tcW w:w="750" w:type="dxa"/>
            <w:tcBorders>
              <w:tl2br w:val="nil"/>
              <w:tr2bl w:val="nil"/>
            </w:tcBorders>
            <w:noWrap/>
            <w:tcMar>
              <w:top w:w="15" w:type="dxa"/>
              <w:left w:w="15" w:type="dxa"/>
              <w:right w:w="15" w:type="dxa"/>
            </w:tcMar>
            <w:vAlign w:val="center"/>
          </w:tcPr>
          <w:p w14:paraId="6558DF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w:t>
            </w:r>
          </w:p>
        </w:tc>
        <w:tc>
          <w:tcPr>
            <w:tcW w:w="990" w:type="dxa"/>
            <w:tcBorders>
              <w:tl2br w:val="nil"/>
              <w:tr2bl w:val="nil"/>
            </w:tcBorders>
            <w:noWrap/>
            <w:tcMar>
              <w:top w:w="15" w:type="dxa"/>
              <w:left w:w="15" w:type="dxa"/>
              <w:right w:w="15" w:type="dxa"/>
            </w:tcMar>
            <w:vAlign w:val="center"/>
          </w:tcPr>
          <w:p w14:paraId="153EBE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0.001</w:t>
            </w:r>
          </w:p>
        </w:tc>
        <w:tc>
          <w:tcPr>
            <w:tcW w:w="901" w:type="dxa"/>
            <w:tcBorders>
              <w:tl2br w:val="nil"/>
              <w:tr2bl w:val="nil"/>
            </w:tcBorders>
            <w:noWrap/>
            <w:tcMar>
              <w:top w:w="15" w:type="dxa"/>
              <w:left w:w="15" w:type="dxa"/>
              <w:right w:w="15" w:type="dxa"/>
            </w:tcMar>
            <w:vAlign w:val="center"/>
          </w:tcPr>
          <w:p w14:paraId="67133E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50B6AD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4BD915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4DCC86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450</w:t>
            </w:r>
          </w:p>
        </w:tc>
        <w:tc>
          <w:tcPr>
            <w:tcW w:w="1061" w:type="dxa"/>
            <w:tcBorders>
              <w:tl2br w:val="nil"/>
              <w:tr2bl w:val="nil"/>
            </w:tcBorders>
            <w:noWrap/>
            <w:tcMar>
              <w:top w:w="15" w:type="dxa"/>
              <w:left w:w="15" w:type="dxa"/>
              <w:right w:w="15" w:type="dxa"/>
            </w:tcMar>
            <w:vAlign w:val="center"/>
          </w:tcPr>
          <w:p w14:paraId="49A592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0.225</w:t>
            </w:r>
          </w:p>
        </w:tc>
        <w:tc>
          <w:tcPr>
            <w:tcW w:w="953" w:type="dxa"/>
            <w:tcBorders>
              <w:tl2br w:val="nil"/>
              <w:tr2bl w:val="nil"/>
            </w:tcBorders>
            <w:noWrap/>
            <w:tcMar>
              <w:top w:w="15" w:type="dxa"/>
              <w:left w:w="15" w:type="dxa"/>
              <w:right w:w="15" w:type="dxa"/>
            </w:tcMar>
            <w:vAlign w:val="center"/>
          </w:tcPr>
          <w:p w14:paraId="01A0D5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0.0036</w:t>
            </w:r>
          </w:p>
        </w:tc>
        <w:tc>
          <w:tcPr>
            <w:tcW w:w="1861" w:type="dxa"/>
            <w:tcBorders>
              <w:tl2br w:val="nil"/>
              <w:tr2bl w:val="nil"/>
            </w:tcBorders>
            <w:noWrap/>
            <w:tcMar>
              <w:top w:w="15" w:type="dxa"/>
              <w:left w:w="15" w:type="dxa"/>
              <w:right w:w="15" w:type="dxa"/>
            </w:tcMar>
            <w:vAlign w:val="center"/>
          </w:tcPr>
          <w:p w14:paraId="74F37BA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E86E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D2BB8A1">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26</w:t>
            </w:r>
          </w:p>
        </w:tc>
        <w:tc>
          <w:tcPr>
            <w:tcW w:w="1526" w:type="dxa"/>
            <w:tcBorders>
              <w:tl2br w:val="nil"/>
              <w:tr2bl w:val="nil"/>
            </w:tcBorders>
            <w:noWrap w:val="0"/>
            <w:tcMar>
              <w:top w:w="15" w:type="dxa"/>
              <w:left w:w="15" w:type="dxa"/>
              <w:right w:w="15" w:type="dxa"/>
            </w:tcMar>
            <w:vAlign w:val="center"/>
          </w:tcPr>
          <w:p w14:paraId="6F3FB2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湖南天永晨威智能装备有限公司(原湖南晨威高科有限公司)</w:t>
            </w:r>
          </w:p>
        </w:tc>
        <w:tc>
          <w:tcPr>
            <w:tcW w:w="608" w:type="dxa"/>
            <w:tcBorders>
              <w:tl2br w:val="nil"/>
              <w:tr2bl w:val="nil"/>
            </w:tcBorders>
            <w:noWrap w:val="0"/>
            <w:tcMar>
              <w:top w:w="15" w:type="dxa"/>
              <w:left w:w="15" w:type="dxa"/>
              <w:right w:w="15" w:type="dxa"/>
            </w:tcMar>
            <w:vAlign w:val="center"/>
          </w:tcPr>
          <w:p w14:paraId="4A6861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23400</w:t>
            </w:r>
          </w:p>
        </w:tc>
        <w:tc>
          <w:tcPr>
            <w:tcW w:w="750" w:type="dxa"/>
            <w:tcBorders>
              <w:tl2br w:val="nil"/>
              <w:tr2bl w:val="nil"/>
            </w:tcBorders>
            <w:noWrap/>
            <w:tcMar>
              <w:top w:w="15" w:type="dxa"/>
              <w:left w:w="15" w:type="dxa"/>
              <w:right w:w="15" w:type="dxa"/>
            </w:tcMar>
            <w:vAlign w:val="center"/>
          </w:tcPr>
          <w:p w14:paraId="355588E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1.5</w:t>
            </w:r>
          </w:p>
        </w:tc>
        <w:tc>
          <w:tcPr>
            <w:tcW w:w="990" w:type="dxa"/>
            <w:tcBorders>
              <w:tl2br w:val="nil"/>
              <w:tr2bl w:val="nil"/>
            </w:tcBorders>
            <w:noWrap/>
            <w:tcMar>
              <w:top w:w="15" w:type="dxa"/>
              <w:left w:w="15" w:type="dxa"/>
              <w:right w:w="15" w:type="dxa"/>
            </w:tcMar>
            <w:vAlign w:val="center"/>
          </w:tcPr>
          <w:p w14:paraId="0C73E42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49F24B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7C5E9A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0.18</w:t>
            </w:r>
          </w:p>
        </w:tc>
        <w:tc>
          <w:tcPr>
            <w:tcW w:w="2367" w:type="dxa"/>
            <w:tcBorders>
              <w:tl2br w:val="nil"/>
              <w:tr2bl w:val="nil"/>
            </w:tcBorders>
            <w:noWrap/>
            <w:tcMar>
              <w:top w:w="15" w:type="dxa"/>
              <w:left w:w="15" w:type="dxa"/>
              <w:right w:w="15" w:type="dxa"/>
            </w:tcMar>
            <w:vAlign w:val="center"/>
          </w:tcPr>
          <w:p w14:paraId="00C3C9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C4517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11250</w:t>
            </w:r>
          </w:p>
        </w:tc>
        <w:tc>
          <w:tcPr>
            <w:tcW w:w="1061" w:type="dxa"/>
            <w:tcBorders>
              <w:tl2br w:val="nil"/>
              <w:tr2bl w:val="nil"/>
            </w:tcBorders>
            <w:noWrap/>
            <w:tcMar>
              <w:top w:w="15" w:type="dxa"/>
              <w:left w:w="15" w:type="dxa"/>
              <w:right w:w="15" w:type="dxa"/>
            </w:tcMar>
            <w:vAlign w:val="center"/>
          </w:tcPr>
          <w:p w14:paraId="27916F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1.45</w:t>
            </w:r>
          </w:p>
        </w:tc>
        <w:tc>
          <w:tcPr>
            <w:tcW w:w="953" w:type="dxa"/>
            <w:tcBorders>
              <w:tl2br w:val="nil"/>
              <w:tr2bl w:val="nil"/>
            </w:tcBorders>
            <w:noWrap/>
            <w:tcMar>
              <w:top w:w="15" w:type="dxa"/>
              <w:left w:w="15" w:type="dxa"/>
              <w:right w:w="15" w:type="dxa"/>
            </w:tcMar>
            <w:vAlign w:val="center"/>
          </w:tcPr>
          <w:p w14:paraId="3AD57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w:t>
            </w:r>
          </w:p>
        </w:tc>
        <w:tc>
          <w:tcPr>
            <w:tcW w:w="1861" w:type="dxa"/>
            <w:tcBorders>
              <w:tl2br w:val="nil"/>
              <w:tr2bl w:val="nil"/>
            </w:tcBorders>
            <w:noWrap/>
            <w:tcMar>
              <w:top w:w="15" w:type="dxa"/>
              <w:left w:w="15" w:type="dxa"/>
              <w:right w:w="15" w:type="dxa"/>
            </w:tcMar>
            <w:vAlign w:val="center"/>
          </w:tcPr>
          <w:p w14:paraId="26A08F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3B39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9BC189B">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27</w:t>
            </w:r>
          </w:p>
        </w:tc>
        <w:tc>
          <w:tcPr>
            <w:tcW w:w="1526" w:type="dxa"/>
            <w:tcBorders>
              <w:tl2br w:val="nil"/>
              <w:tr2bl w:val="nil"/>
            </w:tcBorders>
            <w:noWrap w:val="0"/>
            <w:tcMar>
              <w:top w:w="15" w:type="dxa"/>
              <w:left w:w="15" w:type="dxa"/>
              <w:right w:w="15" w:type="dxa"/>
            </w:tcMar>
            <w:vAlign w:val="center"/>
          </w:tcPr>
          <w:p w14:paraId="1ADB28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汨罗凯美捷装饰材料有限公司</w:t>
            </w:r>
          </w:p>
        </w:tc>
        <w:tc>
          <w:tcPr>
            <w:tcW w:w="608" w:type="dxa"/>
            <w:tcBorders>
              <w:tl2br w:val="nil"/>
              <w:tr2bl w:val="nil"/>
            </w:tcBorders>
            <w:noWrap w:val="0"/>
            <w:tcMar>
              <w:top w:w="15" w:type="dxa"/>
              <w:left w:w="15" w:type="dxa"/>
              <w:right w:w="15" w:type="dxa"/>
            </w:tcMar>
            <w:vAlign w:val="center"/>
          </w:tcPr>
          <w:p w14:paraId="75EA4F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8000</w:t>
            </w:r>
          </w:p>
        </w:tc>
        <w:tc>
          <w:tcPr>
            <w:tcW w:w="750" w:type="dxa"/>
            <w:tcBorders>
              <w:tl2br w:val="nil"/>
              <w:tr2bl w:val="nil"/>
            </w:tcBorders>
            <w:noWrap/>
            <w:tcMar>
              <w:top w:w="15" w:type="dxa"/>
              <w:left w:w="15" w:type="dxa"/>
              <w:right w:w="15" w:type="dxa"/>
            </w:tcMar>
            <w:vAlign w:val="center"/>
          </w:tcPr>
          <w:p w14:paraId="12D44D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w:t>
            </w:r>
          </w:p>
        </w:tc>
        <w:tc>
          <w:tcPr>
            <w:tcW w:w="990" w:type="dxa"/>
            <w:tcBorders>
              <w:tl2br w:val="nil"/>
              <w:tr2bl w:val="nil"/>
            </w:tcBorders>
            <w:noWrap/>
            <w:tcMar>
              <w:top w:w="15" w:type="dxa"/>
              <w:left w:w="15" w:type="dxa"/>
              <w:right w:w="15" w:type="dxa"/>
            </w:tcMar>
            <w:vAlign w:val="center"/>
          </w:tcPr>
          <w:p w14:paraId="309CDC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6FDF6D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7C3CFF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0.4</w:t>
            </w:r>
          </w:p>
        </w:tc>
        <w:tc>
          <w:tcPr>
            <w:tcW w:w="2367" w:type="dxa"/>
            <w:tcBorders>
              <w:tl2br w:val="nil"/>
              <w:tr2bl w:val="nil"/>
            </w:tcBorders>
            <w:noWrap/>
            <w:tcMar>
              <w:top w:w="15" w:type="dxa"/>
              <w:left w:w="15" w:type="dxa"/>
              <w:right w:w="15" w:type="dxa"/>
            </w:tcMar>
            <w:vAlign w:val="center"/>
          </w:tcPr>
          <w:p w14:paraId="72D972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63591A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900</w:t>
            </w:r>
          </w:p>
        </w:tc>
        <w:tc>
          <w:tcPr>
            <w:tcW w:w="1061" w:type="dxa"/>
            <w:tcBorders>
              <w:tl2br w:val="nil"/>
              <w:tr2bl w:val="nil"/>
            </w:tcBorders>
            <w:noWrap/>
            <w:tcMar>
              <w:top w:w="15" w:type="dxa"/>
              <w:left w:w="15" w:type="dxa"/>
              <w:right w:w="15" w:type="dxa"/>
            </w:tcMar>
            <w:vAlign w:val="center"/>
          </w:tcPr>
          <w:p w14:paraId="66B8D6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0.045</w:t>
            </w:r>
          </w:p>
        </w:tc>
        <w:tc>
          <w:tcPr>
            <w:tcW w:w="953" w:type="dxa"/>
            <w:tcBorders>
              <w:tl2br w:val="nil"/>
              <w:tr2bl w:val="nil"/>
            </w:tcBorders>
            <w:noWrap/>
            <w:tcMar>
              <w:top w:w="15" w:type="dxa"/>
              <w:left w:w="15" w:type="dxa"/>
              <w:right w:w="15" w:type="dxa"/>
            </w:tcMar>
            <w:vAlign w:val="center"/>
          </w:tcPr>
          <w:p w14:paraId="7D9FDF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0.0072</w:t>
            </w:r>
          </w:p>
        </w:tc>
        <w:tc>
          <w:tcPr>
            <w:tcW w:w="1861" w:type="dxa"/>
            <w:tcBorders>
              <w:tl2br w:val="nil"/>
              <w:tr2bl w:val="nil"/>
            </w:tcBorders>
            <w:noWrap/>
            <w:tcMar>
              <w:top w:w="15" w:type="dxa"/>
              <w:left w:w="15" w:type="dxa"/>
              <w:right w:w="15" w:type="dxa"/>
            </w:tcMar>
            <w:vAlign w:val="center"/>
          </w:tcPr>
          <w:p w14:paraId="2BC1D9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11D40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6DA7915">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28</w:t>
            </w:r>
          </w:p>
        </w:tc>
        <w:tc>
          <w:tcPr>
            <w:tcW w:w="1526" w:type="dxa"/>
            <w:tcBorders>
              <w:tl2br w:val="nil"/>
              <w:tr2bl w:val="nil"/>
            </w:tcBorders>
            <w:noWrap w:val="0"/>
            <w:tcMar>
              <w:top w:w="15" w:type="dxa"/>
              <w:left w:w="15" w:type="dxa"/>
              <w:right w:w="15" w:type="dxa"/>
            </w:tcMar>
            <w:vAlign w:val="center"/>
          </w:tcPr>
          <w:p w14:paraId="45106B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汨罗市鑫祥碳素制品有限公司</w:t>
            </w:r>
          </w:p>
        </w:tc>
        <w:tc>
          <w:tcPr>
            <w:tcW w:w="608" w:type="dxa"/>
            <w:tcBorders>
              <w:tl2br w:val="nil"/>
              <w:tr2bl w:val="nil"/>
            </w:tcBorders>
            <w:noWrap w:val="0"/>
            <w:tcMar>
              <w:top w:w="15" w:type="dxa"/>
              <w:left w:w="15" w:type="dxa"/>
              <w:right w:w="15" w:type="dxa"/>
            </w:tcMar>
            <w:vAlign w:val="center"/>
          </w:tcPr>
          <w:p w14:paraId="40C5B2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60000</w:t>
            </w:r>
          </w:p>
        </w:tc>
        <w:tc>
          <w:tcPr>
            <w:tcW w:w="750" w:type="dxa"/>
            <w:tcBorders>
              <w:tl2br w:val="nil"/>
              <w:tr2bl w:val="nil"/>
            </w:tcBorders>
            <w:noWrap/>
            <w:tcMar>
              <w:top w:w="15" w:type="dxa"/>
              <w:left w:w="15" w:type="dxa"/>
              <w:right w:w="15" w:type="dxa"/>
            </w:tcMar>
            <w:vAlign w:val="center"/>
          </w:tcPr>
          <w:p w14:paraId="58DC6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21.262</w:t>
            </w:r>
          </w:p>
        </w:tc>
        <w:tc>
          <w:tcPr>
            <w:tcW w:w="990" w:type="dxa"/>
            <w:tcBorders>
              <w:tl2br w:val="nil"/>
              <w:tr2bl w:val="nil"/>
            </w:tcBorders>
            <w:noWrap/>
            <w:tcMar>
              <w:top w:w="15" w:type="dxa"/>
              <w:left w:w="15" w:type="dxa"/>
              <w:right w:w="15" w:type="dxa"/>
            </w:tcMar>
            <w:vAlign w:val="center"/>
          </w:tcPr>
          <w:p w14:paraId="1ED2A4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15.29</w:t>
            </w:r>
          </w:p>
        </w:tc>
        <w:tc>
          <w:tcPr>
            <w:tcW w:w="901" w:type="dxa"/>
            <w:tcBorders>
              <w:tl2br w:val="nil"/>
              <w:tr2bl w:val="nil"/>
            </w:tcBorders>
            <w:noWrap/>
            <w:tcMar>
              <w:top w:w="15" w:type="dxa"/>
              <w:left w:w="15" w:type="dxa"/>
              <w:right w:w="15" w:type="dxa"/>
            </w:tcMar>
            <w:vAlign w:val="center"/>
          </w:tcPr>
          <w:p w14:paraId="3D942E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5.83</w:t>
            </w:r>
          </w:p>
        </w:tc>
        <w:tc>
          <w:tcPr>
            <w:tcW w:w="1250" w:type="dxa"/>
            <w:tcBorders>
              <w:tl2br w:val="nil"/>
              <w:tr2bl w:val="nil"/>
            </w:tcBorders>
            <w:noWrap/>
            <w:tcMar>
              <w:top w:w="15" w:type="dxa"/>
              <w:left w:w="15" w:type="dxa"/>
              <w:right w:w="15" w:type="dxa"/>
            </w:tcMar>
            <w:vAlign w:val="center"/>
          </w:tcPr>
          <w:p w14:paraId="5EABD4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4B5DDC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73983F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17325</w:t>
            </w:r>
          </w:p>
        </w:tc>
        <w:tc>
          <w:tcPr>
            <w:tcW w:w="1061" w:type="dxa"/>
            <w:tcBorders>
              <w:tl2br w:val="nil"/>
              <w:tr2bl w:val="nil"/>
            </w:tcBorders>
            <w:noWrap/>
            <w:tcMar>
              <w:top w:w="15" w:type="dxa"/>
              <w:left w:w="15" w:type="dxa"/>
              <w:right w:w="15" w:type="dxa"/>
            </w:tcMar>
            <w:vAlign w:val="center"/>
          </w:tcPr>
          <w:p w14:paraId="368EB8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0.63</w:t>
            </w:r>
          </w:p>
        </w:tc>
        <w:tc>
          <w:tcPr>
            <w:tcW w:w="953" w:type="dxa"/>
            <w:tcBorders>
              <w:tl2br w:val="nil"/>
              <w:tr2bl w:val="nil"/>
            </w:tcBorders>
            <w:noWrap/>
            <w:tcMar>
              <w:top w:w="15" w:type="dxa"/>
              <w:left w:w="15" w:type="dxa"/>
              <w:right w:w="15" w:type="dxa"/>
            </w:tcMar>
            <w:vAlign w:val="center"/>
          </w:tcPr>
          <w:p w14:paraId="71FDFF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546B07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326DF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8E60EB2">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29</w:t>
            </w:r>
          </w:p>
        </w:tc>
        <w:tc>
          <w:tcPr>
            <w:tcW w:w="1526" w:type="dxa"/>
            <w:tcBorders>
              <w:tl2br w:val="nil"/>
              <w:tr2bl w:val="nil"/>
            </w:tcBorders>
            <w:noWrap w:val="0"/>
            <w:tcMar>
              <w:top w:w="15" w:type="dxa"/>
              <w:left w:w="15" w:type="dxa"/>
              <w:right w:w="15" w:type="dxa"/>
            </w:tcMar>
            <w:vAlign w:val="center"/>
          </w:tcPr>
          <w:p w14:paraId="609F4C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湖南金炬电子科技有限公司</w:t>
            </w:r>
          </w:p>
        </w:tc>
        <w:tc>
          <w:tcPr>
            <w:tcW w:w="608" w:type="dxa"/>
            <w:tcBorders>
              <w:tl2br w:val="nil"/>
              <w:tr2bl w:val="nil"/>
            </w:tcBorders>
            <w:noWrap w:val="0"/>
            <w:tcMar>
              <w:top w:w="15" w:type="dxa"/>
              <w:left w:w="15" w:type="dxa"/>
              <w:right w:w="15" w:type="dxa"/>
            </w:tcMar>
            <w:vAlign w:val="center"/>
          </w:tcPr>
          <w:p w14:paraId="739A9A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4500</w:t>
            </w:r>
          </w:p>
        </w:tc>
        <w:tc>
          <w:tcPr>
            <w:tcW w:w="750" w:type="dxa"/>
            <w:tcBorders>
              <w:tl2br w:val="nil"/>
              <w:tr2bl w:val="nil"/>
            </w:tcBorders>
            <w:noWrap/>
            <w:tcMar>
              <w:top w:w="15" w:type="dxa"/>
              <w:left w:w="15" w:type="dxa"/>
              <w:right w:w="15" w:type="dxa"/>
            </w:tcMar>
            <w:vAlign w:val="center"/>
          </w:tcPr>
          <w:p w14:paraId="417205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0.007</w:t>
            </w:r>
          </w:p>
        </w:tc>
        <w:tc>
          <w:tcPr>
            <w:tcW w:w="990" w:type="dxa"/>
            <w:tcBorders>
              <w:tl2br w:val="nil"/>
              <w:tr2bl w:val="nil"/>
            </w:tcBorders>
            <w:noWrap/>
            <w:tcMar>
              <w:top w:w="15" w:type="dxa"/>
              <w:left w:w="15" w:type="dxa"/>
              <w:right w:w="15" w:type="dxa"/>
            </w:tcMar>
            <w:vAlign w:val="center"/>
          </w:tcPr>
          <w:p w14:paraId="6F8270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2AF43D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36EDD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0.00015</w:t>
            </w:r>
          </w:p>
        </w:tc>
        <w:tc>
          <w:tcPr>
            <w:tcW w:w="2367" w:type="dxa"/>
            <w:tcBorders>
              <w:tl2br w:val="nil"/>
              <w:tr2bl w:val="nil"/>
            </w:tcBorders>
            <w:noWrap/>
            <w:tcMar>
              <w:top w:w="15" w:type="dxa"/>
              <w:left w:w="15" w:type="dxa"/>
              <w:right w:w="15" w:type="dxa"/>
            </w:tcMar>
            <w:vAlign w:val="center"/>
          </w:tcPr>
          <w:p w14:paraId="46ED35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4A02DB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675</w:t>
            </w:r>
          </w:p>
        </w:tc>
        <w:tc>
          <w:tcPr>
            <w:tcW w:w="1061" w:type="dxa"/>
            <w:tcBorders>
              <w:tl2br w:val="nil"/>
              <w:tr2bl w:val="nil"/>
            </w:tcBorders>
            <w:noWrap/>
            <w:tcMar>
              <w:top w:w="15" w:type="dxa"/>
              <w:left w:w="15" w:type="dxa"/>
              <w:right w:w="15" w:type="dxa"/>
            </w:tcMar>
            <w:vAlign w:val="center"/>
          </w:tcPr>
          <w:p w14:paraId="6B6F3E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0.0338</w:t>
            </w:r>
          </w:p>
        </w:tc>
        <w:tc>
          <w:tcPr>
            <w:tcW w:w="953" w:type="dxa"/>
            <w:tcBorders>
              <w:tl2br w:val="nil"/>
              <w:tr2bl w:val="nil"/>
            </w:tcBorders>
            <w:noWrap/>
            <w:tcMar>
              <w:top w:w="15" w:type="dxa"/>
              <w:left w:w="15" w:type="dxa"/>
              <w:right w:w="15" w:type="dxa"/>
            </w:tcMar>
            <w:vAlign w:val="center"/>
          </w:tcPr>
          <w:p w14:paraId="4A09435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0.0054</w:t>
            </w:r>
          </w:p>
        </w:tc>
        <w:tc>
          <w:tcPr>
            <w:tcW w:w="1861" w:type="dxa"/>
            <w:tcBorders>
              <w:tl2br w:val="nil"/>
              <w:tr2bl w:val="nil"/>
            </w:tcBorders>
            <w:noWrap/>
            <w:tcMar>
              <w:top w:w="15" w:type="dxa"/>
              <w:left w:w="15" w:type="dxa"/>
              <w:right w:w="15" w:type="dxa"/>
            </w:tcMar>
            <w:vAlign w:val="center"/>
          </w:tcPr>
          <w:p w14:paraId="51624B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4962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E034C49">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30</w:t>
            </w:r>
          </w:p>
        </w:tc>
        <w:tc>
          <w:tcPr>
            <w:tcW w:w="1526" w:type="dxa"/>
            <w:tcBorders>
              <w:tl2br w:val="nil"/>
              <w:tr2bl w:val="nil"/>
            </w:tcBorders>
            <w:noWrap w:val="0"/>
            <w:tcMar>
              <w:top w:w="15" w:type="dxa"/>
              <w:left w:w="15" w:type="dxa"/>
              <w:right w:w="15" w:type="dxa"/>
            </w:tcMar>
            <w:vAlign w:val="center"/>
          </w:tcPr>
          <w:p w14:paraId="203857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汨罗市铭鸿电子有限公司</w:t>
            </w:r>
          </w:p>
        </w:tc>
        <w:tc>
          <w:tcPr>
            <w:tcW w:w="608" w:type="dxa"/>
            <w:tcBorders>
              <w:tl2br w:val="nil"/>
              <w:tr2bl w:val="nil"/>
            </w:tcBorders>
            <w:noWrap w:val="0"/>
            <w:tcMar>
              <w:top w:w="15" w:type="dxa"/>
              <w:left w:w="15" w:type="dxa"/>
              <w:right w:w="15" w:type="dxa"/>
            </w:tcMar>
            <w:vAlign w:val="center"/>
          </w:tcPr>
          <w:p w14:paraId="60BB89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27843</w:t>
            </w:r>
          </w:p>
        </w:tc>
        <w:tc>
          <w:tcPr>
            <w:tcW w:w="750" w:type="dxa"/>
            <w:tcBorders>
              <w:tl2br w:val="nil"/>
              <w:tr2bl w:val="nil"/>
            </w:tcBorders>
            <w:noWrap/>
            <w:tcMar>
              <w:top w:w="15" w:type="dxa"/>
              <w:left w:w="15" w:type="dxa"/>
              <w:right w:w="15" w:type="dxa"/>
            </w:tcMar>
            <w:vAlign w:val="center"/>
          </w:tcPr>
          <w:p w14:paraId="6B88B4C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0.006</w:t>
            </w:r>
          </w:p>
        </w:tc>
        <w:tc>
          <w:tcPr>
            <w:tcW w:w="990" w:type="dxa"/>
            <w:tcBorders>
              <w:tl2br w:val="nil"/>
              <w:tr2bl w:val="nil"/>
            </w:tcBorders>
            <w:noWrap/>
            <w:tcMar>
              <w:top w:w="15" w:type="dxa"/>
              <w:left w:w="15" w:type="dxa"/>
              <w:right w:w="15" w:type="dxa"/>
            </w:tcMar>
            <w:vAlign w:val="center"/>
          </w:tcPr>
          <w:p w14:paraId="33E212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1EABF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7604EC8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0.008</w:t>
            </w:r>
          </w:p>
        </w:tc>
        <w:tc>
          <w:tcPr>
            <w:tcW w:w="2367" w:type="dxa"/>
            <w:tcBorders>
              <w:tl2br w:val="nil"/>
              <w:tr2bl w:val="nil"/>
            </w:tcBorders>
            <w:noWrap/>
            <w:tcMar>
              <w:top w:w="15" w:type="dxa"/>
              <w:left w:w="15" w:type="dxa"/>
              <w:right w:w="15" w:type="dxa"/>
            </w:tcMar>
            <w:vAlign w:val="center"/>
          </w:tcPr>
          <w:p w14:paraId="7D9E2E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B4B59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4800</w:t>
            </w:r>
          </w:p>
        </w:tc>
        <w:tc>
          <w:tcPr>
            <w:tcW w:w="1061" w:type="dxa"/>
            <w:tcBorders>
              <w:tl2br w:val="nil"/>
              <w:tr2bl w:val="nil"/>
            </w:tcBorders>
            <w:noWrap/>
            <w:tcMar>
              <w:top w:w="15" w:type="dxa"/>
              <w:left w:w="15" w:type="dxa"/>
              <w:right w:w="15" w:type="dxa"/>
            </w:tcMar>
            <w:vAlign w:val="center"/>
          </w:tcPr>
          <w:p w14:paraId="2B8346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0.24</w:t>
            </w:r>
          </w:p>
        </w:tc>
        <w:tc>
          <w:tcPr>
            <w:tcW w:w="953" w:type="dxa"/>
            <w:tcBorders>
              <w:tl2br w:val="nil"/>
              <w:tr2bl w:val="nil"/>
            </w:tcBorders>
            <w:noWrap/>
            <w:tcMar>
              <w:top w:w="15" w:type="dxa"/>
              <w:left w:w="15" w:type="dxa"/>
              <w:right w:w="15" w:type="dxa"/>
            </w:tcMar>
            <w:vAlign w:val="center"/>
          </w:tcPr>
          <w:p w14:paraId="35A154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0.0384</w:t>
            </w:r>
          </w:p>
        </w:tc>
        <w:tc>
          <w:tcPr>
            <w:tcW w:w="1861" w:type="dxa"/>
            <w:tcBorders>
              <w:tl2br w:val="nil"/>
              <w:tr2bl w:val="nil"/>
            </w:tcBorders>
            <w:noWrap/>
            <w:tcMar>
              <w:top w:w="15" w:type="dxa"/>
              <w:left w:w="15" w:type="dxa"/>
              <w:right w:w="15" w:type="dxa"/>
            </w:tcMar>
            <w:vAlign w:val="center"/>
          </w:tcPr>
          <w:p w14:paraId="06CC1F3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5126A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C943571">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31</w:t>
            </w:r>
          </w:p>
        </w:tc>
        <w:tc>
          <w:tcPr>
            <w:tcW w:w="1526" w:type="dxa"/>
            <w:tcBorders>
              <w:tl2br w:val="nil"/>
              <w:tr2bl w:val="nil"/>
            </w:tcBorders>
            <w:noWrap w:val="0"/>
            <w:tcMar>
              <w:top w:w="15" w:type="dxa"/>
              <w:left w:w="15" w:type="dxa"/>
              <w:right w:w="15" w:type="dxa"/>
            </w:tcMar>
            <w:vAlign w:val="center"/>
          </w:tcPr>
          <w:p w14:paraId="22816E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湖南联基电子有限公司</w:t>
            </w:r>
          </w:p>
        </w:tc>
        <w:tc>
          <w:tcPr>
            <w:tcW w:w="608" w:type="dxa"/>
            <w:tcBorders>
              <w:tl2br w:val="nil"/>
              <w:tr2bl w:val="nil"/>
            </w:tcBorders>
            <w:noWrap w:val="0"/>
            <w:tcMar>
              <w:top w:w="15" w:type="dxa"/>
              <w:left w:w="15" w:type="dxa"/>
              <w:right w:w="15" w:type="dxa"/>
            </w:tcMar>
            <w:vAlign w:val="center"/>
          </w:tcPr>
          <w:p w14:paraId="0A088A7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5000</w:t>
            </w:r>
          </w:p>
        </w:tc>
        <w:tc>
          <w:tcPr>
            <w:tcW w:w="750" w:type="dxa"/>
            <w:tcBorders>
              <w:tl2br w:val="nil"/>
              <w:tr2bl w:val="nil"/>
            </w:tcBorders>
            <w:noWrap/>
            <w:tcMar>
              <w:top w:w="15" w:type="dxa"/>
              <w:left w:w="15" w:type="dxa"/>
              <w:right w:w="15" w:type="dxa"/>
            </w:tcMar>
            <w:vAlign w:val="center"/>
          </w:tcPr>
          <w:p w14:paraId="10F814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0.18</w:t>
            </w:r>
          </w:p>
        </w:tc>
        <w:tc>
          <w:tcPr>
            <w:tcW w:w="990" w:type="dxa"/>
            <w:tcBorders>
              <w:tl2br w:val="nil"/>
              <w:tr2bl w:val="nil"/>
            </w:tcBorders>
            <w:noWrap/>
            <w:tcMar>
              <w:top w:w="15" w:type="dxa"/>
              <w:left w:w="15" w:type="dxa"/>
              <w:right w:w="15" w:type="dxa"/>
            </w:tcMar>
            <w:vAlign w:val="center"/>
          </w:tcPr>
          <w:p w14:paraId="766EE6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1393A2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7C30000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0.08</w:t>
            </w:r>
          </w:p>
        </w:tc>
        <w:tc>
          <w:tcPr>
            <w:tcW w:w="2367" w:type="dxa"/>
            <w:tcBorders>
              <w:tl2br w:val="nil"/>
              <w:tr2bl w:val="nil"/>
            </w:tcBorders>
            <w:noWrap/>
            <w:tcMar>
              <w:top w:w="15" w:type="dxa"/>
              <w:left w:w="15" w:type="dxa"/>
              <w:right w:w="15" w:type="dxa"/>
            </w:tcMar>
            <w:vAlign w:val="center"/>
          </w:tcPr>
          <w:p w14:paraId="571C76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79AA3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1350</w:t>
            </w:r>
          </w:p>
        </w:tc>
        <w:tc>
          <w:tcPr>
            <w:tcW w:w="1061" w:type="dxa"/>
            <w:tcBorders>
              <w:tl2br w:val="nil"/>
              <w:tr2bl w:val="nil"/>
            </w:tcBorders>
            <w:noWrap/>
            <w:tcMar>
              <w:top w:w="15" w:type="dxa"/>
              <w:left w:w="15" w:type="dxa"/>
              <w:right w:w="15" w:type="dxa"/>
            </w:tcMar>
            <w:vAlign w:val="center"/>
          </w:tcPr>
          <w:p w14:paraId="4D4EF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0.0675</w:t>
            </w:r>
          </w:p>
        </w:tc>
        <w:tc>
          <w:tcPr>
            <w:tcW w:w="953" w:type="dxa"/>
            <w:tcBorders>
              <w:tl2br w:val="nil"/>
              <w:tr2bl w:val="nil"/>
            </w:tcBorders>
            <w:noWrap/>
            <w:tcMar>
              <w:top w:w="15" w:type="dxa"/>
              <w:left w:w="15" w:type="dxa"/>
              <w:right w:w="15" w:type="dxa"/>
            </w:tcMar>
            <w:vAlign w:val="center"/>
          </w:tcPr>
          <w:p w14:paraId="7832BC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0.0108</w:t>
            </w:r>
          </w:p>
        </w:tc>
        <w:tc>
          <w:tcPr>
            <w:tcW w:w="1861" w:type="dxa"/>
            <w:tcBorders>
              <w:tl2br w:val="nil"/>
              <w:tr2bl w:val="nil"/>
            </w:tcBorders>
            <w:noWrap/>
            <w:tcMar>
              <w:top w:w="15" w:type="dxa"/>
              <w:left w:w="15" w:type="dxa"/>
              <w:right w:w="15" w:type="dxa"/>
            </w:tcMar>
            <w:vAlign w:val="center"/>
          </w:tcPr>
          <w:p w14:paraId="6E25B6F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93A6B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8771012">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32</w:t>
            </w:r>
          </w:p>
        </w:tc>
        <w:tc>
          <w:tcPr>
            <w:tcW w:w="1526" w:type="dxa"/>
            <w:tcBorders>
              <w:tl2br w:val="nil"/>
              <w:tr2bl w:val="nil"/>
            </w:tcBorders>
            <w:noWrap w:val="0"/>
            <w:tcMar>
              <w:top w:w="15" w:type="dxa"/>
              <w:left w:w="15" w:type="dxa"/>
              <w:right w:w="15" w:type="dxa"/>
            </w:tcMar>
            <w:vAlign w:val="center"/>
          </w:tcPr>
          <w:p w14:paraId="07DE3F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湖南音品电子有限公司</w:t>
            </w:r>
          </w:p>
        </w:tc>
        <w:tc>
          <w:tcPr>
            <w:tcW w:w="608" w:type="dxa"/>
            <w:tcBorders>
              <w:tl2br w:val="nil"/>
              <w:tr2bl w:val="nil"/>
            </w:tcBorders>
            <w:noWrap w:val="0"/>
            <w:tcMar>
              <w:top w:w="15" w:type="dxa"/>
              <w:left w:w="15" w:type="dxa"/>
              <w:right w:w="15" w:type="dxa"/>
            </w:tcMar>
            <w:vAlign w:val="center"/>
          </w:tcPr>
          <w:p w14:paraId="35DB5A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10280</w:t>
            </w:r>
          </w:p>
        </w:tc>
        <w:tc>
          <w:tcPr>
            <w:tcW w:w="750" w:type="dxa"/>
            <w:tcBorders>
              <w:tl2br w:val="nil"/>
              <w:tr2bl w:val="nil"/>
            </w:tcBorders>
            <w:noWrap/>
            <w:tcMar>
              <w:top w:w="15" w:type="dxa"/>
              <w:left w:w="15" w:type="dxa"/>
              <w:right w:w="15" w:type="dxa"/>
            </w:tcMar>
            <w:vAlign w:val="center"/>
          </w:tcPr>
          <w:p w14:paraId="644A629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0.045</w:t>
            </w:r>
          </w:p>
        </w:tc>
        <w:tc>
          <w:tcPr>
            <w:tcW w:w="990" w:type="dxa"/>
            <w:tcBorders>
              <w:tl2br w:val="nil"/>
              <w:tr2bl w:val="nil"/>
            </w:tcBorders>
            <w:noWrap/>
            <w:tcMar>
              <w:top w:w="15" w:type="dxa"/>
              <w:left w:w="15" w:type="dxa"/>
              <w:right w:w="15" w:type="dxa"/>
            </w:tcMar>
            <w:vAlign w:val="center"/>
          </w:tcPr>
          <w:p w14:paraId="5B800FA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3993B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0A9BF6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6B0D02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1A998B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675</w:t>
            </w:r>
          </w:p>
        </w:tc>
        <w:tc>
          <w:tcPr>
            <w:tcW w:w="1061" w:type="dxa"/>
            <w:tcBorders>
              <w:tl2br w:val="nil"/>
              <w:tr2bl w:val="nil"/>
            </w:tcBorders>
            <w:noWrap/>
            <w:tcMar>
              <w:top w:w="15" w:type="dxa"/>
              <w:left w:w="15" w:type="dxa"/>
              <w:right w:w="15" w:type="dxa"/>
            </w:tcMar>
            <w:vAlign w:val="center"/>
          </w:tcPr>
          <w:p w14:paraId="14B0AE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0.0338</w:t>
            </w:r>
          </w:p>
        </w:tc>
        <w:tc>
          <w:tcPr>
            <w:tcW w:w="953" w:type="dxa"/>
            <w:tcBorders>
              <w:tl2br w:val="nil"/>
              <w:tr2bl w:val="nil"/>
            </w:tcBorders>
            <w:noWrap/>
            <w:tcMar>
              <w:top w:w="15" w:type="dxa"/>
              <w:left w:w="15" w:type="dxa"/>
              <w:right w:w="15" w:type="dxa"/>
            </w:tcMar>
            <w:vAlign w:val="center"/>
          </w:tcPr>
          <w:p w14:paraId="50ED8C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0.0054</w:t>
            </w:r>
          </w:p>
        </w:tc>
        <w:tc>
          <w:tcPr>
            <w:tcW w:w="1861" w:type="dxa"/>
            <w:tcBorders>
              <w:tl2br w:val="nil"/>
              <w:tr2bl w:val="nil"/>
            </w:tcBorders>
            <w:noWrap/>
            <w:tcMar>
              <w:top w:w="15" w:type="dxa"/>
              <w:left w:w="15" w:type="dxa"/>
              <w:right w:w="15" w:type="dxa"/>
            </w:tcMar>
            <w:vAlign w:val="center"/>
          </w:tcPr>
          <w:p w14:paraId="2CCF66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62F3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520B2F1">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33</w:t>
            </w:r>
          </w:p>
        </w:tc>
        <w:tc>
          <w:tcPr>
            <w:tcW w:w="1526" w:type="dxa"/>
            <w:tcBorders>
              <w:tl2br w:val="nil"/>
              <w:tr2bl w:val="nil"/>
            </w:tcBorders>
            <w:noWrap w:val="0"/>
            <w:tcMar>
              <w:top w:w="15" w:type="dxa"/>
              <w:left w:w="15" w:type="dxa"/>
              <w:right w:w="15" w:type="dxa"/>
            </w:tcMar>
            <w:vAlign w:val="center"/>
          </w:tcPr>
          <w:p w14:paraId="6F3B01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汨罗市协音电子有限公司</w:t>
            </w:r>
          </w:p>
        </w:tc>
        <w:tc>
          <w:tcPr>
            <w:tcW w:w="608" w:type="dxa"/>
            <w:tcBorders>
              <w:tl2br w:val="nil"/>
              <w:tr2bl w:val="nil"/>
            </w:tcBorders>
            <w:noWrap w:val="0"/>
            <w:tcMar>
              <w:top w:w="15" w:type="dxa"/>
              <w:left w:w="15" w:type="dxa"/>
              <w:right w:w="15" w:type="dxa"/>
            </w:tcMar>
            <w:vAlign w:val="center"/>
          </w:tcPr>
          <w:p w14:paraId="26EA42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9860</w:t>
            </w:r>
          </w:p>
        </w:tc>
        <w:tc>
          <w:tcPr>
            <w:tcW w:w="750" w:type="dxa"/>
            <w:tcBorders>
              <w:tl2br w:val="nil"/>
              <w:tr2bl w:val="nil"/>
            </w:tcBorders>
            <w:noWrap/>
            <w:tcMar>
              <w:top w:w="15" w:type="dxa"/>
              <w:left w:w="15" w:type="dxa"/>
              <w:right w:w="15" w:type="dxa"/>
            </w:tcMar>
            <w:vAlign w:val="center"/>
          </w:tcPr>
          <w:p w14:paraId="70661B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0.098</w:t>
            </w:r>
          </w:p>
        </w:tc>
        <w:tc>
          <w:tcPr>
            <w:tcW w:w="990" w:type="dxa"/>
            <w:tcBorders>
              <w:tl2br w:val="nil"/>
              <w:tr2bl w:val="nil"/>
            </w:tcBorders>
            <w:noWrap/>
            <w:tcMar>
              <w:top w:w="15" w:type="dxa"/>
              <w:left w:w="15" w:type="dxa"/>
              <w:right w:w="15" w:type="dxa"/>
            </w:tcMar>
            <w:vAlign w:val="center"/>
          </w:tcPr>
          <w:p w14:paraId="69E88E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12DE21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0109EA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409D5F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D5FC6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675</w:t>
            </w:r>
          </w:p>
        </w:tc>
        <w:tc>
          <w:tcPr>
            <w:tcW w:w="1061" w:type="dxa"/>
            <w:tcBorders>
              <w:tl2br w:val="nil"/>
              <w:tr2bl w:val="nil"/>
            </w:tcBorders>
            <w:noWrap/>
            <w:tcMar>
              <w:top w:w="15" w:type="dxa"/>
              <w:left w:w="15" w:type="dxa"/>
              <w:right w:w="15" w:type="dxa"/>
            </w:tcMar>
            <w:vAlign w:val="center"/>
          </w:tcPr>
          <w:p w14:paraId="61F687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0.0338</w:t>
            </w:r>
          </w:p>
        </w:tc>
        <w:tc>
          <w:tcPr>
            <w:tcW w:w="953" w:type="dxa"/>
            <w:tcBorders>
              <w:tl2br w:val="nil"/>
              <w:tr2bl w:val="nil"/>
            </w:tcBorders>
            <w:noWrap/>
            <w:tcMar>
              <w:top w:w="15" w:type="dxa"/>
              <w:left w:w="15" w:type="dxa"/>
              <w:right w:w="15" w:type="dxa"/>
            </w:tcMar>
            <w:vAlign w:val="center"/>
          </w:tcPr>
          <w:p w14:paraId="72ADE93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0.0054</w:t>
            </w:r>
          </w:p>
        </w:tc>
        <w:tc>
          <w:tcPr>
            <w:tcW w:w="1861" w:type="dxa"/>
            <w:tcBorders>
              <w:tl2br w:val="nil"/>
              <w:tr2bl w:val="nil"/>
            </w:tcBorders>
            <w:noWrap/>
            <w:tcMar>
              <w:top w:w="15" w:type="dxa"/>
              <w:left w:w="15" w:type="dxa"/>
              <w:right w:w="15" w:type="dxa"/>
            </w:tcMar>
            <w:vAlign w:val="center"/>
          </w:tcPr>
          <w:p w14:paraId="5657A2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4A3F7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3EB1A5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34</w:t>
            </w:r>
          </w:p>
        </w:tc>
        <w:tc>
          <w:tcPr>
            <w:tcW w:w="1526" w:type="dxa"/>
            <w:tcBorders>
              <w:tl2br w:val="nil"/>
              <w:tr2bl w:val="nil"/>
            </w:tcBorders>
            <w:noWrap w:val="0"/>
            <w:tcMar>
              <w:top w:w="15" w:type="dxa"/>
              <w:left w:w="15" w:type="dxa"/>
              <w:right w:w="15" w:type="dxa"/>
            </w:tcMar>
            <w:vAlign w:val="center"/>
          </w:tcPr>
          <w:p w14:paraId="10E3F6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湖南省晨钰新材料有限公司</w:t>
            </w:r>
          </w:p>
        </w:tc>
        <w:tc>
          <w:tcPr>
            <w:tcW w:w="608" w:type="dxa"/>
            <w:tcBorders>
              <w:tl2br w:val="nil"/>
              <w:tr2bl w:val="nil"/>
            </w:tcBorders>
            <w:noWrap w:val="0"/>
            <w:tcMar>
              <w:top w:w="15" w:type="dxa"/>
              <w:left w:w="15" w:type="dxa"/>
              <w:right w:w="15" w:type="dxa"/>
            </w:tcMar>
            <w:vAlign w:val="center"/>
          </w:tcPr>
          <w:p w14:paraId="1D0821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7300</w:t>
            </w:r>
          </w:p>
        </w:tc>
        <w:tc>
          <w:tcPr>
            <w:tcW w:w="750" w:type="dxa"/>
            <w:tcBorders>
              <w:tl2br w:val="nil"/>
              <w:tr2bl w:val="nil"/>
            </w:tcBorders>
            <w:noWrap w:val="0"/>
            <w:tcMar>
              <w:top w:w="15" w:type="dxa"/>
              <w:left w:w="15" w:type="dxa"/>
              <w:right w:w="15" w:type="dxa"/>
            </w:tcMar>
            <w:vAlign w:val="center"/>
          </w:tcPr>
          <w:p w14:paraId="4A5E04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0.5278</w:t>
            </w:r>
          </w:p>
        </w:tc>
        <w:tc>
          <w:tcPr>
            <w:tcW w:w="990" w:type="dxa"/>
            <w:tcBorders>
              <w:tl2br w:val="nil"/>
              <w:tr2bl w:val="nil"/>
            </w:tcBorders>
            <w:noWrap w:val="0"/>
            <w:tcMar>
              <w:top w:w="15" w:type="dxa"/>
              <w:left w:w="15" w:type="dxa"/>
              <w:right w:w="15" w:type="dxa"/>
            </w:tcMar>
            <w:vAlign w:val="center"/>
          </w:tcPr>
          <w:p w14:paraId="19AA958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w:t>
            </w:r>
          </w:p>
        </w:tc>
        <w:tc>
          <w:tcPr>
            <w:tcW w:w="901" w:type="dxa"/>
            <w:tcBorders>
              <w:tl2br w:val="nil"/>
              <w:tr2bl w:val="nil"/>
            </w:tcBorders>
            <w:noWrap w:val="0"/>
            <w:tcMar>
              <w:top w:w="15" w:type="dxa"/>
              <w:left w:w="15" w:type="dxa"/>
              <w:right w:w="15" w:type="dxa"/>
            </w:tcMar>
            <w:vAlign w:val="center"/>
          </w:tcPr>
          <w:p w14:paraId="2CBB8A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0.378</w:t>
            </w:r>
          </w:p>
        </w:tc>
        <w:tc>
          <w:tcPr>
            <w:tcW w:w="1250" w:type="dxa"/>
            <w:tcBorders>
              <w:tl2br w:val="nil"/>
              <w:tr2bl w:val="nil"/>
            </w:tcBorders>
            <w:noWrap w:val="0"/>
            <w:tcMar>
              <w:top w:w="15" w:type="dxa"/>
              <w:left w:w="15" w:type="dxa"/>
              <w:right w:w="15" w:type="dxa"/>
            </w:tcMar>
            <w:vAlign w:val="center"/>
          </w:tcPr>
          <w:p w14:paraId="579658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0.1067</w:t>
            </w:r>
          </w:p>
        </w:tc>
        <w:tc>
          <w:tcPr>
            <w:tcW w:w="2367" w:type="dxa"/>
            <w:tcBorders>
              <w:tl2br w:val="nil"/>
              <w:tr2bl w:val="nil"/>
            </w:tcBorders>
            <w:noWrap w:val="0"/>
            <w:tcMar>
              <w:top w:w="15" w:type="dxa"/>
              <w:left w:w="15" w:type="dxa"/>
              <w:right w:w="15" w:type="dxa"/>
            </w:tcMar>
            <w:vAlign w:val="center"/>
          </w:tcPr>
          <w:p w14:paraId="04B04A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H2S：0.0044</w:t>
            </w:r>
          </w:p>
        </w:tc>
        <w:tc>
          <w:tcPr>
            <w:tcW w:w="1170" w:type="dxa"/>
            <w:tcBorders>
              <w:tl2br w:val="nil"/>
              <w:tr2bl w:val="nil"/>
            </w:tcBorders>
            <w:noWrap w:val="0"/>
            <w:tcMar>
              <w:top w:w="15" w:type="dxa"/>
              <w:left w:w="15" w:type="dxa"/>
              <w:right w:w="15" w:type="dxa"/>
            </w:tcMar>
            <w:vAlign w:val="center"/>
          </w:tcPr>
          <w:p w14:paraId="5142C2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216</w:t>
            </w:r>
          </w:p>
        </w:tc>
        <w:tc>
          <w:tcPr>
            <w:tcW w:w="1061" w:type="dxa"/>
            <w:tcBorders>
              <w:tl2br w:val="nil"/>
              <w:tr2bl w:val="nil"/>
            </w:tcBorders>
            <w:noWrap w:val="0"/>
            <w:tcMar>
              <w:top w:w="15" w:type="dxa"/>
              <w:left w:w="15" w:type="dxa"/>
              <w:right w:w="15" w:type="dxa"/>
            </w:tcMar>
            <w:vAlign w:val="center"/>
          </w:tcPr>
          <w:p w14:paraId="482F4A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0.0108</w:t>
            </w:r>
          </w:p>
        </w:tc>
        <w:tc>
          <w:tcPr>
            <w:tcW w:w="953" w:type="dxa"/>
            <w:tcBorders>
              <w:tl2br w:val="nil"/>
              <w:tr2bl w:val="nil"/>
            </w:tcBorders>
            <w:noWrap w:val="0"/>
            <w:tcMar>
              <w:top w:w="15" w:type="dxa"/>
              <w:left w:w="15" w:type="dxa"/>
              <w:right w:w="15" w:type="dxa"/>
            </w:tcMar>
            <w:vAlign w:val="center"/>
          </w:tcPr>
          <w:p w14:paraId="144DF3A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0.0018</w:t>
            </w:r>
          </w:p>
        </w:tc>
        <w:tc>
          <w:tcPr>
            <w:tcW w:w="1861" w:type="dxa"/>
            <w:tcBorders>
              <w:tl2br w:val="nil"/>
              <w:tr2bl w:val="nil"/>
            </w:tcBorders>
            <w:noWrap w:val="0"/>
            <w:tcMar>
              <w:top w:w="15" w:type="dxa"/>
              <w:left w:w="15" w:type="dxa"/>
              <w:right w:w="15" w:type="dxa"/>
            </w:tcMar>
            <w:vAlign w:val="center"/>
          </w:tcPr>
          <w:p w14:paraId="0161E3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4ACB8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882A52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35</w:t>
            </w:r>
          </w:p>
        </w:tc>
        <w:tc>
          <w:tcPr>
            <w:tcW w:w="1526" w:type="dxa"/>
            <w:tcBorders>
              <w:tl2br w:val="nil"/>
              <w:tr2bl w:val="nil"/>
            </w:tcBorders>
            <w:noWrap w:val="0"/>
            <w:tcMar>
              <w:top w:w="15" w:type="dxa"/>
              <w:left w:w="15" w:type="dxa"/>
              <w:right w:w="15" w:type="dxa"/>
            </w:tcMar>
            <w:vAlign w:val="center"/>
          </w:tcPr>
          <w:p w14:paraId="6ED739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湖南速环新材料有限公司</w:t>
            </w:r>
          </w:p>
        </w:tc>
        <w:tc>
          <w:tcPr>
            <w:tcW w:w="608" w:type="dxa"/>
            <w:tcBorders>
              <w:tl2br w:val="nil"/>
              <w:tr2bl w:val="nil"/>
            </w:tcBorders>
            <w:noWrap w:val="0"/>
            <w:tcMar>
              <w:top w:w="15" w:type="dxa"/>
              <w:left w:w="15" w:type="dxa"/>
              <w:right w:w="15" w:type="dxa"/>
            </w:tcMar>
            <w:vAlign w:val="center"/>
          </w:tcPr>
          <w:p w14:paraId="79F793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5600</w:t>
            </w:r>
          </w:p>
        </w:tc>
        <w:tc>
          <w:tcPr>
            <w:tcW w:w="750" w:type="dxa"/>
            <w:tcBorders>
              <w:tl2br w:val="nil"/>
              <w:tr2bl w:val="nil"/>
            </w:tcBorders>
            <w:noWrap/>
            <w:tcMar>
              <w:top w:w="15" w:type="dxa"/>
              <w:left w:w="15" w:type="dxa"/>
              <w:right w:w="15" w:type="dxa"/>
            </w:tcMar>
            <w:vAlign w:val="center"/>
          </w:tcPr>
          <w:p w14:paraId="00CA30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0.192</w:t>
            </w:r>
          </w:p>
        </w:tc>
        <w:tc>
          <w:tcPr>
            <w:tcW w:w="990" w:type="dxa"/>
            <w:tcBorders>
              <w:tl2br w:val="nil"/>
              <w:tr2bl w:val="nil"/>
            </w:tcBorders>
            <w:noWrap/>
            <w:tcMar>
              <w:top w:w="15" w:type="dxa"/>
              <w:left w:w="15" w:type="dxa"/>
              <w:right w:w="15" w:type="dxa"/>
            </w:tcMar>
            <w:vAlign w:val="center"/>
          </w:tcPr>
          <w:p w14:paraId="2E75F2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D74A67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2BFE0A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0.5208</w:t>
            </w:r>
          </w:p>
        </w:tc>
        <w:tc>
          <w:tcPr>
            <w:tcW w:w="2367" w:type="dxa"/>
            <w:tcBorders>
              <w:tl2br w:val="nil"/>
              <w:tr2bl w:val="nil"/>
            </w:tcBorders>
            <w:noWrap w:val="0"/>
            <w:tcMar>
              <w:top w:w="15" w:type="dxa"/>
              <w:left w:w="15" w:type="dxa"/>
              <w:right w:w="15" w:type="dxa"/>
            </w:tcMar>
            <w:vAlign w:val="center"/>
          </w:tcPr>
          <w:p w14:paraId="74B9676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氯化氢：0.0013</w:t>
            </w:r>
          </w:p>
        </w:tc>
        <w:tc>
          <w:tcPr>
            <w:tcW w:w="1170" w:type="dxa"/>
            <w:tcBorders>
              <w:tl2br w:val="nil"/>
              <w:tr2bl w:val="nil"/>
            </w:tcBorders>
            <w:noWrap/>
            <w:tcMar>
              <w:top w:w="15" w:type="dxa"/>
              <w:left w:w="15" w:type="dxa"/>
              <w:right w:w="15" w:type="dxa"/>
            </w:tcMar>
            <w:vAlign w:val="center"/>
          </w:tcPr>
          <w:p w14:paraId="3CADC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760</w:t>
            </w:r>
          </w:p>
        </w:tc>
        <w:tc>
          <w:tcPr>
            <w:tcW w:w="1061" w:type="dxa"/>
            <w:tcBorders>
              <w:tl2br w:val="nil"/>
              <w:tr2bl w:val="nil"/>
            </w:tcBorders>
            <w:noWrap/>
            <w:tcMar>
              <w:top w:w="15" w:type="dxa"/>
              <w:left w:w="15" w:type="dxa"/>
              <w:right w:w="15" w:type="dxa"/>
            </w:tcMar>
            <w:vAlign w:val="center"/>
          </w:tcPr>
          <w:p w14:paraId="3C2D2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0.038</w:t>
            </w:r>
          </w:p>
        </w:tc>
        <w:tc>
          <w:tcPr>
            <w:tcW w:w="953" w:type="dxa"/>
            <w:tcBorders>
              <w:tl2br w:val="nil"/>
              <w:tr2bl w:val="nil"/>
            </w:tcBorders>
            <w:noWrap/>
            <w:tcMar>
              <w:top w:w="15" w:type="dxa"/>
              <w:left w:w="15" w:type="dxa"/>
              <w:right w:w="15" w:type="dxa"/>
            </w:tcMar>
            <w:vAlign w:val="center"/>
          </w:tcPr>
          <w:p w14:paraId="44A6A2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0.0061</w:t>
            </w:r>
          </w:p>
        </w:tc>
        <w:tc>
          <w:tcPr>
            <w:tcW w:w="1861" w:type="dxa"/>
            <w:tcBorders>
              <w:tl2br w:val="nil"/>
              <w:tr2bl w:val="nil"/>
            </w:tcBorders>
            <w:noWrap/>
            <w:tcMar>
              <w:top w:w="15" w:type="dxa"/>
              <w:left w:w="15" w:type="dxa"/>
              <w:right w:w="15" w:type="dxa"/>
            </w:tcMar>
            <w:vAlign w:val="center"/>
          </w:tcPr>
          <w:p w14:paraId="6AF435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4B4AE6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F05612C">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36</w:t>
            </w:r>
          </w:p>
        </w:tc>
        <w:tc>
          <w:tcPr>
            <w:tcW w:w="1526" w:type="dxa"/>
            <w:tcBorders>
              <w:tl2br w:val="nil"/>
              <w:tr2bl w:val="nil"/>
            </w:tcBorders>
            <w:noWrap w:val="0"/>
            <w:tcMar>
              <w:top w:w="15" w:type="dxa"/>
              <w:left w:w="15" w:type="dxa"/>
              <w:right w:w="15" w:type="dxa"/>
            </w:tcMar>
            <w:vAlign w:val="center"/>
          </w:tcPr>
          <w:p w14:paraId="5703E6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湖南博盈新材料有限公司</w:t>
            </w:r>
          </w:p>
        </w:tc>
        <w:tc>
          <w:tcPr>
            <w:tcW w:w="608" w:type="dxa"/>
            <w:tcBorders>
              <w:tl2br w:val="nil"/>
              <w:tr2bl w:val="nil"/>
            </w:tcBorders>
            <w:noWrap w:val="0"/>
            <w:tcMar>
              <w:top w:w="15" w:type="dxa"/>
              <w:left w:w="15" w:type="dxa"/>
              <w:right w:w="15" w:type="dxa"/>
            </w:tcMar>
            <w:vAlign w:val="center"/>
          </w:tcPr>
          <w:p w14:paraId="6363CF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6000</w:t>
            </w:r>
          </w:p>
        </w:tc>
        <w:tc>
          <w:tcPr>
            <w:tcW w:w="750" w:type="dxa"/>
            <w:tcBorders>
              <w:tl2br w:val="nil"/>
              <w:tr2bl w:val="nil"/>
            </w:tcBorders>
            <w:noWrap w:val="0"/>
            <w:tcMar>
              <w:top w:w="15" w:type="dxa"/>
              <w:left w:w="15" w:type="dxa"/>
              <w:right w:w="15" w:type="dxa"/>
            </w:tcMar>
            <w:vAlign w:val="center"/>
          </w:tcPr>
          <w:p w14:paraId="22F5F40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0.95</w:t>
            </w:r>
          </w:p>
        </w:tc>
        <w:tc>
          <w:tcPr>
            <w:tcW w:w="990" w:type="dxa"/>
            <w:tcBorders>
              <w:tl2br w:val="nil"/>
              <w:tr2bl w:val="nil"/>
            </w:tcBorders>
            <w:noWrap w:val="0"/>
            <w:tcMar>
              <w:top w:w="15" w:type="dxa"/>
              <w:left w:w="15" w:type="dxa"/>
              <w:right w:w="15" w:type="dxa"/>
            </w:tcMar>
            <w:vAlign w:val="center"/>
          </w:tcPr>
          <w:p w14:paraId="1F05F0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3F5BDA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2E77B1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0.963</w:t>
            </w:r>
          </w:p>
        </w:tc>
        <w:tc>
          <w:tcPr>
            <w:tcW w:w="2367" w:type="dxa"/>
            <w:tcBorders>
              <w:tl2br w:val="nil"/>
              <w:tr2bl w:val="nil"/>
            </w:tcBorders>
            <w:noWrap w:val="0"/>
            <w:tcMar>
              <w:top w:w="15" w:type="dxa"/>
              <w:left w:w="15" w:type="dxa"/>
              <w:right w:w="15" w:type="dxa"/>
            </w:tcMar>
            <w:vAlign w:val="center"/>
          </w:tcPr>
          <w:p w14:paraId="1AF1E5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氯化氢:0.018</w:t>
            </w:r>
          </w:p>
        </w:tc>
        <w:tc>
          <w:tcPr>
            <w:tcW w:w="1170" w:type="dxa"/>
            <w:tcBorders>
              <w:tl2br w:val="nil"/>
              <w:tr2bl w:val="nil"/>
            </w:tcBorders>
            <w:noWrap w:val="0"/>
            <w:tcMar>
              <w:top w:w="15" w:type="dxa"/>
              <w:left w:w="15" w:type="dxa"/>
              <w:right w:w="15" w:type="dxa"/>
            </w:tcMar>
            <w:vAlign w:val="center"/>
          </w:tcPr>
          <w:p w14:paraId="11E2E1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1392</w:t>
            </w:r>
          </w:p>
        </w:tc>
        <w:tc>
          <w:tcPr>
            <w:tcW w:w="1061" w:type="dxa"/>
            <w:tcBorders>
              <w:tl2br w:val="nil"/>
              <w:tr2bl w:val="nil"/>
            </w:tcBorders>
            <w:noWrap w:val="0"/>
            <w:tcMar>
              <w:top w:w="15" w:type="dxa"/>
              <w:left w:w="15" w:type="dxa"/>
              <w:right w:w="15" w:type="dxa"/>
            </w:tcMar>
            <w:vAlign w:val="center"/>
          </w:tcPr>
          <w:p w14:paraId="359F6B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0.0966</w:t>
            </w:r>
          </w:p>
        </w:tc>
        <w:tc>
          <w:tcPr>
            <w:tcW w:w="953" w:type="dxa"/>
            <w:tcBorders>
              <w:tl2br w:val="nil"/>
              <w:tr2bl w:val="nil"/>
            </w:tcBorders>
            <w:noWrap w:val="0"/>
            <w:tcMar>
              <w:top w:w="15" w:type="dxa"/>
              <w:left w:w="15" w:type="dxa"/>
              <w:right w:w="15" w:type="dxa"/>
            </w:tcMar>
            <w:vAlign w:val="center"/>
          </w:tcPr>
          <w:p w14:paraId="618E75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0.0155</w:t>
            </w:r>
          </w:p>
        </w:tc>
        <w:tc>
          <w:tcPr>
            <w:tcW w:w="1861" w:type="dxa"/>
            <w:tcBorders>
              <w:tl2br w:val="nil"/>
              <w:tr2bl w:val="nil"/>
            </w:tcBorders>
            <w:noWrap w:val="0"/>
            <w:tcMar>
              <w:top w:w="15" w:type="dxa"/>
              <w:left w:w="15" w:type="dxa"/>
              <w:right w:w="15" w:type="dxa"/>
            </w:tcMar>
            <w:vAlign w:val="center"/>
          </w:tcPr>
          <w:p w14:paraId="02F345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2BE15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3C7CB7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37</w:t>
            </w:r>
          </w:p>
        </w:tc>
        <w:tc>
          <w:tcPr>
            <w:tcW w:w="1526" w:type="dxa"/>
            <w:tcBorders>
              <w:tl2br w:val="nil"/>
              <w:tr2bl w:val="nil"/>
            </w:tcBorders>
            <w:noWrap w:val="0"/>
            <w:tcMar>
              <w:top w:w="15" w:type="dxa"/>
              <w:left w:w="15" w:type="dxa"/>
              <w:right w:w="15" w:type="dxa"/>
            </w:tcMar>
            <w:vAlign w:val="center"/>
          </w:tcPr>
          <w:p w14:paraId="49384C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汨罗市宏丽装饰材料厂</w:t>
            </w:r>
          </w:p>
        </w:tc>
        <w:tc>
          <w:tcPr>
            <w:tcW w:w="608" w:type="dxa"/>
            <w:tcBorders>
              <w:tl2br w:val="nil"/>
              <w:tr2bl w:val="nil"/>
            </w:tcBorders>
            <w:noWrap w:val="0"/>
            <w:tcMar>
              <w:top w:w="15" w:type="dxa"/>
              <w:left w:w="15" w:type="dxa"/>
              <w:right w:w="15" w:type="dxa"/>
            </w:tcMar>
            <w:vAlign w:val="center"/>
          </w:tcPr>
          <w:p w14:paraId="1F1C36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4600</w:t>
            </w:r>
          </w:p>
        </w:tc>
        <w:tc>
          <w:tcPr>
            <w:tcW w:w="750" w:type="dxa"/>
            <w:tcBorders>
              <w:tl2br w:val="nil"/>
              <w:tr2bl w:val="nil"/>
            </w:tcBorders>
            <w:noWrap/>
            <w:tcMar>
              <w:top w:w="15" w:type="dxa"/>
              <w:left w:w="15" w:type="dxa"/>
              <w:right w:w="15" w:type="dxa"/>
            </w:tcMar>
            <w:vAlign w:val="center"/>
          </w:tcPr>
          <w:p w14:paraId="45B9DE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0.161</w:t>
            </w:r>
          </w:p>
        </w:tc>
        <w:tc>
          <w:tcPr>
            <w:tcW w:w="990" w:type="dxa"/>
            <w:tcBorders>
              <w:tl2br w:val="nil"/>
              <w:tr2bl w:val="nil"/>
            </w:tcBorders>
            <w:noWrap/>
            <w:tcMar>
              <w:top w:w="15" w:type="dxa"/>
              <w:left w:w="15" w:type="dxa"/>
              <w:right w:w="15" w:type="dxa"/>
            </w:tcMar>
            <w:vAlign w:val="center"/>
          </w:tcPr>
          <w:p w14:paraId="6D3231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75F538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573838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0.162</w:t>
            </w:r>
          </w:p>
        </w:tc>
        <w:tc>
          <w:tcPr>
            <w:tcW w:w="2367" w:type="dxa"/>
            <w:tcBorders>
              <w:tl2br w:val="nil"/>
              <w:tr2bl w:val="nil"/>
            </w:tcBorders>
            <w:noWrap w:val="0"/>
            <w:tcMar>
              <w:top w:w="15" w:type="dxa"/>
              <w:left w:w="15" w:type="dxa"/>
              <w:right w:w="15" w:type="dxa"/>
            </w:tcMar>
            <w:vAlign w:val="center"/>
          </w:tcPr>
          <w:p w14:paraId="36236A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氯化氢0.0054</w:t>
            </w:r>
          </w:p>
        </w:tc>
        <w:tc>
          <w:tcPr>
            <w:tcW w:w="1170" w:type="dxa"/>
            <w:tcBorders>
              <w:tl2br w:val="nil"/>
              <w:tr2bl w:val="nil"/>
            </w:tcBorders>
            <w:noWrap/>
            <w:tcMar>
              <w:top w:w="15" w:type="dxa"/>
              <w:left w:w="15" w:type="dxa"/>
              <w:right w:w="15" w:type="dxa"/>
            </w:tcMar>
            <w:vAlign w:val="center"/>
          </w:tcPr>
          <w:p w14:paraId="7CCFB7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444</w:t>
            </w:r>
          </w:p>
        </w:tc>
        <w:tc>
          <w:tcPr>
            <w:tcW w:w="1061" w:type="dxa"/>
            <w:tcBorders>
              <w:tl2br w:val="nil"/>
              <w:tr2bl w:val="nil"/>
            </w:tcBorders>
            <w:noWrap/>
            <w:tcMar>
              <w:top w:w="15" w:type="dxa"/>
              <w:left w:w="15" w:type="dxa"/>
              <w:right w:w="15" w:type="dxa"/>
            </w:tcMar>
            <w:vAlign w:val="center"/>
          </w:tcPr>
          <w:p w14:paraId="7377A9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0.15</w:t>
            </w:r>
          </w:p>
        </w:tc>
        <w:tc>
          <w:tcPr>
            <w:tcW w:w="953" w:type="dxa"/>
            <w:tcBorders>
              <w:tl2br w:val="nil"/>
              <w:tr2bl w:val="nil"/>
            </w:tcBorders>
            <w:noWrap/>
            <w:tcMar>
              <w:top w:w="15" w:type="dxa"/>
              <w:left w:w="15" w:type="dxa"/>
              <w:right w:w="15" w:type="dxa"/>
            </w:tcMar>
            <w:vAlign w:val="center"/>
          </w:tcPr>
          <w:p w14:paraId="554033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0.013</w:t>
            </w:r>
          </w:p>
        </w:tc>
        <w:tc>
          <w:tcPr>
            <w:tcW w:w="1861" w:type="dxa"/>
            <w:tcBorders>
              <w:tl2br w:val="nil"/>
              <w:tr2bl w:val="nil"/>
            </w:tcBorders>
            <w:noWrap/>
            <w:tcMar>
              <w:top w:w="15" w:type="dxa"/>
              <w:left w:w="15" w:type="dxa"/>
              <w:right w:w="15" w:type="dxa"/>
            </w:tcMar>
            <w:vAlign w:val="center"/>
          </w:tcPr>
          <w:p w14:paraId="61AC43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0E7CD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D2345A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38</w:t>
            </w:r>
          </w:p>
        </w:tc>
        <w:tc>
          <w:tcPr>
            <w:tcW w:w="1526" w:type="dxa"/>
            <w:tcBorders>
              <w:tl2br w:val="nil"/>
              <w:tr2bl w:val="nil"/>
            </w:tcBorders>
            <w:noWrap w:val="0"/>
            <w:tcMar>
              <w:top w:w="15" w:type="dxa"/>
              <w:left w:w="15" w:type="dxa"/>
              <w:right w:w="15" w:type="dxa"/>
            </w:tcMar>
            <w:vAlign w:val="center"/>
          </w:tcPr>
          <w:p w14:paraId="68B34E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汨罗市宇翔新材料有限公司</w:t>
            </w:r>
          </w:p>
        </w:tc>
        <w:tc>
          <w:tcPr>
            <w:tcW w:w="608" w:type="dxa"/>
            <w:tcBorders>
              <w:tl2br w:val="nil"/>
              <w:tr2bl w:val="nil"/>
            </w:tcBorders>
            <w:noWrap w:val="0"/>
            <w:tcMar>
              <w:top w:w="15" w:type="dxa"/>
              <w:left w:w="15" w:type="dxa"/>
              <w:right w:w="15" w:type="dxa"/>
            </w:tcMar>
            <w:vAlign w:val="center"/>
          </w:tcPr>
          <w:p w14:paraId="2F05F6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5000</w:t>
            </w:r>
          </w:p>
        </w:tc>
        <w:tc>
          <w:tcPr>
            <w:tcW w:w="750" w:type="dxa"/>
            <w:tcBorders>
              <w:tl2br w:val="nil"/>
              <w:tr2bl w:val="nil"/>
            </w:tcBorders>
            <w:noWrap/>
            <w:tcMar>
              <w:top w:w="15" w:type="dxa"/>
              <w:left w:w="15" w:type="dxa"/>
              <w:right w:w="15" w:type="dxa"/>
            </w:tcMar>
            <w:vAlign w:val="center"/>
          </w:tcPr>
          <w:p w14:paraId="628365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0.76</w:t>
            </w:r>
          </w:p>
        </w:tc>
        <w:tc>
          <w:tcPr>
            <w:tcW w:w="990" w:type="dxa"/>
            <w:tcBorders>
              <w:tl2br w:val="nil"/>
              <w:tr2bl w:val="nil"/>
            </w:tcBorders>
            <w:noWrap/>
            <w:tcMar>
              <w:top w:w="15" w:type="dxa"/>
              <w:left w:w="15" w:type="dxa"/>
              <w:right w:w="15" w:type="dxa"/>
            </w:tcMar>
            <w:vAlign w:val="center"/>
          </w:tcPr>
          <w:p w14:paraId="1E04F3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EC710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058DFB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1.6684</w:t>
            </w:r>
          </w:p>
        </w:tc>
        <w:tc>
          <w:tcPr>
            <w:tcW w:w="2367" w:type="dxa"/>
            <w:tcBorders>
              <w:tl2br w:val="nil"/>
              <w:tr2bl w:val="nil"/>
            </w:tcBorders>
            <w:noWrap w:val="0"/>
            <w:tcMar>
              <w:top w:w="15" w:type="dxa"/>
              <w:left w:w="15" w:type="dxa"/>
              <w:right w:w="15" w:type="dxa"/>
            </w:tcMar>
            <w:vAlign w:val="center"/>
          </w:tcPr>
          <w:p w14:paraId="0CB244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氯化氢：0.2</w:t>
            </w:r>
          </w:p>
        </w:tc>
        <w:tc>
          <w:tcPr>
            <w:tcW w:w="1170" w:type="dxa"/>
            <w:tcBorders>
              <w:tl2br w:val="nil"/>
              <w:tr2bl w:val="nil"/>
            </w:tcBorders>
            <w:noWrap/>
            <w:tcMar>
              <w:top w:w="15" w:type="dxa"/>
              <w:left w:w="15" w:type="dxa"/>
              <w:right w:w="15" w:type="dxa"/>
            </w:tcMar>
            <w:vAlign w:val="center"/>
          </w:tcPr>
          <w:p w14:paraId="475FED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32</w:t>
            </w:r>
          </w:p>
        </w:tc>
        <w:tc>
          <w:tcPr>
            <w:tcW w:w="1061" w:type="dxa"/>
            <w:tcBorders>
              <w:tl2br w:val="nil"/>
              <w:tr2bl w:val="nil"/>
            </w:tcBorders>
            <w:noWrap/>
            <w:tcMar>
              <w:top w:w="15" w:type="dxa"/>
              <w:left w:w="15" w:type="dxa"/>
              <w:right w:w="15" w:type="dxa"/>
            </w:tcMar>
            <w:vAlign w:val="center"/>
          </w:tcPr>
          <w:p w14:paraId="09DEE4A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0.38384</w:t>
            </w:r>
          </w:p>
        </w:tc>
        <w:tc>
          <w:tcPr>
            <w:tcW w:w="953" w:type="dxa"/>
            <w:tcBorders>
              <w:tl2br w:val="nil"/>
              <w:tr2bl w:val="nil"/>
            </w:tcBorders>
            <w:noWrap/>
            <w:tcMar>
              <w:top w:w="15" w:type="dxa"/>
              <w:left w:w="15" w:type="dxa"/>
              <w:right w:w="15" w:type="dxa"/>
            </w:tcMar>
            <w:vAlign w:val="center"/>
          </w:tcPr>
          <w:p w14:paraId="58B011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0.0376</w:t>
            </w:r>
          </w:p>
        </w:tc>
        <w:tc>
          <w:tcPr>
            <w:tcW w:w="1861" w:type="dxa"/>
            <w:tcBorders>
              <w:tl2br w:val="nil"/>
              <w:tr2bl w:val="nil"/>
            </w:tcBorders>
            <w:noWrap/>
            <w:tcMar>
              <w:top w:w="15" w:type="dxa"/>
              <w:left w:w="15" w:type="dxa"/>
              <w:right w:w="15" w:type="dxa"/>
            </w:tcMar>
            <w:vAlign w:val="center"/>
          </w:tcPr>
          <w:p w14:paraId="50B89C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43304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vMerge w:val="restart"/>
            <w:tcBorders>
              <w:tl2br w:val="nil"/>
              <w:tr2bl w:val="nil"/>
            </w:tcBorders>
            <w:noWrap w:val="0"/>
            <w:tcMar>
              <w:top w:w="15" w:type="dxa"/>
              <w:left w:w="15" w:type="dxa"/>
              <w:right w:w="15" w:type="dxa"/>
            </w:tcMar>
            <w:vAlign w:val="center"/>
          </w:tcPr>
          <w:p w14:paraId="5FE41A6B">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39</w:t>
            </w:r>
          </w:p>
        </w:tc>
        <w:tc>
          <w:tcPr>
            <w:tcW w:w="1526" w:type="dxa"/>
            <w:vMerge w:val="restart"/>
            <w:tcBorders>
              <w:tl2br w:val="nil"/>
              <w:tr2bl w:val="nil"/>
            </w:tcBorders>
            <w:noWrap w:val="0"/>
            <w:tcMar>
              <w:top w:w="15" w:type="dxa"/>
              <w:left w:w="15" w:type="dxa"/>
              <w:right w:w="15" w:type="dxa"/>
            </w:tcMar>
            <w:vAlign w:val="center"/>
          </w:tcPr>
          <w:p w14:paraId="1D8C2C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湖南海鑫新材料有限公司</w:t>
            </w:r>
          </w:p>
        </w:tc>
        <w:tc>
          <w:tcPr>
            <w:tcW w:w="608" w:type="dxa"/>
            <w:tcBorders>
              <w:tl2br w:val="nil"/>
              <w:tr2bl w:val="nil"/>
            </w:tcBorders>
            <w:noWrap w:val="0"/>
            <w:tcMar>
              <w:top w:w="15" w:type="dxa"/>
              <w:left w:w="15" w:type="dxa"/>
              <w:right w:w="15" w:type="dxa"/>
            </w:tcMar>
            <w:vAlign w:val="center"/>
          </w:tcPr>
          <w:p w14:paraId="1F6336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230</w:t>
            </w:r>
          </w:p>
        </w:tc>
        <w:tc>
          <w:tcPr>
            <w:tcW w:w="750" w:type="dxa"/>
            <w:tcBorders>
              <w:tl2br w:val="nil"/>
              <w:tr2bl w:val="nil"/>
            </w:tcBorders>
            <w:noWrap/>
            <w:tcMar>
              <w:top w:w="15" w:type="dxa"/>
              <w:left w:w="15" w:type="dxa"/>
              <w:right w:w="15" w:type="dxa"/>
            </w:tcMar>
            <w:vAlign w:val="center"/>
          </w:tcPr>
          <w:p w14:paraId="45AC4C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0.038</w:t>
            </w:r>
          </w:p>
        </w:tc>
        <w:tc>
          <w:tcPr>
            <w:tcW w:w="990" w:type="dxa"/>
            <w:tcBorders>
              <w:tl2br w:val="nil"/>
              <w:tr2bl w:val="nil"/>
            </w:tcBorders>
            <w:noWrap/>
            <w:tcMar>
              <w:top w:w="15" w:type="dxa"/>
              <w:left w:w="15" w:type="dxa"/>
              <w:right w:w="15" w:type="dxa"/>
            </w:tcMar>
            <w:vAlign w:val="center"/>
          </w:tcPr>
          <w:p w14:paraId="42E568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0.002</w:t>
            </w:r>
          </w:p>
        </w:tc>
        <w:tc>
          <w:tcPr>
            <w:tcW w:w="901" w:type="dxa"/>
            <w:tcBorders>
              <w:tl2br w:val="nil"/>
              <w:tr2bl w:val="nil"/>
            </w:tcBorders>
            <w:noWrap/>
            <w:tcMar>
              <w:top w:w="15" w:type="dxa"/>
              <w:left w:w="15" w:type="dxa"/>
              <w:right w:w="15" w:type="dxa"/>
            </w:tcMar>
            <w:vAlign w:val="center"/>
          </w:tcPr>
          <w:p w14:paraId="454A17F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0.322</w:t>
            </w:r>
          </w:p>
        </w:tc>
        <w:tc>
          <w:tcPr>
            <w:tcW w:w="1250" w:type="dxa"/>
            <w:tcBorders>
              <w:tl2br w:val="nil"/>
              <w:tr2bl w:val="nil"/>
            </w:tcBorders>
            <w:noWrap/>
            <w:tcMar>
              <w:top w:w="15" w:type="dxa"/>
              <w:left w:w="15" w:type="dxa"/>
              <w:right w:w="15" w:type="dxa"/>
            </w:tcMar>
            <w:vAlign w:val="center"/>
          </w:tcPr>
          <w:p w14:paraId="203386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2352F9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30D6EB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240</w:t>
            </w:r>
          </w:p>
        </w:tc>
        <w:tc>
          <w:tcPr>
            <w:tcW w:w="1061" w:type="dxa"/>
            <w:tcBorders>
              <w:tl2br w:val="nil"/>
              <w:tr2bl w:val="nil"/>
            </w:tcBorders>
            <w:noWrap/>
            <w:tcMar>
              <w:top w:w="15" w:type="dxa"/>
              <w:left w:w="15" w:type="dxa"/>
              <w:right w:w="15" w:type="dxa"/>
            </w:tcMar>
            <w:vAlign w:val="center"/>
          </w:tcPr>
          <w:p w14:paraId="485394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0.019</w:t>
            </w:r>
          </w:p>
        </w:tc>
        <w:tc>
          <w:tcPr>
            <w:tcW w:w="953" w:type="dxa"/>
            <w:tcBorders>
              <w:tl2br w:val="nil"/>
              <w:tr2bl w:val="nil"/>
            </w:tcBorders>
            <w:noWrap/>
            <w:tcMar>
              <w:top w:w="15" w:type="dxa"/>
              <w:left w:w="15" w:type="dxa"/>
              <w:right w:w="15" w:type="dxa"/>
            </w:tcMar>
            <w:vAlign w:val="center"/>
          </w:tcPr>
          <w:p w14:paraId="17122A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w:t>
            </w:r>
          </w:p>
        </w:tc>
        <w:tc>
          <w:tcPr>
            <w:tcW w:w="1861" w:type="dxa"/>
            <w:tcBorders>
              <w:tl2br w:val="nil"/>
              <w:tr2bl w:val="nil"/>
            </w:tcBorders>
            <w:noWrap/>
            <w:tcMar>
              <w:top w:w="15" w:type="dxa"/>
              <w:left w:w="15" w:type="dxa"/>
              <w:right w:w="15" w:type="dxa"/>
            </w:tcMar>
            <w:vAlign w:val="center"/>
          </w:tcPr>
          <w:p w14:paraId="77A03D2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35CBF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vMerge w:val="continue"/>
            <w:tcBorders>
              <w:tl2br w:val="nil"/>
              <w:tr2bl w:val="nil"/>
            </w:tcBorders>
            <w:noWrap w:val="0"/>
            <w:tcMar>
              <w:top w:w="15" w:type="dxa"/>
              <w:left w:w="15" w:type="dxa"/>
              <w:right w:w="15" w:type="dxa"/>
            </w:tcMar>
            <w:vAlign w:val="center"/>
          </w:tcPr>
          <w:p w14:paraId="48D67E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1526" w:type="dxa"/>
            <w:vMerge w:val="continue"/>
            <w:tcBorders>
              <w:tl2br w:val="nil"/>
              <w:tr2bl w:val="nil"/>
            </w:tcBorders>
            <w:noWrap w:val="0"/>
            <w:tcMar>
              <w:top w:w="15" w:type="dxa"/>
              <w:left w:w="15" w:type="dxa"/>
              <w:right w:w="15" w:type="dxa"/>
            </w:tcMar>
            <w:vAlign w:val="center"/>
          </w:tcPr>
          <w:p w14:paraId="63ACD5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608" w:type="dxa"/>
            <w:tcBorders>
              <w:tl2br w:val="nil"/>
              <w:tr2bl w:val="nil"/>
            </w:tcBorders>
            <w:noWrap w:val="0"/>
            <w:tcMar>
              <w:top w:w="15" w:type="dxa"/>
              <w:left w:w="15" w:type="dxa"/>
              <w:right w:w="15" w:type="dxa"/>
            </w:tcMar>
            <w:vAlign w:val="center"/>
          </w:tcPr>
          <w:p w14:paraId="3AA22A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1800</w:t>
            </w:r>
          </w:p>
        </w:tc>
        <w:tc>
          <w:tcPr>
            <w:tcW w:w="750" w:type="dxa"/>
            <w:tcBorders>
              <w:tl2br w:val="nil"/>
              <w:tr2bl w:val="nil"/>
            </w:tcBorders>
            <w:noWrap/>
            <w:tcMar>
              <w:top w:w="15" w:type="dxa"/>
              <w:left w:w="15" w:type="dxa"/>
              <w:right w:w="15" w:type="dxa"/>
            </w:tcMar>
            <w:vAlign w:val="center"/>
          </w:tcPr>
          <w:p w14:paraId="3E0818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0.3194</w:t>
            </w:r>
          </w:p>
        </w:tc>
        <w:tc>
          <w:tcPr>
            <w:tcW w:w="990" w:type="dxa"/>
            <w:tcBorders>
              <w:tl2br w:val="nil"/>
              <w:tr2bl w:val="nil"/>
            </w:tcBorders>
            <w:noWrap/>
            <w:tcMar>
              <w:top w:w="15" w:type="dxa"/>
              <w:left w:w="15" w:type="dxa"/>
              <w:right w:w="15" w:type="dxa"/>
            </w:tcMar>
            <w:vAlign w:val="center"/>
          </w:tcPr>
          <w:p w14:paraId="6555A2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4B372B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1F2231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220078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2AB214D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061" w:type="dxa"/>
            <w:tcBorders>
              <w:tl2br w:val="nil"/>
              <w:tr2bl w:val="nil"/>
            </w:tcBorders>
            <w:noWrap/>
            <w:tcMar>
              <w:top w:w="15" w:type="dxa"/>
              <w:left w:w="15" w:type="dxa"/>
              <w:right w:w="15" w:type="dxa"/>
            </w:tcMar>
            <w:vAlign w:val="center"/>
          </w:tcPr>
          <w:p w14:paraId="57549F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53" w:type="dxa"/>
            <w:tcBorders>
              <w:tl2br w:val="nil"/>
              <w:tr2bl w:val="nil"/>
            </w:tcBorders>
            <w:noWrap/>
            <w:tcMar>
              <w:top w:w="15" w:type="dxa"/>
              <w:left w:w="15" w:type="dxa"/>
              <w:right w:w="15" w:type="dxa"/>
            </w:tcMar>
            <w:vAlign w:val="center"/>
          </w:tcPr>
          <w:p w14:paraId="1942A40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861" w:type="dxa"/>
            <w:tcBorders>
              <w:tl2br w:val="nil"/>
              <w:tr2bl w:val="nil"/>
            </w:tcBorders>
            <w:noWrap/>
            <w:tcMar>
              <w:top w:w="15" w:type="dxa"/>
              <w:left w:w="15" w:type="dxa"/>
              <w:right w:w="15" w:type="dxa"/>
            </w:tcMar>
            <w:vAlign w:val="center"/>
          </w:tcPr>
          <w:p w14:paraId="55DCABA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413E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FFFAAA3">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40</w:t>
            </w:r>
          </w:p>
        </w:tc>
        <w:tc>
          <w:tcPr>
            <w:tcW w:w="1526" w:type="dxa"/>
            <w:tcBorders>
              <w:tl2br w:val="nil"/>
              <w:tr2bl w:val="nil"/>
            </w:tcBorders>
            <w:noWrap w:val="0"/>
            <w:tcMar>
              <w:top w:w="15" w:type="dxa"/>
              <w:left w:w="15" w:type="dxa"/>
              <w:right w:w="15" w:type="dxa"/>
            </w:tcMar>
            <w:vAlign w:val="center"/>
          </w:tcPr>
          <w:p w14:paraId="1F97E8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汨罗市福雅居集成墙板厂</w:t>
            </w:r>
          </w:p>
        </w:tc>
        <w:tc>
          <w:tcPr>
            <w:tcW w:w="608" w:type="dxa"/>
            <w:tcBorders>
              <w:tl2br w:val="nil"/>
              <w:tr2bl w:val="nil"/>
            </w:tcBorders>
            <w:noWrap w:val="0"/>
            <w:tcMar>
              <w:top w:w="15" w:type="dxa"/>
              <w:left w:w="15" w:type="dxa"/>
              <w:right w:w="15" w:type="dxa"/>
            </w:tcMar>
            <w:vAlign w:val="center"/>
          </w:tcPr>
          <w:p w14:paraId="3A706B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7600</w:t>
            </w:r>
          </w:p>
        </w:tc>
        <w:tc>
          <w:tcPr>
            <w:tcW w:w="750" w:type="dxa"/>
            <w:tcBorders>
              <w:tl2br w:val="nil"/>
              <w:tr2bl w:val="nil"/>
            </w:tcBorders>
            <w:noWrap/>
            <w:tcMar>
              <w:top w:w="15" w:type="dxa"/>
              <w:left w:w="15" w:type="dxa"/>
              <w:right w:w="15" w:type="dxa"/>
            </w:tcMar>
            <w:vAlign w:val="center"/>
          </w:tcPr>
          <w:p w14:paraId="2AD244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0.0666</w:t>
            </w:r>
          </w:p>
        </w:tc>
        <w:tc>
          <w:tcPr>
            <w:tcW w:w="990" w:type="dxa"/>
            <w:tcBorders>
              <w:tl2br w:val="nil"/>
              <w:tr2bl w:val="nil"/>
            </w:tcBorders>
            <w:noWrap/>
            <w:tcMar>
              <w:top w:w="15" w:type="dxa"/>
              <w:left w:w="15" w:type="dxa"/>
              <w:right w:w="15" w:type="dxa"/>
            </w:tcMar>
            <w:vAlign w:val="center"/>
          </w:tcPr>
          <w:p w14:paraId="2347A3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7337EA1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0B885A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0.642</w:t>
            </w:r>
          </w:p>
        </w:tc>
        <w:tc>
          <w:tcPr>
            <w:tcW w:w="2367" w:type="dxa"/>
            <w:tcBorders>
              <w:tl2br w:val="nil"/>
              <w:tr2bl w:val="nil"/>
            </w:tcBorders>
            <w:noWrap w:val="0"/>
            <w:tcMar>
              <w:top w:w="15" w:type="dxa"/>
              <w:left w:w="15" w:type="dxa"/>
              <w:right w:w="15" w:type="dxa"/>
            </w:tcMar>
            <w:vAlign w:val="center"/>
          </w:tcPr>
          <w:p w14:paraId="57DB294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氯化氢：0.06</w:t>
            </w:r>
          </w:p>
        </w:tc>
        <w:tc>
          <w:tcPr>
            <w:tcW w:w="1170" w:type="dxa"/>
            <w:tcBorders>
              <w:tl2br w:val="nil"/>
              <w:tr2bl w:val="nil"/>
            </w:tcBorders>
            <w:noWrap/>
            <w:tcMar>
              <w:top w:w="15" w:type="dxa"/>
              <w:left w:w="15" w:type="dxa"/>
              <w:right w:w="15" w:type="dxa"/>
            </w:tcMar>
            <w:vAlign w:val="center"/>
          </w:tcPr>
          <w:p w14:paraId="3B2D9E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464.4</w:t>
            </w:r>
          </w:p>
        </w:tc>
        <w:tc>
          <w:tcPr>
            <w:tcW w:w="1061" w:type="dxa"/>
            <w:tcBorders>
              <w:tl2br w:val="nil"/>
              <w:tr2bl w:val="nil"/>
            </w:tcBorders>
            <w:noWrap/>
            <w:tcMar>
              <w:top w:w="15" w:type="dxa"/>
              <w:left w:w="15" w:type="dxa"/>
              <w:right w:w="15" w:type="dxa"/>
            </w:tcMar>
            <w:vAlign w:val="center"/>
          </w:tcPr>
          <w:p w14:paraId="1664AD2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0.1161</w:t>
            </w:r>
          </w:p>
        </w:tc>
        <w:tc>
          <w:tcPr>
            <w:tcW w:w="953" w:type="dxa"/>
            <w:tcBorders>
              <w:tl2br w:val="nil"/>
              <w:tr2bl w:val="nil"/>
            </w:tcBorders>
            <w:noWrap/>
            <w:tcMar>
              <w:top w:w="15" w:type="dxa"/>
              <w:left w:w="15" w:type="dxa"/>
              <w:right w:w="15" w:type="dxa"/>
            </w:tcMar>
            <w:vAlign w:val="center"/>
          </w:tcPr>
          <w:p w14:paraId="6D1952D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0.01161</w:t>
            </w:r>
          </w:p>
        </w:tc>
        <w:tc>
          <w:tcPr>
            <w:tcW w:w="1861" w:type="dxa"/>
            <w:tcBorders>
              <w:tl2br w:val="nil"/>
              <w:tr2bl w:val="nil"/>
            </w:tcBorders>
            <w:noWrap/>
            <w:tcMar>
              <w:top w:w="15" w:type="dxa"/>
              <w:left w:w="15" w:type="dxa"/>
              <w:right w:w="15" w:type="dxa"/>
            </w:tcMar>
            <w:vAlign w:val="center"/>
          </w:tcPr>
          <w:p w14:paraId="52FFF6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0161EF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94E6CB4">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41</w:t>
            </w:r>
          </w:p>
        </w:tc>
        <w:tc>
          <w:tcPr>
            <w:tcW w:w="1526" w:type="dxa"/>
            <w:tcBorders>
              <w:tl2br w:val="nil"/>
              <w:tr2bl w:val="nil"/>
            </w:tcBorders>
            <w:noWrap w:val="0"/>
            <w:tcMar>
              <w:top w:w="15" w:type="dxa"/>
              <w:left w:w="15" w:type="dxa"/>
              <w:right w:w="15" w:type="dxa"/>
            </w:tcMar>
            <w:vAlign w:val="center"/>
          </w:tcPr>
          <w:p w14:paraId="081DB3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湖南金佰利新材料有限公司</w:t>
            </w:r>
          </w:p>
        </w:tc>
        <w:tc>
          <w:tcPr>
            <w:tcW w:w="608" w:type="dxa"/>
            <w:tcBorders>
              <w:tl2br w:val="nil"/>
              <w:tr2bl w:val="nil"/>
            </w:tcBorders>
            <w:noWrap w:val="0"/>
            <w:tcMar>
              <w:top w:w="15" w:type="dxa"/>
              <w:left w:w="15" w:type="dxa"/>
              <w:right w:w="15" w:type="dxa"/>
            </w:tcMar>
            <w:vAlign w:val="center"/>
          </w:tcPr>
          <w:p w14:paraId="374A01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5288</w:t>
            </w:r>
          </w:p>
        </w:tc>
        <w:tc>
          <w:tcPr>
            <w:tcW w:w="750" w:type="dxa"/>
            <w:tcBorders>
              <w:tl2br w:val="nil"/>
              <w:tr2bl w:val="nil"/>
            </w:tcBorders>
            <w:noWrap/>
            <w:tcMar>
              <w:top w:w="15" w:type="dxa"/>
              <w:left w:w="15" w:type="dxa"/>
              <w:right w:w="15" w:type="dxa"/>
            </w:tcMar>
            <w:vAlign w:val="center"/>
          </w:tcPr>
          <w:p w14:paraId="5B0354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0.228</w:t>
            </w:r>
          </w:p>
        </w:tc>
        <w:tc>
          <w:tcPr>
            <w:tcW w:w="990" w:type="dxa"/>
            <w:tcBorders>
              <w:tl2br w:val="nil"/>
              <w:tr2bl w:val="nil"/>
            </w:tcBorders>
            <w:noWrap/>
            <w:tcMar>
              <w:top w:w="15" w:type="dxa"/>
              <w:left w:w="15" w:type="dxa"/>
              <w:right w:w="15" w:type="dxa"/>
            </w:tcMar>
            <w:vAlign w:val="center"/>
          </w:tcPr>
          <w:p w14:paraId="75785C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1311CA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4F6D335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0.8491</w:t>
            </w:r>
          </w:p>
        </w:tc>
        <w:tc>
          <w:tcPr>
            <w:tcW w:w="2367" w:type="dxa"/>
            <w:tcBorders>
              <w:tl2br w:val="nil"/>
              <w:tr2bl w:val="nil"/>
            </w:tcBorders>
            <w:noWrap w:val="0"/>
            <w:tcMar>
              <w:top w:w="15" w:type="dxa"/>
              <w:left w:w="15" w:type="dxa"/>
              <w:right w:w="15" w:type="dxa"/>
            </w:tcMar>
            <w:vAlign w:val="center"/>
          </w:tcPr>
          <w:p w14:paraId="38CFBF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氯化氢:0.06</w:t>
            </w:r>
          </w:p>
        </w:tc>
        <w:tc>
          <w:tcPr>
            <w:tcW w:w="1170" w:type="dxa"/>
            <w:tcBorders>
              <w:tl2br w:val="nil"/>
              <w:tr2bl w:val="nil"/>
            </w:tcBorders>
            <w:noWrap/>
            <w:tcMar>
              <w:top w:w="15" w:type="dxa"/>
              <w:left w:w="15" w:type="dxa"/>
              <w:right w:w="15" w:type="dxa"/>
            </w:tcMar>
            <w:vAlign w:val="center"/>
          </w:tcPr>
          <w:p w14:paraId="2CFD91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421.2</w:t>
            </w:r>
          </w:p>
        </w:tc>
        <w:tc>
          <w:tcPr>
            <w:tcW w:w="1061" w:type="dxa"/>
            <w:tcBorders>
              <w:tl2br w:val="nil"/>
              <w:tr2bl w:val="nil"/>
            </w:tcBorders>
            <w:noWrap/>
            <w:tcMar>
              <w:top w:w="15" w:type="dxa"/>
              <w:left w:w="15" w:type="dxa"/>
              <w:right w:w="15" w:type="dxa"/>
            </w:tcMar>
            <w:vAlign w:val="center"/>
          </w:tcPr>
          <w:p w14:paraId="02D238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0.0211</w:t>
            </w:r>
          </w:p>
        </w:tc>
        <w:tc>
          <w:tcPr>
            <w:tcW w:w="953" w:type="dxa"/>
            <w:tcBorders>
              <w:tl2br w:val="nil"/>
              <w:tr2bl w:val="nil"/>
            </w:tcBorders>
            <w:noWrap/>
            <w:tcMar>
              <w:top w:w="15" w:type="dxa"/>
              <w:left w:w="15" w:type="dxa"/>
              <w:right w:w="15" w:type="dxa"/>
            </w:tcMar>
            <w:vAlign w:val="center"/>
          </w:tcPr>
          <w:p w14:paraId="613171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0.0034</w:t>
            </w:r>
          </w:p>
        </w:tc>
        <w:tc>
          <w:tcPr>
            <w:tcW w:w="1861" w:type="dxa"/>
            <w:tcBorders>
              <w:tl2br w:val="nil"/>
              <w:tr2bl w:val="nil"/>
            </w:tcBorders>
            <w:noWrap/>
            <w:tcMar>
              <w:top w:w="15" w:type="dxa"/>
              <w:left w:w="15" w:type="dxa"/>
              <w:right w:w="15" w:type="dxa"/>
            </w:tcMar>
            <w:vAlign w:val="center"/>
          </w:tcPr>
          <w:p w14:paraId="2BBC35D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0900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2DAA85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42</w:t>
            </w:r>
          </w:p>
        </w:tc>
        <w:tc>
          <w:tcPr>
            <w:tcW w:w="1526" w:type="dxa"/>
            <w:tcBorders>
              <w:tl2br w:val="nil"/>
              <w:tr2bl w:val="nil"/>
            </w:tcBorders>
            <w:noWrap w:val="0"/>
            <w:tcMar>
              <w:top w:w="15" w:type="dxa"/>
              <w:left w:w="15" w:type="dxa"/>
              <w:right w:w="15" w:type="dxa"/>
            </w:tcMar>
            <w:vAlign w:val="center"/>
          </w:tcPr>
          <w:p w14:paraId="53CF5B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湖南五祥新材料科技有限公司</w:t>
            </w:r>
          </w:p>
        </w:tc>
        <w:tc>
          <w:tcPr>
            <w:tcW w:w="608" w:type="dxa"/>
            <w:tcBorders>
              <w:tl2br w:val="nil"/>
              <w:tr2bl w:val="nil"/>
            </w:tcBorders>
            <w:noWrap w:val="0"/>
            <w:tcMar>
              <w:top w:w="15" w:type="dxa"/>
              <w:left w:w="15" w:type="dxa"/>
              <w:right w:w="15" w:type="dxa"/>
            </w:tcMar>
            <w:vAlign w:val="center"/>
          </w:tcPr>
          <w:p w14:paraId="438BC37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26000</w:t>
            </w:r>
          </w:p>
        </w:tc>
        <w:tc>
          <w:tcPr>
            <w:tcW w:w="750" w:type="dxa"/>
            <w:tcBorders>
              <w:tl2br w:val="nil"/>
              <w:tr2bl w:val="nil"/>
            </w:tcBorders>
            <w:noWrap/>
            <w:tcMar>
              <w:top w:w="15" w:type="dxa"/>
              <w:left w:w="15" w:type="dxa"/>
              <w:right w:w="15" w:type="dxa"/>
            </w:tcMar>
            <w:vAlign w:val="center"/>
          </w:tcPr>
          <w:p w14:paraId="2CA1BD5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0.23</w:t>
            </w:r>
          </w:p>
        </w:tc>
        <w:tc>
          <w:tcPr>
            <w:tcW w:w="990" w:type="dxa"/>
            <w:tcBorders>
              <w:tl2br w:val="nil"/>
              <w:tr2bl w:val="nil"/>
            </w:tcBorders>
            <w:noWrap/>
            <w:tcMar>
              <w:top w:w="15" w:type="dxa"/>
              <w:left w:w="15" w:type="dxa"/>
              <w:right w:w="15" w:type="dxa"/>
            </w:tcMar>
            <w:vAlign w:val="center"/>
          </w:tcPr>
          <w:p w14:paraId="5E92D7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0AC56D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1B6D3F1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0.038</w:t>
            </w:r>
          </w:p>
        </w:tc>
        <w:tc>
          <w:tcPr>
            <w:tcW w:w="2367" w:type="dxa"/>
            <w:tcBorders>
              <w:tl2br w:val="nil"/>
              <w:tr2bl w:val="nil"/>
            </w:tcBorders>
            <w:noWrap w:val="0"/>
            <w:tcMar>
              <w:top w:w="15" w:type="dxa"/>
              <w:left w:w="15" w:type="dxa"/>
              <w:right w:w="15" w:type="dxa"/>
            </w:tcMar>
            <w:vAlign w:val="center"/>
          </w:tcPr>
          <w:p w14:paraId="1D8D71F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氯化氢0.007</w:t>
            </w:r>
          </w:p>
        </w:tc>
        <w:tc>
          <w:tcPr>
            <w:tcW w:w="1170" w:type="dxa"/>
            <w:tcBorders>
              <w:tl2br w:val="nil"/>
              <w:tr2bl w:val="nil"/>
            </w:tcBorders>
            <w:noWrap/>
            <w:tcMar>
              <w:top w:w="15" w:type="dxa"/>
              <w:left w:w="15" w:type="dxa"/>
              <w:right w:w="15" w:type="dxa"/>
            </w:tcMar>
            <w:vAlign w:val="center"/>
          </w:tcPr>
          <w:p w14:paraId="6D869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840</w:t>
            </w:r>
          </w:p>
        </w:tc>
        <w:tc>
          <w:tcPr>
            <w:tcW w:w="1061" w:type="dxa"/>
            <w:tcBorders>
              <w:tl2br w:val="nil"/>
              <w:tr2bl w:val="nil"/>
            </w:tcBorders>
            <w:noWrap/>
            <w:tcMar>
              <w:top w:w="15" w:type="dxa"/>
              <w:left w:w="15" w:type="dxa"/>
              <w:right w:w="15" w:type="dxa"/>
            </w:tcMar>
            <w:vAlign w:val="center"/>
          </w:tcPr>
          <w:p w14:paraId="3561F1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0.042</w:t>
            </w:r>
          </w:p>
        </w:tc>
        <w:tc>
          <w:tcPr>
            <w:tcW w:w="953" w:type="dxa"/>
            <w:tcBorders>
              <w:tl2br w:val="nil"/>
              <w:tr2bl w:val="nil"/>
            </w:tcBorders>
            <w:noWrap/>
            <w:tcMar>
              <w:top w:w="15" w:type="dxa"/>
              <w:left w:w="15" w:type="dxa"/>
              <w:right w:w="15" w:type="dxa"/>
            </w:tcMar>
            <w:vAlign w:val="center"/>
          </w:tcPr>
          <w:p w14:paraId="2A74B8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0.0067</w:t>
            </w:r>
          </w:p>
        </w:tc>
        <w:tc>
          <w:tcPr>
            <w:tcW w:w="1861" w:type="dxa"/>
            <w:tcBorders>
              <w:tl2br w:val="nil"/>
              <w:tr2bl w:val="nil"/>
            </w:tcBorders>
            <w:noWrap/>
            <w:tcMar>
              <w:top w:w="15" w:type="dxa"/>
              <w:left w:w="15" w:type="dxa"/>
              <w:right w:w="15" w:type="dxa"/>
            </w:tcMar>
            <w:vAlign w:val="center"/>
          </w:tcPr>
          <w:p w14:paraId="0DE159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2390F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CE7D5C3">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43</w:t>
            </w:r>
          </w:p>
        </w:tc>
        <w:tc>
          <w:tcPr>
            <w:tcW w:w="1526" w:type="dxa"/>
            <w:tcBorders>
              <w:tl2br w:val="nil"/>
              <w:tr2bl w:val="nil"/>
            </w:tcBorders>
            <w:noWrap w:val="0"/>
            <w:tcMar>
              <w:top w:w="15" w:type="dxa"/>
              <w:left w:w="15" w:type="dxa"/>
              <w:right w:w="15" w:type="dxa"/>
            </w:tcMar>
            <w:vAlign w:val="center"/>
          </w:tcPr>
          <w:p w14:paraId="2C1ED3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湖南平桂制塑科技实业有限公司</w:t>
            </w:r>
          </w:p>
        </w:tc>
        <w:tc>
          <w:tcPr>
            <w:tcW w:w="608" w:type="dxa"/>
            <w:tcBorders>
              <w:tl2br w:val="nil"/>
              <w:tr2bl w:val="nil"/>
            </w:tcBorders>
            <w:noWrap w:val="0"/>
            <w:tcMar>
              <w:top w:w="15" w:type="dxa"/>
              <w:left w:w="15" w:type="dxa"/>
              <w:right w:w="15" w:type="dxa"/>
            </w:tcMar>
            <w:vAlign w:val="center"/>
          </w:tcPr>
          <w:p w14:paraId="50EA24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24000</w:t>
            </w:r>
          </w:p>
        </w:tc>
        <w:tc>
          <w:tcPr>
            <w:tcW w:w="750" w:type="dxa"/>
            <w:tcBorders>
              <w:tl2br w:val="nil"/>
              <w:tr2bl w:val="nil"/>
            </w:tcBorders>
            <w:noWrap/>
            <w:tcMar>
              <w:top w:w="15" w:type="dxa"/>
              <w:left w:w="15" w:type="dxa"/>
              <w:right w:w="15" w:type="dxa"/>
            </w:tcMar>
            <w:vAlign w:val="center"/>
          </w:tcPr>
          <w:p w14:paraId="7C453B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0.92</w:t>
            </w:r>
          </w:p>
        </w:tc>
        <w:tc>
          <w:tcPr>
            <w:tcW w:w="990" w:type="dxa"/>
            <w:tcBorders>
              <w:tl2br w:val="nil"/>
              <w:tr2bl w:val="nil"/>
            </w:tcBorders>
            <w:noWrap/>
            <w:tcMar>
              <w:top w:w="15" w:type="dxa"/>
              <w:left w:w="15" w:type="dxa"/>
              <w:right w:w="15" w:type="dxa"/>
            </w:tcMar>
            <w:vAlign w:val="center"/>
          </w:tcPr>
          <w:p w14:paraId="1CE84A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1D56B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668697C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0.012</w:t>
            </w:r>
          </w:p>
        </w:tc>
        <w:tc>
          <w:tcPr>
            <w:tcW w:w="2367" w:type="dxa"/>
            <w:tcBorders>
              <w:tl2br w:val="nil"/>
              <w:tr2bl w:val="nil"/>
            </w:tcBorders>
            <w:noWrap w:val="0"/>
            <w:tcMar>
              <w:top w:w="15" w:type="dxa"/>
              <w:left w:w="15" w:type="dxa"/>
              <w:right w:w="15" w:type="dxa"/>
            </w:tcMar>
            <w:vAlign w:val="center"/>
          </w:tcPr>
          <w:p w14:paraId="2AEF1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氯化氢0.006</w:t>
            </w:r>
          </w:p>
        </w:tc>
        <w:tc>
          <w:tcPr>
            <w:tcW w:w="1170" w:type="dxa"/>
            <w:tcBorders>
              <w:tl2br w:val="nil"/>
              <w:tr2bl w:val="nil"/>
            </w:tcBorders>
            <w:noWrap/>
            <w:tcMar>
              <w:top w:w="15" w:type="dxa"/>
              <w:left w:w="15" w:type="dxa"/>
              <w:right w:w="15" w:type="dxa"/>
            </w:tcMar>
            <w:vAlign w:val="center"/>
          </w:tcPr>
          <w:p w14:paraId="476B386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900</w:t>
            </w:r>
          </w:p>
        </w:tc>
        <w:tc>
          <w:tcPr>
            <w:tcW w:w="1061" w:type="dxa"/>
            <w:tcBorders>
              <w:tl2br w:val="nil"/>
              <w:tr2bl w:val="nil"/>
            </w:tcBorders>
            <w:noWrap/>
            <w:tcMar>
              <w:top w:w="15" w:type="dxa"/>
              <w:left w:w="15" w:type="dxa"/>
              <w:right w:w="15" w:type="dxa"/>
            </w:tcMar>
            <w:vAlign w:val="center"/>
          </w:tcPr>
          <w:p w14:paraId="054413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0.045</w:t>
            </w:r>
          </w:p>
        </w:tc>
        <w:tc>
          <w:tcPr>
            <w:tcW w:w="953" w:type="dxa"/>
            <w:tcBorders>
              <w:tl2br w:val="nil"/>
              <w:tr2bl w:val="nil"/>
            </w:tcBorders>
            <w:noWrap/>
            <w:tcMar>
              <w:top w:w="15" w:type="dxa"/>
              <w:left w:w="15" w:type="dxa"/>
              <w:right w:w="15" w:type="dxa"/>
            </w:tcMar>
            <w:vAlign w:val="center"/>
          </w:tcPr>
          <w:p w14:paraId="68C311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0.0072</w:t>
            </w:r>
          </w:p>
        </w:tc>
        <w:tc>
          <w:tcPr>
            <w:tcW w:w="1861" w:type="dxa"/>
            <w:tcBorders>
              <w:tl2br w:val="nil"/>
              <w:tr2bl w:val="nil"/>
            </w:tcBorders>
            <w:noWrap/>
            <w:tcMar>
              <w:top w:w="15" w:type="dxa"/>
              <w:left w:w="15" w:type="dxa"/>
              <w:right w:w="15" w:type="dxa"/>
            </w:tcMar>
            <w:vAlign w:val="center"/>
          </w:tcPr>
          <w:p w14:paraId="6910E9F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9F4A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DF43592">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44</w:t>
            </w:r>
          </w:p>
        </w:tc>
        <w:tc>
          <w:tcPr>
            <w:tcW w:w="1526" w:type="dxa"/>
            <w:tcBorders>
              <w:tl2br w:val="nil"/>
              <w:tr2bl w:val="nil"/>
            </w:tcBorders>
            <w:noWrap w:val="0"/>
            <w:tcMar>
              <w:top w:w="15" w:type="dxa"/>
              <w:left w:w="15" w:type="dxa"/>
              <w:right w:w="15" w:type="dxa"/>
            </w:tcMar>
            <w:vAlign w:val="center"/>
          </w:tcPr>
          <w:p w14:paraId="512D545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长沙东睿建筑工程设备有限责任公司汨罗分公司</w:t>
            </w:r>
          </w:p>
        </w:tc>
        <w:tc>
          <w:tcPr>
            <w:tcW w:w="608" w:type="dxa"/>
            <w:tcBorders>
              <w:tl2br w:val="nil"/>
              <w:tr2bl w:val="nil"/>
            </w:tcBorders>
            <w:noWrap w:val="0"/>
            <w:tcMar>
              <w:top w:w="15" w:type="dxa"/>
              <w:left w:w="15" w:type="dxa"/>
              <w:right w:w="15" w:type="dxa"/>
            </w:tcMar>
            <w:vAlign w:val="center"/>
          </w:tcPr>
          <w:p w14:paraId="2E7696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9640</w:t>
            </w:r>
          </w:p>
        </w:tc>
        <w:tc>
          <w:tcPr>
            <w:tcW w:w="750" w:type="dxa"/>
            <w:tcBorders>
              <w:tl2br w:val="nil"/>
              <w:tr2bl w:val="nil"/>
            </w:tcBorders>
            <w:noWrap/>
            <w:tcMar>
              <w:top w:w="15" w:type="dxa"/>
              <w:left w:w="15" w:type="dxa"/>
              <w:right w:w="15" w:type="dxa"/>
            </w:tcMar>
            <w:vAlign w:val="center"/>
          </w:tcPr>
          <w:p w14:paraId="5361DD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1.778</w:t>
            </w:r>
          </w:p>
        </w:tc>
        <w:tc>
          <w:tcPr>
            <w:tcW w:w="990" w:type="dxa"/>
            <w:tcBorders>
              <w:tl2br w:val="nil"/>
              <w:tr2bl w:val="nil"/>
            </w:tcBorders>
            <w:noWrap/>
            <w:tcMar>
              <w:top w:w="15" w:type="dxa"/>
              <w:left w:w="15" w:type="dxa"/>
              <w:right w:w="15" w:type="dxa"/>
            </w:tcMar>
            <w:vAlign w:val="center"/>
          </w:tcPr>
          <w:p w14:paraId="274231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0.16</w:t>
            </w:r>
          </w:p>
        </w:tc>
        <w:tc>
          <w:tcPr>
            <w:tcW w:w="901" w:type="dxa"/>
            <w:tcBorders>
              <w:tl2br w:val="nil"/>
              <w:tr2bl w:val="nil"/>
            </w:tcBorders>
            <w:noWrap/>
            <w:tcMar>
              <w:top w:w="15" w:type="dxa"/>
              <w:left w:w="15" w:type="dxa"/>
              <w:right w:w="15" w:type="dxa"/>
            </w:tcMar>
            <w:vAlign w:val="center"/>
          </w:tcPr>
          <w:p w14:paraId="405D016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0.363</w:t>
            </w:r>
          </w:p>
        </w:tc>
        <w:tc>
          <w:tcPr>
            <w:tcW w:w="1250" w:type="dxa"/>
            <w:tcBorders>
              <w:tl2br w:val="nil"/>
              <w:tr2bl w:val="nil"/>
            </w:tcBorders>
            <w:noWrap/>
            <w:tcMar>
              <w:top w:w="15" w:type="dxa"/>
              <w:left w:w="15" w:type="dxa"/>
              <w:right w:w="15" w:type="dxa"/>
            </w:tcMar>
            <w:vAlign w:val="center"/>
          </w:tcPr>
          <w:p w14:paraId="28EC40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0.0658</w:t>
            </w:r>
          </w:p>
        </w:tc>
        <w:tc>
          <w:tcPr>
            <w:tcW w:w="2367" w:type="dxa"/>
            <w:tcBorders>
              <w:tl2br w:val="nil"/>
              <w:tr2bl w:val="nil"/>
            </w:tcBorders>
            <w:noWrap/>
            <w:tcMar>
              <w:top w:w="15" w:type="dxa"/>
              <w:left w:w="15" w:type="dxa"/>
              <w:right w:w="15" w:type="dxa"/>
            </w:tcMar>
            <w:vAlign w:val="center"/>
          </w:tcPr>
          <w:p w14:paraId="6889C9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71A61E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540</w:t>
            </w:r>
          </w:p>
        </w:tc>
        <w:tc>
          <w:tcPr>
            <w:tcW w:w="1061" w:type="dxa"/>
            <w:tcBorders>
              <w:tl2br w:val="nil"/>
              <w:tr2bl w:val="nil"/>
            </w:tcBorders>
            <w:noWrap/>
            <w:tcMar>
              <w:top w:w="15" w:type="dxa"/>
              <w:left w:w="15" w:type="dxa"/>
              <w:right w:w="15" w:type="dxa"/>
            </w:tcMar>
            <w:vAlign w:val="center"/>
          </w:tcPr>
          <w:p w14:paraId="25D9B3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0.027</w:t>
            </w:r>
          </w:p>
        </w:tc>
        <w:tc>
          <w:tcPr>
            <w:tcW w:w="953" w:type="dxa"/>
            <w:tcBorders>
              <w:tl2br w:val="nil"/>
              <w:tr2bl w:val="nil"/>
            </w:tcBorders>
            <w:noWrap/>
            <w:tcMar>
              <w:top w:w="15" w:type="dxa"/>
              <w:left w:w="15" w:type="dxa"/>
              <w:right w:w="15" w:type="dxa"/>
            </w:tcMar>
            <w:vAlign w:val="center"/>
          </w:tcPr>
          <w:p w14:paraId="350CD5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0.0043</w:t>
            </w:r>
          </w:p>
        </w:tc>
        <w:tc>
          <w:tcPr>
            <w:tcW w:w="1861" w:type="dxa"/>
            <w:tcBorders>
              <w:tl2br w:val="nil"/>
              <w:tr2bl w:val="nil"/>
            </w:tcBorders>
            <w:noWrap/>
            <w:tcMar>
              <w:top w:w="15" w:type="dxa"/>
              <w:left w:w="15" w:type="dxa"/>
              <w:right w:w="15" w:type="dxa"/>
            </w:tcMar>
            <w:vAlign w:val="center"/>
          </w:tcPr>
          <w:p w14:paraId="3C02D4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9A91A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E271B9C">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45</w:t>
            </w:r>
          </w:p>
        </w:tc>
        <w:tc>
          <w:tcPr>
            <w:tcW w:w="1526" w:type="dxa"/>
            <w:tcBorders>
              <w:tl2br w:val="nil"/>
              <w:tr2bl w:val="nil"/>
            </w:tcBorders>
            <w:noWrap w:val="0"/>
            <w:tcMar>
              <w:top w:w="15" w:type="dxa"/>
              <w:left w:w="15" w:type="dxa"/>
              <w:right w:w="15" w:type="dxa"/>
            </w:tcMar>
            <w:vAlign w:val="center"/>
          </w:tcPr>
          <w:p w14:paraId="2121AA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汨罗市通变电气有限公司</w:t>
            </w:r>
          </w:p>
        </w:tc>
        <w:tc>
          <w:tcPr>
            <w:tcW w:w="608" w:type="dxa"/>
            <w:tcBorders>
              <w:tl2br w:val="nil"/>
              <w:tr2bl w:val="nil"/>
            </w:tcBorders>
            <w:noWrap w:val="0"/>
            <w:tcMar>
              <w:top w:w="15" w:type="dxa"/>
              <w:left w:w="15" w:type="dxa"/>
              <w:right w:w="15" w:type="dxa"/>
            </w:tcMar>
            <w:vAlign w:val="center"/>
          </w:tcPr>
          <w:p w14:paraId="5127C0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25250</w:t>
            </w:r>
          </w:p>
        </w:tc>
        <w:tc>
          <w:tcPr>
            <w:tcW w:w="750" w:type="dxa"/>
            <w:tcBorders>
              <w:tl2br w:val="nil"/>
              <w:tr2bl w:val="nil"/>
            </w:tcBorders>
            <w:noWrap/>
            <w:tcMar>
              <w:top w:w="15" w:type="dxa"/>
              <w:left w:w="15" w:type="dxa"/>
              <w:right w:w="15" w:type="dxa"/>
            </w:tcMar>
            <w:vAlign w:val="center"/>
          </w:tcPr>
          <w:p w14:paraId="60D0C2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0.086</w:t>
            </w:r>
          </w:p>
        </w:tc>
        <w:tc>
          <w:tcPr>
            <w:tcW w:w="990" w:type="dxa"/>
            <w:tcBorders>
              <w:tl2br w:val="nil"/>
              <w:tr2bl w:val="nil"/>
            </w:tcBorders>
            <w:noWrap/>
            <w:tcMar>
              <w:top w:w="15" w:type="dxa"/>
              <w:left w:w="15" w:type="dxa"/>
              <w:right w:w="15" w:type="dxa"/>
            </w:tcMar>
            <w:vAlign w:val="center"/>
          </w:tcPr>
          <w:p w14:paraId="28602E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52FC7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28DA93A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0.001</w:t>
            </w:r>
          </w:p>
        </w:tc>
        <w:tc>
          <w:tcPr>
            <w:tcW w:w="2367" w:type="dxa"/>
            <w:tcBorders>
              <w:tl2br w:val="nil"/>
              <w:tr2bl w:val="nil"/>
            </w:tcBorders>
            <w:noWrap/>
            <w:tcMar>
              <w:top w:w="15" w:type="dxa"/>
              <w:left w:w="15" w:type="dxa"/>
              <w:right w:w="15" w:type="dxa"/>
            </w:tcMar>
            <w:vAlign w:val="center"/>
          </w:tcPr>
          <w:p w14:paraId="56F0F1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160DF2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1560</w:t>
            </w:r>
          </w:p>
        </w:tc>
        <w:tc>
          <w:tcPr>
            <w:tcW w:w="1061" w:type="dxa"/>
            <w:tcBorders>
              <w:tl2br w:val="nil"/>
              <w:tr2bl w:val="nil"/>
            </w:tcBorders>
            <w:noWrap/>
            <w:tcMar>
              <w:top w:w="15" w:type="dxa"/>
              <w:left w:w="15" w:type="dxa"/>
              <w:right w:w="15" w:type="dxa"/>
            </w:tcMar>
            <w:vAlign w:val="center"/>
          </w:tcPr>
          <w:p w14:paraId="57FF35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0.078</w:t>
            </w:r>
          </w:p>
        </w:tc>
        <w:tc>
          <w:tcPr>
            <w:tcW w:w="953" w:type="dxa"/>
            <w:tcBorders>
              <w:tl2br w:val="nil"/>
              <w:tr2bl w:val="nil"/>
            </w:tcBorders>
            <w:noWrap/>
            <w:tcMar>
              <w:top w:w="15" w:type="dxa"/>
              <w:left w:w="15" w:type="dxa"/>
              <w:right w:w="15" w:type="dxa"/>
            </w:tcMar>
            <w:vAlign w:val="center"/>
          </w:tcPr>
          <w:p w14:paraId="29CEF8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0.0125</w:t>
            </w:r>
          </w:p>
        </w:tc>
        <w:tc>
          <w:tcPr>
            <w:tcW w:w="1861" w:type="dxa"/>
            <w:tcBorders>
              <w:tl2br w:val="nil"/>
              <w:tr2bl w:val="nil"/>
            </w:tcBorders>
            <w:noWrap/>
            <w:tcMar>
              <w:top w:w="15" w:type="dxa"/>
              <w:left w:w="15" w:type="dxa"/>
              <w:right w:w="15" w:type="dxa"/>
            </w:tcMar>
            <w:vAlign w:val="center"/>
          </w:tcPr>
          <w:p w14:paraId="500413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448354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0E82B6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46</w:t>
            </w:r>
          </w:p>
        </w:tc>
        <w:tc>
          <w:tcPr>
            <w:tcW w:w="1526" w:type="dxa"/>
            <w:tcBorders>
              <w:tl2br w:val="nil"/>
              <w:tr2bl w:val="nil"/>
            </w:tcBorders>
            <w:noWrap w:val="0"/>
            <w:tcMar>
              <w:top w:w="15" w:type="dxa"/>
              <w:left w:w="15" w:type="dxa"/>
              <w:right w:w="15" w:type="dxa"/>
            </w:tcMar>
            <w:vAlign w:val="center"/>
          </w:tcPr>
          <w:p w14:paraId="0CD014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湖南鑫太阳门窗幕墙有限公司</w:t>
            </w:r>
          </w:p>
        </w:tc>
        <w:tc>
          <w:tcPr>
            <w:tcW w:w="608" w:type="dxa"/>
            <w:tcBorders>
              <w:tl2br w:val="nil"/>
              <w:tr2bl w:val="nil"/>
            </w:tcBorders>
            <w:noWrap w:val="0"/>
            <w:tcMar>
              <w:top w:w="15" w:type="dxa"/>
              <w:left w:w="15" w:type="dxa"/>
              <w:right w:w="15" w:type="dxa"/>
            </w:tcMar>
            <w:vAlign w:val="center"/>
          </w:tcPr>
          <w:p w14:paraId="3547C8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22000</w:t>
            </w:r>
          </w:p>
        </w:tc>
        <w:tc>
          <w:tcPr>
            <w:tcW w:w="750" w:type="dxa"/>
            <w:tcBorders>
              <w:tl2br w:val="nil"/>
              <w:tr2bl w:val="nil"/>
            </w:tcBorders>
            <w:noWrap/>
            <w:tcMar>
              <w:top w:w="15" w:type="dxa"/>
              <w:left w:w="15" w:type="dxa"/>
              <w:right w:w="15" w:type="dxa"/>
            </w:tcMar>
            <w:vAlign w:val="center"/>
          </w:tcPr>
          <w:p w14:paraId="2CAB41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0.058</w:t>
            </w:r>
          </w:p>
        </w:tc>
        <w:tc>
          <w:tcPr>
            <w:tcW w:w="990" w:type="dxa"/>
            <w:tcBorders>
              <w:tl2br w:val="nil"/>
              <w:tr2bl w:val="nil"/>
            </w:tcBorders>
            <w:noWrap/>
            <w:tcMar>
              <w:top w:w="15" w:type="dxa"/>
              <w:left w:w="15" w:type="dxa"/>
              <w:right w:w="15" w:type="dxa"/>
            </w:tcMar>
            <w:vAlign w:val="center"/>
          </w:tcPr>
          <w:p w14:paraId="0373C6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13BBB7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316441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0.008</w:t>
            </w:r>
          </w:p>
        </w:tc>
        <w:tc>
          <w:tcPr>
            <w:tcW w:w="2367" w:type="dxa"/>
            <w:tcBorders>
              <w:tl2br w:val="nil"/>
              <w:tr2bl w:val="nil"/>
            </w:tcBorders>
            <w:noWrap/>
            <w:tcMar>
              <w:top w:w="15" w:type="dxa"/>
              <w:left w:w="15" w:type="dxa"/>
              <w:right w:w="15" w:type="dxa"/>
            </w:tcMar>
            <w:vAlign w:val="center"/>
          </w:tcPr>
          <w:p w14:paraId="49F4F0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04799C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675</w:t>
            </w:r>
          </w:p>
        </w:tc>
        <w:tc>
          <w:tcPr>
            <w:tcW w:w="1061" w:type="dxa"/>
            <w:tcBorders>
              <w:tl2br w:val="nil"/>
              <w:tr2bl w:val="nil"/>
            </w:tcBorders>
            <w:noWrap/>
            <w:tcMar>
              <w:top w:w="15" w:type="dxa"/>
              <w:left w:w="15" w:type="dxa"/>
              <w:right w:w="15" w:type="dxa"/>
            </w:tcMar>
            <w:vAlign w:val="center"/>
          </w:tcPr>
          <w:p w14:paraId="189FE5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0.0338</w:t>
            </w:r>
          </w:p>
        </w:tc>
        <w:tc>
          <w:tcPr>
            <w:tcW w:w="953" w:type="dxa"/>
            <w:tcBorders>
              <w:tl2br w:val="nil"/>
              <w:tr2bl w:val="nil"/>
            </w:tcBorders>
            <w:noWrap/>
            <w:tcMar>
              <w:top w:w="15" w:type="dxa"/>
              <w:left w:w="15" w:type="dxa"/>
              <w:right w:w="15" w:type="dxa"/>
            </w:tcMar>
            <w:vAlign w:val="center"/>
          </w:tcPr>
          <w:p w14:paraId="187010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0.0054</w:t>
            </w:r>
          </w:p>
        </w:tc>
        <w:tc>
          <w:tcPr>
            <w:tcW w:w="1861" w:type="dxa"/>
            <w:tcBorders>
              <w:tl2br w:val="nil"/>
              <w:tr2bl w:val="nil"/>
            </w:tcBorders>
            <w:noWrap/>
            <w:tcMar>
              <w:top w:w="15" w:type="dxa"/>
              <w:left w:w="15" w:type="dxa"/>
              <w:right w:w="15" w:type="dxa"/>
            </w:tcMar>
            <w:vAlign w:val="center"/>
          </w:tcPr>
          <w:p w14:paraId="5E9222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97C1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27E14B5">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47</w:t>
            </w:r>
          </w:p>
        </w:tc>
        <w:tc>
          <w:tcPr>
            <w:tcW w:w="1526" w:type="dxa"/>
            <w:tcBorders>
              <w:tl2br w:val="nil"/>
              <w:tr2bl w:val="nil"/>
            </w:tcBorders>
            <w:noWrap w:val="0"/>
            <w:tcMar>
              <w:top w:w="15" w:type="dxa"/>
              <w:left w:w="15" w:type="dxa"/>
              <w:right w:w="15" w:type="dxa"/>
            </w:tcMar>
            <w:vAlign w:val="center"/>
          </w:tcPr>
          <w:p w14:paraId="5EFD4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湖南三邦环保科技有限公司</w:t>
            </w:r>
          </w:p>
        </w:tc>
        <w:tc>
          <w:tcPr>
            <w:tcW w:w="608" w:type="dxa"/>
            <w:tcBorders>
              <w:tl2br w:val="nil"/>
              <w:tr2bl w:val="nil"/>
            </w:tcBorders>
            <w:noWrap w:val="0"/>
            <w:tcMar>
              <w:top w:w="15" w:type="dxa"/>
              <w:left w:w="15" w:type="dxa"/>
              <w:right w:w="15" w:type="dxa"/>
            </w:tcMar>
            <w:vAlign w:val="center"/>
          </w:tcPr>
          <w:p w14:paraId="32BC2B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56780</w:t>
            </w:r>
          </w:p>
        </w:tc>
        <w:tc>
          <w:tcPr>
            <w:tcW w:w="750" w:type="dxa"/>
            <w:tcBorders>
              <w:tl2br w:val="nil"/>
              <w:tr2bl w:val="nil"/>
            </w:tcBorders>
            <w:noWrap/>
            <w:tcMar>
              <w:top w:w="15" w:type="dxa"/>
              <w:left w:w="15" w:type="dxa"/>
              <w:right w:w="15" w:type="dxa"/>
            </w:tcMar>
            <w:vAlign w:val="center"/>
          </w:tcPr>
          <w:p w14:paraId="6B2F9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2.4755</w:t>
            </w:r>
          </w:p>
        </w:tc>
        <w:tc>
          <w:tcPr>
            <w:tcW w:w="990" w:type="dxa"/>
            <w:tcBorders>
              <w:tl2br w:val="nil"/>
              <w:tr2bl w:val="nil"/>
            </w:tcBorders>
            <w:noWrap/>
            <w:tcMar>
              <w:top w:w="15" w:type="dxa"/>
              <w:left w:w="15" w:type="dxa"/>
              <w:right w:w="15" w:type="dxa"/>
            </w:tcMar>
            <w:vAlign w:val="center"/>
          </w:tcPr>
          <w:p w14:paraId="42E4C31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4406A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1C6EFD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0.35</w:t>
            </w:r>
          </w:p>
        </w:tc>
        <w:tc>
          <w:tcPr>
            <w:tcW w:w="2367" w:type="dxa"/>
            <w:tcBorders>
              <w:tl2br w:val="nil"/>
              <w:tr2bl w:val="nil"/>
            </w:tcBorders>
            <w:noWrap/>
            <w:tcMar>
              <w:top w:w="15" w:type="dxa"/>
              <w:left w:w="15" w:type="dxa"/>
              <w:right w:w="15" w:type="dxa"/>
            </w:tcMar>
            <w:vAlign w:val="center"/>
          </w:tcPr>
          <w:p w14:paraId="0D0E52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380B6A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12183.75</w:t>
            </w:r>
          </w:p>
        </w:tc>
        <w:tc>
          <w:tcPr>
            <w:tcW w:w="1061" w:type="dxa"/>
            <w:tcBorders>
              <w:tl2br w:val="nil"/>
              <w:tr2bl w:val="nil"/>
            </w:tcBorders>
            <w:noWrap/>
            <w:tcMar>
              <w:top w:w="15" w:type="dxa"/>
              <w:left w:w="15" w:type="dxa"/>
              <w:right w:w="15" w:type="dxa"/>
            </w:tcMar>
            <w:vAlign w:val="center"/>
          </w:tcPr>
          <w:p w14:paraId="7D74AB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0.4418</w:t>
            </w:r>
          </w:p>
        </w:tc>
        <w:tc>
          <w:tcPr>
            <w:tcW w:w="953" w:type="dxa"/>
            <w:tcBorders>
              <w:tl2br w:val="nil"/>
              <w:tr2bl w:val="nil"/>
            </w:tcBorders>
            <w:noWrap/>
            <w:tcMar>
              <w:top w:w="15" w:type="dxa"/>
              <w:left w:w="15" w:type="dxa"/>
              <w:right w:w="15" w:type="dxa"/>
            </w:tcMar>
            <w:vAlign w:val="center"/>
          </w:tcPr>
          <w:p w14:paraId="26DE281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0.0428</w:t>
            </w:r>
          </w:p>
        </w:tc>
        <w:tc>
          <w:tcPr>
            <w:tcW w:w="1861" w:type="dxa"/>
            <w:tcBorders>
              <w:tl2br w:val="nil"/>
              <w:tr2bl w:val="nil"/>
            </w:tcBorders>
            <w:noWrap/>
            <w:tcMar>
              <w:top w:w="15" w:type="dxa"/>
              <w:left w:w="15" w:type="dxa"/>
              <w:right w:w="15" w:type="dxa"/>
            </w:tcMar>
            <w:vAlign w:val="center"/>
          </w:tcPr>
          <w:p w14:paraId="72AF30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110EF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83B8116">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48</w:t>
            </w:r>
          </w:p>
        </w:tc>
        <w:tc>
          <w:tcPr>
            <w:tcW w:w="1526" w:type="dxa"/>
            <w:tcBorders>
              <w:tl2br w:val="nil"/>
              <w:tr2bl w:val="nil"/>
            </w:tcBorders>
            <w:noWrap w:val="0"/>
            <w:tcMar>
              <w:top w:w="15" w:type="dxa"/>
              <w:left w:w="15" w:type="dxa"/>
              <w:right w:w="15" w:type="dxa"/>
            </w:tcMar>
            <w:vAlign w:val="center"/>
          </w:tcPr>
          <w:p w14:paraId="36B14C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湖南金正科技有限公司</w:t>
            </w:r>
          </w:p>
        </w:tc>
        <w:tc>
          <w:tcPr>
            <w:tcW w:w="608" w:type="dxa"/>
            <w:tcBorders>
              <w:tl2br w:val="nil"/>
              <w:tr2bl w:val="nil"/>
            </w:tcBorders>
            <w:noWrap w:val="0"/>
            <w:tcMar>
              <w:top w:w="15" w:type="dxa"/>
              <w:left w:w="15" w:type="dxa"/>
              <w:right w:w="15" w:type="dxa"/>
            </w:tcMar>
            <w:vAlign w:val="center"/>
          </w:tcPr>
          <w:p w14:paraId="4F93F52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41880</w:t>
            </w:r>
          </w:p>
        </w:tc>
        <w:tc>
          <w:tcPr>
            <w:tcW w:w="750" w:type="dxa"/>
            <w:tcBorders>
              <w:tl2br w:val="nil"/>
              <w:tr2bl w:val="nil"/>
            </w:tcBorders>
            <w:noWrap/>
            <w:tcMar>
              <w:top w:w="15" w:type="dxa"/>
              <w:left w:w="15" w:type="dxa"/>
              <w:right w:w="15" w:type="dxa"/>
            </w:tcMar>
            <w:vAlign w:val="center"/>
          </w:tcPr>
          <w:p w14:paraId="01F06D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0.87</w:t>
            </w:r>
          </w:p>
        </w:tc>
        <w:tc>
          <w:tcPr>
            <w:tcW w:w="990" w:type="dxa"/>
            <w:tcBorders>
              <w:tl2br w:val="nil"/>
              <w:tr2bl w:val="nil"/>
            </w:tcBorders>
            <w:noWrap/>
            <w:tcMar>
              <w:top w:w="15" w:type="dxa"/>
              <w:left w:w="15" w:type="dxa"/>
              <w:right w:w="15" w:type="dxa"/>
            </w:tcMar>
            <w:vAlign w:val="center"/>
          </w:tcPr>
          <w:p w14:paraId="6C08C54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614095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1765AD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2367" w:type="dxa"/>
            <w:tcBorders>
              <w:tl2br w:val="nil"/>
              <w:tr2bl w:val="nil"/>
            </w:tcBorders>
            <w:noWrap/>
            <w:tcMar>
              <w:top w:w="15" w:type="dxa"/>
              <w:left w:w="15" w:type="dxa"/>
              <w:right w:w="15" w:type="dxa"/>
            </w:tcMar>
            <w:vAlign w:val="center"/>
          </w:tcPr>
          <w:p w14:paraId="4CE9E6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2F582D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1350</w:t>
            </w:r>
          </w:p>
        </w:tc>
        <w:tc>
          <w:tcPr>
            <w:tcW w:w="1061" w:type="dxa"/>
            <w:tcBorders>
              <w:tl2br w:val="nil"/>
              <w:tr2bl w:val="nil"/>
            </w:tcBorders>
            <w:noWrap/>
            <w:tcMar>
              <w:top w:w="15" w:type="dxa"/>
              <w:left w:w="15" w:type="dxa"/>
              <w:right w:w="15" w:type="dxa"/>
            </w:tcMar>
            <w:vAlign w:val="center"/>
          </w:tcPr>
          <w:p w14:paraId="676DBC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0.0675</w:t>
            </w:r>
          </w:p>
        </w:tc>
        <w:tc>
          <w:tcPr>
            <w:tcW w:w="953" w:type="dxa"/>
            <w:tcBorders>
              <w:tl2br w:val="nil"/>
              <w:tr2bl w:val="nil"/>
            </w:tcBorders>
            <w:noWrap/>
            <w:tcMar>
              <w:top w:w="15" w:type="dxa"/>
              <w:left w:w="15" w:type="dxa"/>
              <w:right w:w="15" w:type="dxa"/>
            </w:tcMar>
            <w:vAlign w:val="center"/>
          </w:tcPr>
          <w:p w14:paraId="5179F8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0.0108</w:t>
            </w:r>
          </w:p>
        </w:tc>
        <w:tc>
          <w:tcPr>
            <w:tcW w:w="1861" w:type="dxa"/>
            <w:tcBorders>
              <w:tl2br w:val="nil"/>
              <w:tr2bl w:val="nil"/>
            </w:tcBorders>
            <w:noWrap/>
            <w:tcMar>
              <w:top w:w="15" w:type="dxa"/>
              <w:left w:w="15" w:type="dxa"/>
              <w:right w:w="15" w:type="dxa"/>
            </w:tcMar>
            <w:vAlign w:val="center"/>
          </w:tcPr>
          <w:p w14:paraId="50C40F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54CA5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8585A55">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49</w:t>
            </w:r>
          </w:p>
        </w:tc>
        <w:tc>
          <w:tcPr>
            <w:tcW w:w="1526" w:type="dxa"/>
            <w:tcBorders>
              <w:tl2br w:val="nil"/>
              <w:tr2bl w:val="nil"/>
            </w:tcBorders>
            <w:noWrap w:val="0"/>
            <w:tcMar>
              <w:top w:w="15" w:type="dxa"/>
              <w:left w:w="15" w:type="dxa"/>
              <w:right w:w="15" w:type="dxa"/>
            </w:tcMar>
            <w:vAlign w:val="center"/>
          </w:tcPr>
          <w:p w14:paraId="3F490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湖南给力达电子有限公司</w:t>
            </w:r>
          </w:p>
        </w:tc>
        <w:tc>
          <w:tcPr>
            <w:tcW w:w="608" w:type="dxa"/>
            <w:tcBorders>
              <w:tl2br w:val="nil"/>
              <w:tr2bl w:val="nil"/>
            </w:tcBorders>
            <w:noWrap w:val="0"/>
            <w:tcMar>
              <w:top w:w="15" w:type="dxa"/>
              <w:left w:w="15" w:type="dxa"/>
              <w:right w:w="15" w:type="dxa"/>
            </w:tcMar>
            <w:vAlign w:val="center"/>
          </w:tcPr>
          <w:p w14:paraId="001C04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2016</w:t>
            </w:r>
          </w:p>
        </w:tc>
        <w:tc>
          <w:tcPr>
            <w:tcW w:w="750" w:type="dxa"/>
            <w:tcBorders>
              <w:tl2br w:val="nil"/>
              <w:tr2bl w:val="nil"/>
            </w:tcBorders>
            <w:noWrap w:val="0"/>
            <w:tcMar>
              <w:top w:w="15" w:type="dxa"/>
              <w:left w:w="15" w:type="dxa"/>
              <w:right w:w="15" w:type="dxa"/>
            </w:tcMar>
            <w:vAlign w:val="center"/>
          </w:tcPr>
          <w:p w14:paraId="722A3F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90" w:type="dxa"/>
            <w:tcBorders>
              <w:tl2br w:val="nil"/>
              <w:tr2bl w:val="nil"/>
            </w:tcBorders>
            <w:noWrap w:val="0"/>
            <w:tcMar>
              <w:top w:w="15" w:type="dxa"/>
              <w:left w:w="15" w:type="dxa"/>
              <w:right w:w="15" w:type="dxa"/>
            </w:tcMar>
            <w:vAlign w:val="center"/>
          </w:tcPr>
          <w:p w14:paraId="463A93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3CAE1F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13019B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1.7745</w:t>
            </w:r>
          </w:p>
        </w:tc>
        <w:tc>
          <w:tcPr>
            <w:tcW w:w="2367" w:type="dxa"/>
            <w:tcBorders>
              <w:tl2br w:val="nil"/>
              <w:tr2bl w:val="nil"/>
            </w:tcBorders>
            <w:noWrap w:val="0"/>
            <w:tcMar>
              <w:top w:w="15" w:type="dxa"/>
              <w:left w:w="15" w:type="dxa"/>
              <w:right w:w="15" w:type="dxa"/>
            </w:tcMar>
            <w:vAlign w:val="center"/>
          </w:tcPr>
          <w:p w14:paraId="319270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锡及其化合物0.008</w:t>
            </w:r>
          </w:p>
        </w:tc>
        <w:tc>
          <w:tcPr>
            <w:tcW w:w="1170" w:type="dxa"/>
            <w:tcBorders>
              <w:tl2br w:val="nil"/>
              <w:tr2bl w:val="nil"/>
            </w:tcBorders>
            <w:noWrap w:val="0"/>
            <w:tcMar>
              <w:top w:w="15" w:type="dxa"/>
              <w:left w:w="15" w:type="dxa"/>
              <w:right w:w="15" w:type="dxa"/>
            </w:tcMar>
            <w:vAlign w:val="center"/>
          </w:tcPr>
          <w:p w14:paraId="42444F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3093</w:t>
            </w:r>
          </w:p>
        </w:tc>
        <w:tc>
          <w:tcPr>
            <w:tcW w:w="1061" w:type="dxa"/>
            <w:tcBorders>
              <w:tl2br w:val="nil"/>
              <w:tr2bl w:val="nil"/>
            </w:tcBorders>
            <w:noWrap w:val="0"/>
            <w:tcMar>
              <w:top w:w="15" w:type="dxa"/>
              <w:left w:w="15" w:type="dxa"/>
              <w:right w:w="15" w:type="dxa"/>
            </w:tcMar>
            <w:vAlign w:val="center"/>
          </w:tcPr>
          <w:p w14:paraId="374B4F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0.162</w:t>
            </w:r>
          </w:p>
        </w:tc>
        <w:tc>
          <w:tcPr>
            <w:tcW w:w="953" w:type="dxa"/>
            <w:tcBorders>
              <w:tl2br w:val="nil"/>
              <w:tr2bl w:val="nil"/>
            </w:tcBorders>
            <w:noWrap w:val="0"/>
            <w:tcMar>
              <w:top w:w="15" w:type="dxa"/>
              <w:left w:w="15" w:type="dxa"/>
              <w:right w:w="15" w:type="dxa"/>
            </w:tcMar>
            <w:vAlign w:val="center"/>
          </w:tcPr>
          <w:p w14:paraId="65C1A2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1861" w:type="dxa"/>
            <w:tcBorders>
              <w:tl2br w:val="nil"/>
              <w:tr2bl w:val="nil"/>
            </w:tcBorders>
            <w:noWrap w:val="0"/>
            <w:tcMar>
              <w:top w:w="15" w:type="dxa"/>
              <w:left w:w="15" w:type="dxa"/>
              <w:right w:w="15" w:type="dxa"/>
            </w:tcMar>
            <w:vAlign w:val="center"/>
          </w:tcPr>
          <w:p w14:paraId="6FA3E2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EA96C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6B37E9B">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50</w:t>
            </w:r>
          </w:p>
        </w:tc>
        <w:tc>
          <w:tcPr>
            <w:tcW w:w="1526" w:type="dxa"/>
            <w:tcBorders>
              <w:tl2br w:val="nil"/>
              <w:tr2bl w:val="nil"/>
            </w:tcBorders>
            <w:noWrap w:val="0"/>
            <w:tcMar>
              <w:top w:w="15" w:type="dxa"/>
              <w:left w:w="15" w:type="dxa"/>
              <w:right w:w="15" w:type="dxa"/>
            </w:tcMar>
            <w:vAlign w:val="center"/>
          </w:tcPr>
          <w:p w14:paraId="20E91D3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湖南科众达电子科技有限公司</w:t>
            </w:r>
          </w:p>
        </w:tc>
        <w:tc>
          <w:tcPr>
            <w:tcW w:w="608" w:type="dxa"/>
            <w:tcBorders>
              <w:tl2br w:val="nil"/>
              <w:tr2bl w:val="nil"/>
            </w:tcBorders>
            <w:noWrap w:val="0"/>
            <w:tcMar>
              <w:top w:w="15" w:type="dxa"/>
              <w:left w:w="15" w:type="dxa"/>
              <w:right w:w="15" w:type="dxa"/>
            </w:tcMar>
            <w:vAlign w:val="center"/>
          </w:tcPr>
          <w:p w14:paraId="6DD8DF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1000</w:t>
            </w:r>
          </w:p>
        </w:tc>
        <w:tc>
          <w:tcPr>
            <w:tcW w:w="750" w:type="dxa"/>
            <w:tcBorders>
              <w:tl2br w:val="nil"/>
              <w:tr2bl w:val="nil"/>
            </w:tcBorders>
            <w:noWrap/>
            <w:tcMar>
              <w:top w:w="15" w:type="dxa"/>
              <w:left w:w="15" w:type="dxa"/>
              <w:right w:w="15" w:type="dxa"/>
            </w:tcMar>
            <w:vAlign w:val="center"/>
          </w:tcPr>
          <w:p w14:paraId="3E7ADBD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0" w:type="dxa"/>
            <w:tcBorders>
              <w:tl2br w:val="nil"/>
              <w:tr2bl w:val="nil"/>
            </w:tcBorders>
            <w:noWrap/>
            <w:tcMar>
              <w:top w:w="15" w:type="dxa"/>
              <w:left w:w="15" w:type="dxa"/>
              <w:right w:w="15" w:type="dxa"/>
            </w:tcMar>
            <w:vAlign w:val="center"/>
          </w:tcPr>
          <w:p w14:paraId="288285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3900EE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2DC110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1C08D46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4C9FD5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4FBA51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52DBB1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249222E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793E1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FF0DDAC">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51</w:t>
            </w:r>
          </w:p>
        </w:tc>
        <w:tc>
          <w:tcPr>
            <w:tcW w:w="1526" w:type="dxa"/>
            <w:tcBorders>
              <w:tl2br w:val="nil"/>
              <w:tr2bl w:val="nil"/>
            </w:tcBorders>
            <w:noWrap w:val="0"/>
            <w:tcMar>
              <w:top w:w="15" w:type="dxa"/>
              <w:left w:w="15" w:type="dxa"/>
              <w:right w:w="15" w:type="dxa"/>
            </w:tcMar>
            <w:vAlign w:val="center"/>
          </w:tcPr>
          <w:p w14:paraId="56FE49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湖南铭腾新材料有限公司</w:t>
            </w:r>
          </w:p>
        </w:tc>
        <w:tc>
          <w:tcPr>
            <w:tcW w:w="608" w:type="dxa"/>
            <w:tcBorders>
              <w:tl2br w:val="nil"/>
              <w:tr2bl w:val="nil"/>
            </w:tcBorders>
            <w:noWrap w:val="0"/>
            <w:tcMar>
              <w:top w:w="15" w:type="dxa"/>
              <w:left w:w="15" w:type="dxa"/>
              <w:right w:w="15" w:type="dxa"/>
            </w:tcMar>
            <w:vAlign w:val="center"/>
          </w:tcPr>
          <w:p w14:paraId="162E0C8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5310</w:t>
            </w:r>
          </w:p>
        </w:tc>
        <w:tc>
          <w:tcPr>
            <w:tcW w:w="750" w:type="dxa"/>
            <w:tcBorders>
              <w:tl2br w:val="nil"/>
              <w:tr2bl w:val="nil"/>
            </w:tcBorders>
            <w:noWrap/>
            <w:tcMar>
              <w:top w:w="15" w:type="dxa"/>
              <w:left w:w="15" w:type="dxa"/>
              <w:right w:w="15" w:type="dxa"/>
            </w:tcMar>
            <w:vAlign w:val="center"/>
          </w:tcPr>
          <w:p w14:paraId="73FDBD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1.64</w:t>
            </w:r>
          </w:p>
        </w:tc>
        <w:tc>
          <w:tcPr>
            <w:tcW w:w="990" w:type="dxa"/>
            <w:tcBorders>
              <w:tl2br w:val="nil"/>
              <w:tr2bl w:val="nil"/>
            </w:tcBorders>
            <w:noWrap/>
            <w:tcMar>
              <w:top w:w="15" w:type="dxa"/>
              <w:left w:w="15" w:type="dxa"/>
              <w:right w:w="15" w:type="dxa"/>
            </w:tcMar>
            <w:vAlign w:val="center"/>
          </w:tcPr>
          <w:p w14:paraId="733230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499364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5379F23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1.045</w:t>
            </w:r>
          </w:p>
        </w:tc>
        <w:tc>
          <w:tcPr>
            <w:tcW w:w="2367" w:type="dxa"/>
            <w:tcBorders>
              <w:tl2br w:val="nil"/>
              <w:tr2bl w:val="nil"/>
            </w:tcBorders>
            <w:noWrap w:val="0"/>
            <w:tcMar>
              <w:top w:w="15" w:type="dxa"/>
              <w:left w:w="15" w:type="dxa"/>
              <w:right w:w="15" w:type="dxa"/>
            </w:tcMar>
            <w:vAlign w:val="center"/>
          </w:tcPr>
          <w:p w14:paraId="696319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氯化氢0.243</w:t>
            </w:r>
          </w:p>
        </w:tc>
        <w:tc>
          <w:tcPr>
            <w:tcW w:w="1170" w:type="dxa"/>
            <w:tcBorders>
              <w:tl2br w:val="nil"/>
              <w:tr2bl w:val="nil"/>
            </w:tcBorders>
            <w:noWrap/>
            <w:tcMar>
              <w:top w:w="15" w:type="dxa"/>
              <w:left w:w="15" w:type="dxa"/>
              <w:right w:w="15" w:type="dxa"/>
            </w:tcMar>
            <w:vAlign w:val="center"/>
          </w:tcPr>
          <w:p w14:paraId="74C493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1740</w:t>
            </w:r>
          </w:p>
        </w:tc>
        <w:tc>
          <w:tcPr>
            <w:tcW w:w="1061" w:type="dxa"/>
            <w:tcBorders>
              <w:tl2br w:val="nil"/>
              <w:tr2bl w:val="nil"/>
            </w:tcBorders>
            <w:noWrap/>
            <w:tcMar>
              <w:top w:w="15" w:type="dxa"/>
              <w:left w:w="15" w:type="dxa"/>
              <w:right w:w="15" w:type="dxa"/>
            </w:tcMar>
            <w:vAlign w:val="center"/>
          </w:tcPr>
          <w:p w14:paraId="2B1E1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0.087</w:t>
            </w:r>
          </w:p>
        </w:tc>
        <w:tc>
          <w:tcPr>
            <w:tcW w:w="953" w:type="dxa"/>
            <w:tcBorders>
              <w:tl2br w:val="nil"/>
              <w:tr2bl w:val="nil"/>
            </w:tcBorders>
            <w:noWrap/>
            <w:tcMar>
              <w:top w:w="15" w:type="dxa"/>
              <w:left w:w="15" w:type="dxa"/>
              <w:right w:w="15" w:type="dxa"/>
            </w:tcMar>
            <w:vAlign w:val="center"/>
          </w:tcPr>
          <w:p w14:paraId="05590C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0.014</w:t>
            </w:r>
          </w:p>
        </w:tc>
        <w:tc>
          <w:tcPr>
            <w:tcW w:w="1861" w:type="dxa"/>
            <w:tcBorders>
              <w:tl2br w:val="nil"/>
              <w:tr2bl w:val="nil"/>
            </w:tcBorders>
            <w:noWrap/>
            <w:tcMar>
              <w:top w:w="15" w:type="dxa"/>
              <w:left w:w="15" w:type="dxa"/>
              <w:right w:w="15" w:type="dxa"/>
            </w:tcMar>
            <w:vAlign w:val="center"/>
          </w:tcPr>
          <w:p w14:paraId="1F42A2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3FEF9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0C9D3A1">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52</w:t>
            </w:r>
          </w:p>
        </w:tc>
        <w:tc>
          <w:tcPr>
            <w:tcW w:w="1526" w:type="dxa"/>
            <w:tcBorders>
              <w:tl2br w:val="nil"/>
              <w:tr2bl w:val="nil"/>
            </w:tcBorders>
            <w:noWrap w:val="0"/>
            <w:tcMar>
              <w:top w:w="15" w:type="dxa"/>
              <w:left w:w="15" w:type="dxa"/>
              <w:right w:w="15" w:type="dxa"/>
            </w:tcMar>
            <w:vAlign w:val="center"/>
          </w:tcPr>
          <w:p w14:paraId="2972D7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汨罗市双兴高温耐火材料有限公司</w:t>
            </w:r>
          </w:p>
        </w:tc>
        <w:tc>
          <w:tcPr>
            <w:tcW w:w="608" w:type="dxa"/>
            <w:tcBorders>
              <w:tl2br w:val="nil"/>
              <w:tr2bl w:val="nil"/>
            </w:tcBorders>
            <w:noWrap w:val="0"/>
            <w:tcMar>
              <w:top w:w="15" w:type="dxa"/>
              <w:left w:w="15" w:type="dxa"/>
              <w:right w:w="15" w:type="dxa"/>
            </w:tcMar>
            <w:vAlign w:val="center"/>
          </w:tcPr>
          <w:p w14:paraId="3667E9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36000</w:t>
            </w:r>
          </w:p>
        </w:tc>
        <w:tc>
          <w:tcPr>
            <w:tcW w:w="750" w:type="dxa"/>
            <w:tcBorders>
              <w:tl2br w:val="nil"/>
              <w:tr2bl w:val="nil"/>
            </w:tcBorders>
            <w:noWrap/>
            <w:tcMar>
              <w:top w:w="15" w:type="dxa"/>
              <w:left w:w="15" w:type="dxa"/>
              <w:right w:w="15" w:type="dxa"/>
            </w:tcMar>
            <w:vAlign w:val="center"/>
          </w:tcPr>
          <w:p w14:paraId="563CE6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0" w:type="dxa"/>
            <w:tcBorders>
              <w:tl2br w:val="nil"/>
              <w:tr2bl w:val="nil"/>
            </w:tcBorders>
            <w:noWrap/>
            <w:tcMar>
              <w:top w:w="15" w:type="dxa"/>
              <w:left w:w="15" w:type="dxa"/>
              <w:right w:w="15" w:type="dxa"/>
            </w:tcMar>
            <w:vAlign w:val="center"/>
          </w:tcPr>
          <w:p w14:paraId="6330CDD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1EAE12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7D74B7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20BB955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35BB43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061" w:type="dxa"/>
            <w:tcBorders>
              <w:tl2br w:val="nil"/>
              <w:tr2bl w:val="nil"/>
            </w:tcBorders>
            <w:noWrap/>
            <w:tcMar>
              <w:top w:w="15" w:type="dxa"/>
              <w:left w:w="15" w:type="dxa"/>
              <w:right w:w="15" w:type="dxa"/>
            </w:tcMar>
            <w:vAlign w:val="center"/>
          </w:tcPr>
          <w:p w14:paraId="2CFD96B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53" w:type="dxa"/>
            <w:tcBorders>
              <w:tl2br w:val="nil"/>
              <w:tr2bl w:val="nil"/>
            </w:tcBorders>
            <w:noWrap/>
            <w:tcMar>
              <w:top w:w="15" w:type="dxa"/>
              <w:left w:w="15" w:type="dxa"/>
              <w:right w:w="15" w:type="dxa"/>
            </w:tcMar>
            <w:vAlign w:val="center"/>
          </w:tcPr>
          <w:p w14:paraId="54E499B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861" w:type="dxa"/>
            <w:tcBorders>
              <w:tl2br w:val="nil"/>
              <w:tr2bl w:val="nil"/>
            </w:tcBorders>
            <w:noWrap/>
            <w:tcMar>
              <w:top w:w="15" w:type="dxa"/>
              <w:left w:w="15" w:type="dxa"/>
              <w:right w:w="15" w:type="dxa"/>
            </w:tcMar>
            <w:vAlign w:val="center"/>
          </w:tcPr>
          <w:p w14:paraId="72724E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7DA10A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424AE4F">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rPr>
              <w:t>53</w:t>
            </w:r>
          </w:p>
        </w:tc>
        <w:tc>
          <w:tcPr>
            <w:tcW w:w="1526" w:type="dxa"/>
            <w:tcBorders>
              <w:tl2br w:val="nil"/>
              <w:tr2bl w:val="nil"/>
            </w:tcBorders>
            <w:noWrap w:val="0"/>
            <w:tcMar>
              <w:top w:w="15" w:type="dxa"/>
              <w:left w:w="15" w:type="dxa"/>
              <w:right w:w="15" w:type="dxa"/>
            </w:tcMar>
            <w:vAlign w:val="center"/>
          </w:tcPr>
          <w:p w14:paraId="5830E8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湖南金智达金属材料科技有限公司</w:t>
            </w:r>
          </w:p>
        </w:tc>
        <w:tc>
          <w:tcPr>
            <w:tcW w:w="608" w:type="dxa"/>
            <w:tcBorders>
              <w:tl2br w:val="nil"/>
              <w:tr2bl w:val="nil"/>
            </w:tcBorders>
            <w:noWrap w:val="0"/>
            <w:tcMar>
              <w:top w:w="15" w:type="dxa"/>
              <w:left w:w="15" w:type="dxa"/>
              <w:right w:w="15" w:type="dxa"/>
            </w:tcMar>
            <w:vAlign w:val="center"/>
          </w:tcPr>
          <w:p w14:paraId="38B4E2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2000</w:t>
            </w:r>
          </w:p>
        </w:tc>
        <w:tc>
          <w:tcPr>
            <w:tcW w:w="750" w:type="dxa"/>
            <w:tcBorders>
              <w:tl2br w:val="nil"/>
              <w:tr2bl w:val="nil"/>
            </w:tcBorders>
            <w:noWrap/>
            <w:tcMar>
              <w:top w:w="15" w:type="dxa"/>
              <w:left w:w="15" w:type="dxa"/>
              <w:right w:w="15" w:type="dxa"/>
            </w:tcMar>
            <w:vAlign w:val="center"/>
          </w:tcPr>
          <w:p w14:paraId="4041DC7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0.12</w:t>
            </w:r>
          </w:p>
        </w:tc>
        <w:tc>
          <w:tcPr>
            <w:tcW w:w="990" w:type="dxa"/>
            <w:tcBorders>
              <w:tl2br w:val="nil"/>
              <w:tr2bl w:val="nil"/>
            </w:tcBorders>
            <w:noWrap/>
            <w:tcMar>
              <w:top w:w="15" w:type="dxa"/>
              <w:left w:w="15" w:type="dxa"/>
              <w:right w:w="15" w:type="dxa"/>
            </w:tcMar>
            <w:vAlign w:val="center"/>
          </w:tcPr>
          <w:p w14:paraId="47E2BE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49A055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32E8EC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6C24673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4F26876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120</w:t>
            </w:r>
          </w:p>
        </w:tc>
        <w:tc>
          <w:tcPr>
            <w:tcW w:w="1061" w:type="dxa"/>
            <w:tcBorders>
              <w:tl2br w:val="nil"/>
              <w:tr2bl w:val="nil"/>
            </w:tcBorders>
            <w:noWrap/>
            <w:tcMar>
              <w:top w:w="15" w:type="dxa"/>
              <w:left w:w="15" w:type="dxa"/>
              <w:right w:w="15" w:type="dxa"/>
            </w:tcMar>
            <w:vAlign w:val="center"/>
          </w:tcPr>
          <w:p w14:paraId="2CBC5B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0.006</w:t>
            </w:r>
          </w:p>
        </w:tc>
        <w:tc>
          <w:tcPr>
            <w:tcW w:w="953" w:type="dxa"/>
            <w:tcBorders>
              <w:tl2br w:val="nil"/>
              <w:tr2bl w:val="nil"/>
            </w:tcBorders>
            <w:noWrap/>
            <w:tcMar>
              <w:top w:w="15" w:type="dxa"/>
              <w:left w:w="15" w:type="dxa"/>
              <w:right w:w="15" w:type="dxa"/>
            </w:tcMar>
            <w:vAlign w:val="center"/>
          </w:tcPr>
          <w:p w14:paraId="05CCA6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0.001</w:t>
            </w:r>
          </w:p>
        </w:tc>
        <w:tc>
          <w:tcPr>
            <w:tcW w:w="1861" w:type="dxa"/>
            <w:tcBorders>
              <w:tl2br w:val="nil"/>
              <w:tr2bl w:val="nil"/>
            </w:tcBorders>
            <w:noWrap/>
            <w:tcMar>
              <w:top w:w="15" w:type="dxa"/>
              <w:left w:w="15" w:type="dxa"/>
              <w:right w:w="15" w:type="dxa"/>
            </w:tcMar>
            <w:vAlign w:val="center"/>
          </w:tcPr>
          <w:p w14:paraId="08CFF5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3791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1F3F4A6">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lang w:val="en-US" w:eastAsia="zh-CN"/>
              </w:rPr>
              <w:t>54</w:t>
            </w:r>
          </w:p>
        </w:tc>
        <w:tc>
          <w:tcPr>
            <w:tcW w:w="1526" w:type="dxa"/>
            <w:tcBorders>
              <w:tl2br w:val="nil"/>
              <w:tr2bl w:val="nil"/>
            </w:tcBorders>
            <w:noWrap w:val="0"/>
            <w:tcMar>
              <w:top w:w="15" w:type="dxa"/>
              <w:left w:w="15" w:type="dxa"/>
              <w:right w:w="15" w:type="dxa"/>
            </w:tcMar>
            <w:vAlign w:val="center"/>
          </w:tcPr>
          <w:p w14:paraId="40465F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汨罗市凯胜塑业有限公司</w:t>
            </w:r>
          </w:p>
        </w:tc>
        <w:tc>
          <w:tcPr>
            <w:tcW w:w="608" w:type="dxa"/>
            <w:tcBorders>
              <w:tl2br w:val="nil"/>
              <w:tr2bl w:val="nil"/>
            </w:tcBorders>
            <w:noWrap w:val="0"/>
            <w:tcMar>
              <w:top w:w="15" w:type="dxa"/>
              <w:left w:w="15" w:type="dxa"/>
              <w:right w:w="15" w:type="dxa"/>
            </w:tcMar>
            <w:vAlign w:val="center"/>
          </w:tcPr>
          <w:p w14:paraId="3FD557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5000</w:t>
            </w:r>
          </w:p>
        </w:tc>
        <w:tc>
          <w:tcPr>
            <w:tcW w:w="750" w:type="dxa"/>
            <w:tcBorders>
              <w:tl2br w:val="nil"/>
              <w:tr2bl w:val="nil"/>
            </w:tcBorders>
            <w:noWrap/>
            <w:tcMar>
              <w:top w:w="15" w:type="dxa"/>
              <w:left w:w="15" w:type="dxa"/>
              <w:right w:w="15" w:type="dxa"/>
            </w:tcMar>
            <w:vAlign w:val="center"/>
          </w:tcPr>
          <w:p w14:paraId="62EEFB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0.273</w:t>
            </w:r>
          </w:p>
        </w:tc>
        <w:tc>
          <w:tcPr>
            <w:tcW w:w="990" w:type="dxa"/>
            <w:tcBorders>
              <w:tl2br w:val="nil"/>
              <w:tr2bl w:val="nil"/>
            </w:tcBorders>
            <w:noWrap/>
            <w:tcMar>
              <w:top w:w="15" w:type="dxa"/>
              <w:left w:w="15" w:type="dxa"/>
              <w:right w:w="15" w:type="dxa"/>
            </w:tcMar>
            <w:vAlign w:val="center"/>
          </w:tcPr>
          <w:p w14:paraId="08E44C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24D10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326B0D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0.4</w:t>
            </w:r>
          </w:p>
        </w:tc>
        <w:tc>
          <w:tcPr>
            <w:tcW w:w="2367" w:type="dxa"/>
            <w:tcBorders>
              <w:tl2br w:val="nil"/>
              <w:tr2bl w:val="nil"/>
            </w:tcBorders>
            <w:noWrap w:val="0"/>
            <w:tcMar>
              <w:top w:w="15" w:type="dxa"/>
              <w:left w:w="15" w:type="dxa"/>
              <w:right w:w="15" w:type="dxa"/>
            </w:tcMar>
            <w:vAlign w:val="center"/>
          </w:tcPr>
          <w:p w14:paraId="673420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HCl少量</w:t>
            </w:r>
          </w:p>
        </w:tc>
        <w:tc>
          <w:tcPr>
            <w:tcW w:w="1170" w:type="dxa"/>
            <w:tcBorders>
              <w:tl2br w:val="nil"/>
              <w:tr2bl w:val="nil"/>
            </w:tcBorders>
            <w:noWrap/>
            <w:tcMar>
              <w:top w:w="15" w:type="dxa"/>
              <w:left w:w="15" w:type="dxa"/>
              <w:right w:w="15" w:type="dxa"/>
            </w:tcMar>
            <w:vAlign w:val="center"/>
          </w:tcPr>
          <w:p w14:paraId="000A0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684</w:t>
            </w:r>
          </w:p>
        </w:tc>
        <w:tc>
          <w:tcPr>
            <w:tcW w:w="1061" w:type="dxa"/>
            <w:tcBorders>
              <w:tl2br w:val="nil"/>
              <w:tr2bl w:val="nil"/>
            </w:tcBorders>
            <w:noWrap/>
            <w:tcMar>
              <w:top w:w="15" w:type="dxa"/>
              <w:left w:w="15" w:type="dxa"/>
              <w:right w:w="15" w:type="dxa"/>
            </w:tcMar>
            <w:vAlign w:val="center"/>
          </w:tcPr>
          <w:p w14:paraId="7462A4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0.0342</w:t>
            </w:r>
          </w:p>
        </w:tc>
        <w:tc>
          <w:tcPr>
            <w:tcW w:w="953" w:type="dxa"/>
            <w:tcBorders>
              <w:tl2br w:val="nil"/>
              <w:tr2bl w:val="nil"/>
            </w:tcBorders>
            <w:noWrap/>
            <w:tcMar>
              <w:top w:w="15" w:type="dxa"/>
              <w:left w:w="15" w:type="dxa"/>
              <w:right w:w="15" w:type="dxa"/>
            </w:tcMar>
            <w:vAlign w:val="center"/>
          </w:tcPr>
          <w:p w14:paraId="48B3BC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0.0055</w:t>
            </w:r>
          </w:p>
        </w:tc>
        <w:tc>
          <w:tcPr>
            <w:tcW w:w="1861" w:type="dxa"/>
            <w:tcBorders>
              <w:tl2br w:val="nil"/>
              <w:tr2bl w:val="nil"/>
            </w:tcBorders>
            <w:noWrap/>
            <w:tcMar>
              <w:top w:w="15" w:type="dxa"/>
              <w:left w:w="15" w:type="dxa"/>
              <w:right w:w="15" w:type="dxa"/>
            </w:tcMar>
            <w:vAlign w:val="center"/>
          </w:tcPr>
          <w:p w14:paraId="0D07E4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46C0E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3A78066">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lang w:val="en-US" w:eastAsia="zh-CN"/>
              </w:rPr>
              <w:t>55</w:t>
            </w:r>
          </w:p>
        </w:tc>
        <w:tc>
          <w:tcPr>
            <w:tcW w:w="1526" w:type="dxa"/>
            <w:tcBorders>
              <w:tl2br w:val="nil"/>
              <w:tr2bl w:val="nil"/>
            </w:tcBorders>
            <w:noWrap w:val="0"/>
            <w:tcMar>
              <w:top w:w="15" w:type="dxa"/>
              <w:left w:w="15" w:type="dxa"/>
              <w:right w:w="15" w:type="dxa"/>
            </w:tcMar>
            <w:vAlign w:val="center"/>
          </w:tcPr>
          <w:p w14:paraId="27B7E0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湖南常骏新材料科技有限公司(原汨罗市博鑫冶金模具有限公司）</w:t>
            </w:r>
          </w:p>
        </w:tc>
        <w:tc>
          <w:tcPr>
            <w:tcW w:w="608" w:type="dxa"/>
            <w:tcBorders>
              <w:tl2br w:val="nil"/>
              <w:tr2bl w:val="nil"/>
            </w:tcBorders>
            <w:noWrap w:val="0"/>
            <w:tcMar>
              <w:top w:w="15" w:type="dxa"/>
              <w:left w:w="15" w:type="dxa"/>
              <w:right w:w="15" w:type="dxa"/>
            </w:tcMar>
            <w:vAlign w:val="center"/>
          </w:tcPr>
          <w:p w14:paraId="5501EA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18497.44</w:t>
            </w:r>
          </w:p>
        </w:tc>
        <w:tc>
          <w:tcPr>
            <w:tcW w:w="750" w:type="dxa"/>
            <w:tcBorders>
              <w:tl2br w:val="nil"/>
              <w:tr2bl w:val="nil"/>
            </w:tcBorders>
            <w:noWrap/>
            <w:tcMar>
              <w:top w:w="15" w:type="dxa"/>
              <w:left w:w="15" w:type="dxa"/>
              <w:right w:w="15" w:type="dxa"/>
            </w:tcMar>
            <w:vAlign w:val="center"/>
          </w:tcPr>
          <w:p w14:paraId="0603F6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1.406</w:t>
            </w:r>
          </w:p>
        </w:tc>
        <w:tc>
          <w:tcPr>
            <w:tcW w:w="990" w:type="dxa"/>
            <w:tcBorders>
              <w:tl2br w:val="nil"/>
              <w:tr2bl w:val="nil"/>
            </w:tcBorders>
            <w:noWrap/>
            <w:tcMar>
              <w:top w:w="15" w:type="dxa"/>
              <w:left w:w="15" w:type="dxa"/>
              <w:right w:w="15" w:type="dxa"/>
            </w:tcMar>
            <w:vAlign w:val="center"/>
          </w:tcPr>
          <w:p w14:paraId="35ADB7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E04E3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451782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01A87C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78666E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580</w:t>
            </w:r>
          </w:p>
        </w:tc>
        <w:tc>
          <w:tcPr>
            <w:tcW w:w="1061" w:type="dxa"/>
            <w:tcBorders>
              <w:tl2br w:val="nil"/>
              <w:tr2bl w:val="nil"/>
            </w:tcBorders>
            <w:noWrap/>
            <w:tcMar>
              <w:top w:w="15" w:type="dxa"/>
              <w:left w:w="15" w:type="dxa"/>
              <w:right w:w="15" w:type="dxa"/>
            </w:tcMar>
            <w:vAlign w:val="center"/>
          </w:tcPr>
          <w:p w14:paraId="001DEE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0.029</w:t>
            </w:r>
          </w:p>
        </w:tc>
        <w:tc>
          <w:tcPr>
            <w:tcW w:w="953" w:type="dxa"/>
            <w:tcBorders>
              <w:tl2br w:val="nil"/>
              <w:tr2bl w:val="nil"/>
            </w:tcBorders>
            <w:noWrap/>
            <w:tcMar>
              <w:top w:w="15" w:type="dxa"/>
              <w:left w:w="15" w:type="dxa"/>
              <w:right w:w="15" w:type="dxa"/>
            </w:tcMar>
            <w:vAlign w:val="center"/>
          </w:tcPr>
          <w:p w14:paraId="0FB45D9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0.0046</w:t>
            </w:r>
          </w:p>
        </w:tc>
        <w:tc>
          <w:tcPr>
            <w:tcW w:w="1861" w:type="dxa"/>
            <w:tcBorders>
              <w:tl2br w:val="nil"/>
              <w:tr2bl w:val="nil"/>
            </w:tcBorders>
            <w:noWrap/>
            <w:tcMar>
              <w:top w:w="15" w:type="dxa"/>
              <w:left w:w="15" w:type="dxa"/>
              <w:right w:w="15" w:type="dxa"/>
            </w:tcMar>
            <w:vAlign w:val="center"/>
          </w:tcPr>
          <w:p w14:paraId="34EDE5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CB3F0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2E40C05">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lang w:val="en-US" w:eastAsia="zh-CN"/>
              </w:rPr>
              <w:t>56</w:t>
            </w:r>
          </w:p>
        </w:tc>
        <w:tc>
          <w:tcPr>
            <w:tcW w:w="1526" w:type="dxa"/>
            <w:tcBorders>
              <w:tl2br w:val="nil"/>
              <w:tr2bl w:val="nil"/>
            </w:tcBorders>
            <w:noWrap w:val="0"/>
            <w:tcMar>
              <w:top w:w="15" w:type="dxa"/>
              <w:left w:w="15" w:type="dxa"/>
              <w:right w:w="15" w:type="dxa"/>
            </w:tcMar>
            <w:vAlign w:val="center"/>
          </w:tcPr>
          <w:p w14:paraId="063EB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岳阳市杭星机电有限公司</w:t>
            </w:r>
          </w:p>
        </w:tc>
        <w:tc>
          <w:tcPr>
            <w:tcW w:w="608" w:type="dxa"/>
            <w:tcBorders>
              <w:tl2br w:val="nil"/>
              <w:tr2bl w:val="nil"/>
            </w:tcBorders>
            <w:noWrap w:val="0"/>
            <w:tcMar>
              <w:top w:w="15" w:type="dxa"/>
              <w:left w:w="15" w:type="dxa"/>
              <w:right w:w="15" w:type="dxa"/>
            </w:tcMar>
            <w:vAlign w:val="center"/>
          </w:tcPr>
          <w:p w14:paraId="6138FD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6000</w:t>
            </w:r>
          </w:p>
        </w:tc>
        <w:tc>
          <w:tcPr>
            <w:tcW w:w="750" w:type="dxa"/>
            <w:tcBorders>
              <w:tl2br w:val="nil"/>
              <w:tr2bl w:val="nil"/>
            </w:tcBorders>
            <w:noWrap/>
            <w:tcMar>
              <w:top w:w="15" w:type="dxa"/>
              <w:left w:w="15" w:type="dxa"/>
              <w:right w:w="15" w:type="dxa"/>
            </w:tcMar>
            <w:vAlign w:val="center"/>
          </w:tcPr>
          <w:p w14:paraId="2DBC01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0.1277</w:t>
            </w:r>
          </w:p>
        </w:tc>
        <w:tc>
          <w:tcPr>
            <w:tcW w:w="990" w:type="dxa"/>
            <w:tcBorders>
              <w:tl2br w:val="nil"/>
              <w:tr2bl w:val="nil"/>
            </w:tcBorders>
            <w:noWrap/>
            <w:tcMar>
              <w:top w:w="15" w:type="dxa"/>
              <w:left w:w="15" w:type="dxa"/>
              <w:right w:w="15" w:type="dxa"/>
            </w:tcMar>
            <w:vAlign w:val="center"/>
          </w:tcPr>
          <w:p w14:paraId="4257F76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138490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0E0B99C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0.968</w:t>
            </w:r>
          </w:p>
        </w:tc>
        <w:tc>
          <w:tcPr>
            <w:tcW w:w="2367" w:type="dxa"/>
            <w:tcBorders>
              <w:tl2br w:val="nil"/>
              <w:tr2bl w:val="nil"/>
            </w:tcBorders>
            <w:noWrap/>
            <w:tcMar>
              <w:top w:w="15" w:type="dxa"/>
              <w:left w:w="15" w:type="dxa"/>
              <w:right w:w="15" w:type="dxa"/>
            </w:tcMar>
            <w:vAlign w:val="center"/>
          </w:tcPr>
          <w:p w14:paraId="015D585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7B7BBB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342</w:t>
            </w:r>
          </w:p>
        </w:tc>
        <w:tc>
          <w:tcPr>
            <w:tcW w:w="1061" w:type="dxa"/>
            <w:tcBorders>
              <w:tl2br w:val="nil"/>
              <w:tr2bl w:val="nil"/>
            </w:tcBorders>
            <w:noWrap/>
            <w:tcMar>
              <w:top w:w="15" w:type="dxa"/>
              <w:left w:w="15" w:type="dxa"/>
              <w:right w:w="15" w:type="dxa"/>
            </w:tcMar>
            <w:vAlign w:val="center"/>
          </w:tcPr>
          <w:p w14:paraId="618663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0.014</w:t>
            </w:r>
          </w:p>
        </w:tc>
        <w:tc>
          <w:tcPr>
            <w:tcW w:w="953" w:type="dxa"/>
            <w:tcBorders>
              <w:tl2br w:val="nil"/>
              <w:tr2bl w:val="nil"/>
            </w:tcBorders>
            <w:noWrap/>
            <w:tcMar>
              <w:top w:w="15" w:type="dxa"/>
              <w:left w:w="15" w:type="dxa"/>
              <w:right w:w="15" w:type="dxa"/>
            </w:tcMar>
            <w:vAlign w:val="center"/>
          </w:tcPr>
          <w:p w14:paraId="666C21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0.001</w:t>
            </w:r>
          </w:p>
        </w:tc>
        <w:tc>
          <w:tcPr>
            <w:tcW w:w="1861" w:type="dxa"/>
            <w:tcBorders>
              <w:tl2br w:val="nil"/>
              <w:tr2bl w:val="nil"/>
            </w:tcBorders>
            <w:noWrap/>
            <w:tcMar>
              <w:top w:w="15" w:type="dxa"/>
              <w:left w:w="15" w:type="dxa"/>
              <w:right w:w="15" w:type="dxa"/>
            </w:tcMar>
            <w:vAlign w:val="center"/>
          </w:tcPr>
          <w:p w14:paraId="3DA317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323D5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23F9F2D">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lang w:val="en-US" w:eastAsia="zh-CN"/>
              </w:rPr>
              <w:t>57</w:t>
            </w:r>
          </w:p>
        </w:tc>
        <w:tc>
          <w:tcPr>
            <w:tcW w:w="1526" w:type="dxa"/>
            <w:tcBorders>
              <w:tl2br w:val="nil"/>
              <w:tr2bl w:val="nil"/>
            </w:tcBorders>
            <w:noWrap w:val="0"/>
            <w:tcMar>
              <w:top w:w="15" w:type="dxa"/>
              <w:left w:w="15" w:type="dxa"/>
              <w:right w:w="15" w:type="dxa"/>
            </w:tcMar>
            <w:vAlign w:val="center"/>
          </w:tcPr>
          <w:p w14:paraId="0B652C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湖南恒塑新材料科技有限公司</w:t>
            </w:r>
          </w:p>
        </w:tc>
        <w:tc>
          <w:tcPr>
            <w:tcW w:w="608" w:type="dxa"/>
            <w:tcBorders>
              <w:tl2br w:val="nil"/>
              <w:tr2bl w:val="nil"/>
            </w:tcBorders>
            <w:noWrap w:val="0"/>
            <w:tcMar>
              <w:top w:w="15" w:type="dxa"/>
              <w:left w:w="15" w:type="dxa"/>
              <w:right w:w="15" w:type="dxa"/>
            </w:tcMar>
            <w:vAlign w:val="center"/>
          </w:tcPr>
          <w:p w14:paraId="5A2034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32961</w:t>
            </w:r>
          </w:p>
        </w:tc>
        <w:tc>
          <w:tcPr>
            <w:tcW w:w="750" w:type="dxa"/>
            <w:tcBorders>
              <w:tl2br w:val="nil"/>
              <w:tr2bl w:val="nil"/>
            </w:tcBorders>
            <w:noWrap/>
            <w:tcMar>
              <w:top w:w="15" w:type="dxa"/>
              <w:left w:w="15" w:type="dxa"/>
              <w:right w:w="15" w:type="dxa"/>
            </w:tcMar>
            <w:vAlign w:val="center"/>
          </w:tcPr>
          <w:p w14:paraId="202546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0.583</w:t>
            </w:r>
          </w:p>
        </w:tc>
        <w:tc>
          <w:tcPr>
            <w:tcW w:w="990" w:type="dxa"/>
            <w:tcBorders>
              <w:tl2br w:val="nil"/>
              <w:tr2bl w:val="nil"/>
            </w:tcBorders>
            <w:noWrap/>
            <w:tcMar>
              <w:top w:w="15" w:type="dxa"/>
              <w:left w:w="15" w:type="dxa"/>
              <w:right w:w="15" w:type="dxa"/>
            </w:tcMar>
            <w:vAlign w:val="center"/>
          </w:tcPr>
          <w:p w14:paraId="205019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B562E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469409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7.656</w:t>
            </w:r>
          </w:p>
        </w:tc>
        <w:tc>
          <w:tcPr>
            <w:tcW w:w="2367" w:type="dxa"/>
            <w:tcBorders>
              <w:tl2br w:val="nil"/>
              <w:tr2bl w:val="nil"/>
            </w:tcBorders>
            <w:noWrap/>
            <w:tcMar>
              <w:top w:w="15" w:type="dxa"/>
              <w:left w:w="15" w:type="dxa"/>
              <w:right w:w="15" w:type="dxa"/>
            </w:tcMar>
            <w:vAlign w:val="center"/>
          </w:tcPr>
          <w:p w14:paraId="1CF3CF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1D3850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128645.8</w:t>
            </w:r>
          </w:p>
        </w:tc>
        <w:tc>
          <w:tcPr>
            <w:tcW w:w="1061" w:type="dxa"/>
            <w:tcBorders>
              <w:tl2br w:val="nil"/>
              <w:tr2bl w:val="nil"/>
            </w:tcBorders>
            <w:noWrap/>
            <w:tcMar>
              <w:top w:w="15" w:type="dxa"/>
              <w:left w:w="15" w:type="dxa"/>
              <w:right w:w="15" w:type="dxa"/>
            </w:tcMar>
            <w:vAlign w:val="center"/>
          </w:tcPr>
          <w:p w14:paraId="7CC8C53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0.6423</w:t>
            </w:r>
          </w:p>
        </w:tc>
        <w:tc>
          <w:tcPr>
            <w:tcW w:w="953" w:type="dxa"/>
            <w:tcBorders>
              <w:tl2br w:val="nil"/>
              <w:tr2bl w:val="nil"/>
            </w:tcBorders>
            <w:noWrap/>
            <w:tcMar>
              <w:top w:w="15" w:type="dxa"/>
              <w:left w:w="15" w:type="dxa"/>
              <w:right w:w="15" w:type="dxa"/>
            </w:tcMar>
            <w:vAlign w:val="center"/>
          </w:tcPr>
          <w:p w14:paraId="030392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0.1028</w:t>
            </w:r>
          </w:p>
        </w:tc>
        <w:tc>
          <w:tcPr>
            <w:tcW w:w="1861" w:type="dxa"/>
            <w:tcBorders>
              <w:tl2br w:val="nil"/>
              <w:tr2bl w:val="nil"/>
            </w:tcBorders>
            <w:noWrap/>
            <w:tcMar>
              <w:top w:w="15" w:type="dxa"/>
              <w:left w:w="15" w:type="dxa"/>
              <w:right w:w="15" w:type="dxa"/>
            </w:tcMar>
            <w:vAlign w:val="center"/>
          </w:tcPr>
          <w:p w14:paraId="59E697D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94FF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E275B6B">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lang w:val="en-US" w:eastAsia="zh-CN"/>
              </w:rPr>
              <w:t>58</w:t>
            </w:r>
          </w:p>
        </w:tc>
        <w:tc>
          <w:tcPr>
            <w:tcW w:w="1526" w:type="dxa"/>
            <w:tcBorders>
              <w:tl2br w:val="nil"/>
              <w:tr2bl w:val="nil"/>
            </w:tcBorders>
            <w:noWrap w:val="0"/>
            <w:tcMar>
              <w:top w:w="15" w:type="dxa"/>
              <w:left w:w="15" w:type="dxa"/>
              <w:right w:w="15" w:type="dxa"/>
            </w:tcMar>
            <w:vAlign w:val="center"/>
          </w:tcPr>
          <w:p w14:paraId="302C86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汨罗市万泉新材料有限公司</w:t>
            </w:r>
          </w:p>
        </w:tc>
        <w:tc>
          <w:tcPr>
            <w:tcW w:w="608" w:type="dxa"/>
            <w:tcBorders>
              <w:tl2br w:val="nil"/>
              <w:tr2bl w:val="nil"/>
            </w:tcBorders>
            <w:noWrap w:val="0"/>
            <w:tcMar>
              <w:top w:w="15" w:type="dxa"/>
              <w:left w:w="15" w:type="dxa"/>
              <w:right w:w="15" w:type="dxa"/>
            </w:tcMar>
            <w:vAlign w:val="center"/>
          </w:tcPr>
          <w:p w14:paraId="202E2A8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15453.8</w:t>
            </w:r>
          </w:p>
        </w:tc>
        <w:tc>
          <w:tcPr>
            <w:tcW w:w="750" w:type="dxa"/>
            <w:tcBorders>
              <w:tl2br w:val="nil"/>
              <w:tr2bl w:val="nil"/>
            </w:tcBorders>
            <w:noWrap/>
            <w:tcMar>
              <w:top w:w="15" w:type="dxa"/>
              <w:left w:w="15" w:type="dxa"/>
              <w:right w:w="15" w:type="dxa"/>
            </w:tcMar>
            <w:vAlign w:val="center"/>
          </w:tcPr>
          <w:p w14:paraId="7F99D0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少量</w:t>
            </w:r>
          </w:p>
        </w:tc>
        <w:tc>
          <w:tcPr>
            <w:tcW w:w="990" w:type="dxa"/>
            <w:tcBorders>
              <w:tl2br w:val="nil"/>
              <w:tr2bl w:val="nil"/>
            </w:tcBorders>
            <w:noWrap/>
            <w:tcMar>
              <w:top w:w="15" w:type="dxa"/>
              <w:left w:w="15" w:type="dxa"/>
              <w:right w:w="15" w:type="dxa"/>
            </w:tcMar>
            <w:vAlign w:val="center"/>
          </w:tcPr>
          <w:p w14:paraId="49E5A7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25BBAD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2C26275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0.0011</w:t>
            </w:r>
          </w:p>
        </w:tc>
        <w:tc>
          <w:tcPr>
            <w:tcW w:w="2367" w:type="dxa"/>
            <w:tcBorders>
              <w:tl2br w:val="nil"/>
              <w:tr2bl w:val="nil"/>
            </w:tcBorders>
            <w:noWrap/>
            <w:tcMar>
              <w:top w:w="15" w:type="dxa"/>
              <w:left w:w="15" w:type="dxa"/>
              <w:right w:w="15" w:type="dxa"/>
            </w:tcMar>
            <w:vAlign w:val="center"/>
          </w:tcPr>
          <w:p w14:paraId="5D7FA2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1F6A22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4173</w:t>
            </w:r>
          </w:p>
        </w:tc>
        <w:tc>
          <w:tcPr>
            <w:tcW w:w="1061" w:type="dxa"/>
            <w:tcBorders>
              <w:tl2br w:val="nil"/>
              <w:tr2bl w:val="nil"/>
            </w:tcBorders>
            <w:noWrap/>
            <w:tcMar>
              <w:top w:w="15" w:type="dxa"/>
              <w:left w:w="15" w:type="dxa"/>
              <w:right w:w="15" w:type="dxa"/>
            </w:tcMar>
            <w:vAlign w:val="center"/>
          </w:tcPr>
          <w:p w14:paraId="092411B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w:t>
            </w:r>
          </w:p>
        </w:tc>
        <w:tc>
          <w:tcPr>
            <w:tcW w:w="953" w:type="dxa"/>
            <w:tcBorders>
              <w:tl2br w:val="nil"/>
              <w:tr2bl w:val="nil"/>
            </w:tcBorders>
            <w:noWrap/>
            <w:tcMar>
              <w:top w:w="15" w:type="dxa"/>
              <w:left w:w="15" w:type="dxa"/>
              <w:right w:w="15" w:type="dxa"/>
            </w:tcMar>
            <w:vAlign w:val="center"/>
          </w:tcPr>
          <w:p w14:paraId="3B64748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w:t>
            </w:r>
          </w:p>
        </w:tc>
        <w:tc>
          <w:tcPr>
            <w:tcW w:w="1861" w:type="dxa"/>
            <w:tcBorders>
              <w:tl2br w:val="nil"/>
              <w:tr2bl w:val="nil"/>
            </w:tcBorders>
            <w:noWrap/>
            <w:tcMar>
              <w:top w:w="15" w:type="dxa"/>
              <w:left w:w="15" w:type="dxa"/>
              <w:right w:w="15" w:type="dxa"/>
            </w:tcMar>
            <w:vAlign w:val="center"/>
          </w:tcPr>
          <w:p w14:paraId="6C996D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9D625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0A347D9">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color w:val="auto"/>
                <w:sz w:val="21"/>
                <w:szCs w:val="21"/>
                <w:u w:val="none" w:color="auto"/>
                <w:lang w:val="en-US" w:eastAsia="zh-CN"/>
              </w:rPr>
              <w:t>59</w:t>
            </w:r>
          </w:p>
        </w:tc>
        <w:tc>
          <w:tcPr>
            <w:tcW w:w="1526" w:type="dxa"/>
            <w:tcBorders>
              <w:tl2br w:val="nil"/>
              <w:tr2bl w:val="nil"/>
            </w:tcBorders>
            <w:noWrap w:val="0"/>
            <w:tcMar>
              <w:top w:w="15" w:type="dxa"/>
              <w:left w:w="15" w:type="dxa"/>
              <w:right w:w="15" w:type="dxa"/>
            </w:tcMar>
            <w:vAlign w:val="center"/>
          </w:tcPr>
          <w:p w14:paraId="4F0565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湖南省葛天湘豫废旧金属回收有限责任公司</w:t>
            </w:r>
          </w:p>
        </w:tc>
        <w:tc>
          <w:tcPr>
            <w:tcW w:w="608" w:type="dxa"/>
            <w:tcBorders>
              <w:tl2br w:val="nil"/>
              <w:tr2bl w:val="nil"/>
            </w:tcBorders>
            <w:noWrap w:val="0"/>
            <w:tcMar>
              <w:top w:w="15" w:type="dxa"/>
              <w:left w:w="15" w:type="dxa"/>
              <w:right w:w="15" w:type="dxa"/>
            </w:tcMar>
            <w:vAlign w:val="center"/>
          </w:tcPr>
          <w:p w14:paraId="15589A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14350.7</w:t>
            </w:r>
          </w:p>
        </w:tc>
        <w:tc>
          <w:tcPr>
            <w:tcW w:w="750" w:type="dxa"/>
            <w:tcBorders>
              <w:tl2br w:val="nil"/>
              <w:tr2bl w:val="nil"/>
            </w:tcBorders>
            <w:noWrap/>
            <w:tcMar>
              <w:top w:w="15" w:type="dxa"/>
              <w:left w:w="15" w:type="dxa"/>
              <w:right w:w="15" w:type="dxa"/>
            </w:tcMar>
            <w:vAlign w:val="center"/>
          </w:tcPr>
          <w:p w14:paraId="73FE0F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0.144</w:t>
            </w:r>
          </w:p>
        </w:tc>
        <w:tc>
          <w:tcPr>
            <w:tcW w:w="990" w:type="dxa"/>
            <w:tcBorders>
              <w:tl2br w:val="nil"/>
              <w:tr2bl w:val="nil"/>
            </w:tcBorders>
            <w:noWrap/>
            <w:tcMar>
              <w:top w:w="15" w:type="dxa"/>
              <w:left w:w="15" w:type="dxa"/>
              <w:right w:w="15" w:type="dxa"/>
            </w:tcMar>
            <w:vAlign w:val="center"/>
          </w:tcPr>
          <w:p w14:paraId="39489BB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D51E9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2CD108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7BA30D5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0344C7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1377</w:t>
            </w:r>
          </w:p>
        </w:tc>
        <w:tc>
          <w:tcPr>
            <w:tcW w:w="1061" w:type="dxa"/>
            <w:tcBorders>
              <w:tl2br w:val="nil"/>
              <w:tr2bl w:val="nil"/>
            </w:tcBorders>
            <w:noWrap/>
            <w:tcMar>
              <w:top w:w="15" w:type="dxa"/>
              <w:left w:w="15" w:type="dxa"/>
              <w:right w:w="15" w:type="dxa"/>
            </w:tcMar>
            <w:vAlign w:val="center"/>
          </w:tcPr>
          <w:p w14:paraId="406BD9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0.203</w:t>
            </w:r>
          </w:p>
        </w:tc>
        <w:tc>
          <w:tcPr>
            <w:tcW w:w="953" w:type="dxa"/>
            <w:tcBorders>
              <w:tl2br w:val="nil"/>
              <w:tr2bl w:val="nil"/>
            </w:tcBorders>
            <w:noWrap/>
            <w:tcMar>
              <w:top w:w="15" w:type="dxa"/>
              <w:left w:w="15" w:type="dxa"/>
              <w:right w:w="15" w:type="dxa"/>
            </w:tcMar>
            <w:vAlign w:val="center"/>
          </w:tcPr>
          <w:p w14:paraId="03C8B82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0.00875</w:t>
            </w:r>
          </w:p>
        </w:tc>
        <w:tc>
          <w:tcPr>
            <w:tcW w:w="1861" w:type="dxa"/>
            <w:tcBorders>
              <w:tl2br w:val="nil"/>
              <w:tr2bl w:val="nil"/>
            </w:tcBorders>
            <w:noWrap/>
            <w:tcMar>
              <w:top w:w="15" w:type="dxa"/>
              <w:left w:w="15" w:type="dxa"/>
              <w:right w:w="15" w:type="dxa"/>
            </w:tcMar>
            <w:vAlign w:val="center"/>
          </w:tcPr>
          <w:p w14:paraId="1269F56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0456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A8E7982">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color w:val="auto"/>
                <w:sz w:val="21"/>
                <w:szCs w:val="21"/>
                <w:u w:val="none" w:color="auto"/>
                <w:lang w:val="en-US" w:eastAsia="zh-CN"/>
              </w:rPr>
              <w:t>60</w:t>
            </w:r>
          </w:p>
        </w:tc>
        <w:tc>
          <w:tcPr>
            <w:tcW w:w="1526" w:type="dxa"/>
            <w:tcBorders>
              <w:tl2br w:val="nil"/>
              <w:tr2bl w:val="nil"/>
            </w:tcBorders>
            <w:noWrap w:val="0"/>
            <w:tcMar>
              <w:top w:w="15" w:type="dxa"/>
              <w:left w:w="15" w:type="dxa"/>
              <w:right w:w="15" w:type="dxa"/>
            </w:tcMar>
            <w:vAlign w:val="center"/>
          </w:tcPr>
          <w:p w14:paraId="72AE8BD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湖南远盛钢结构有限公司</w:t>
            </w:r>
          </w:p>
        </w:tc>
        <w:tc>
          <w:tcPr>
            <w:tcW w:w="608" w:type="dxa"/>
            <w:tcBorders>
              <w:tl2br w:val="nil"/>
              <w:tr2bl w:val="nil"/>
            </w:tcBorders>
            <w:noWrap w:val="0"/>
            <w:tcMar>
              <w:top w:w="15" w:type="dxa"/>
              <w:left w:w="15" w:type="dxa"/>
              <w:right w:w="15" w:type="dxa"/>
            </w:tcMar>
            <w:vAlign w:val="center"/>
          </w:tcPr>
          <w:p w14:paraId="568F13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8000</w:t>
            </w:r>
          </w:p>
        </w:tc>
        <w:tc>
          <w:tcPr>
            <w:tcW w:w="750" w:type="dxa"/>
            <w:tcBorders>
              <w:tl2br w:val="nil"/>
              <w:tr2bl w:val="nil"/>
            </w:tcBorders>
            <w:noWrap/>
            <w:tcMar>
              <w:top w:w="15" w:type="dxa"/>
              <w:left w:w="15" w:type="dxa"/>
              <w:right w:w="15" w:type="dxa"/>
            </w:tcMar>
            <w:vAlign w:val="center"/>
          </w:tcPr>
          <w:p w14:paraId="0EBFAC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1.7512</w:t>
            </w:r>
          </w:p>
        </w:tc>
        <w:tc>
          <w:tcPr>
            <w:tcW w:w="990" w:type="dxa"/>
            <w:tcBorders>
              <w:tl2br w:val="nil"/>
              <w:tr2bl w:val="nil"/>
            </w:tcBorders>
            <w:noWrap/>
            <w:tcMar>
              <w:top w:w="15" w:type="dxa"/>
              <w:left w:w="15" w:type="dxa"/>
              <w:right w:w="15" w:type="dxa"/>
            </w:tcMar>
            <w:vAlign w:val="center"/>
          </w:tcPr>
          <w:p w14:paraId="3759BF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A546A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76A335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w:t>
            </w:r>
          </w:p>
        </w:tc>
        <w:tc>
          <w:tcPr>
            <w:tcW w:w="2367" w:type="dxa"/>
            <w:tcBorders>
              <w:tl2br w:val="nil"/>
              <w:tr2bl w:val="nil"/>
            </w:tcBorders>
            <w:noWrap/>
            <w:tcMar>
              <w:top w:w="15" w:type="dxa"/>
              <w:left w:w="15" w:type="dxa"/>
              <w:right w:w="15" w:type="dxa"/>
            </w:tcMar>
            <w:vAlign w:val="center"/>
          </w:tcPr>
          <w:p w14:paraId="5B63B7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396B54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1197</w:t>
            </w:r>
          </w:p>
        </w:tc>
        <w:tc>
          <w:tcPr>
            <w:tcW w:w="1061" w:type="dxa"/>
            <w:tcBorders>
              <w:tl2br w:val="nil"/>
              <w:tr2bl w:val="nil"/>
            </w:tcBorders>
            <w:noWrap/>
            <w:tcMar>
              <w:top w:w="15" w:type="dxa"/>
              <w:left w:w="15" w:type="dxa"/>
              <w:right w:w="15" w:type="dxa"/>
            </w:tcMar>
            <w:vAlign w:val="center"/>
          </w:tcPr>
          <w:p w14:paraId="6866FD0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0.0599</w:t>
            </w:r>
          </w:p>
        </w:tc>
        <w:tc>
          <w:tcPr>
            <w:tcW w:w="953" w:type="dxa"/>
            <w:tcBorders>
              <w:tl2br w:val="nil"/>
              <w:tr2bl w:val="nil"/>
            </w:tcBorders>
            <w:noWrap/>
            <w:tcMar>
              <w:top w:w="15" w:type="dxa"/>
              <w:left w:w="15" w:type="dxa"/>
              <w:right w:w="15" w:type="dxa"/>
            </w:tcMar>
            <w:vAlign w:val="center"/>
          </w:tcPr>
          <w:p w14:paraId="4E0B0EC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0.0096</w:t>
            </w:r>
          </w:p>
        </w:tc>
        <w:tc>
          <w:tcPr>
            <w:tcW w:w="1861" w:type="dxa"/>
            <w:tcBorders>
              <w:tl2br w:val="nil"/>
              <w:tr2bl w:val="nil"/>
            </w:tcBorders>
            <w:noWrap/>
            <w:tcMar>
              <w:top w:w="15" w:type="dxa"/>
              <w:left w:w="15" w:type="dxa"/>
              <w:right w:w="15" w:type="dxa"/>
            </w:tcMar>
            <w:vAlign w:val="center"/>
          </w:tcPr>
          <w:p w14:paraId="5730852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9B8AC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62ADCFA">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color w:val="auto"/>
                <w:sz w:val="21"/>
                <w:szCs w:val="21"/>
                <w:u w:val="none" w:color="auto"/>
                <w:lang w:val="en-US" w:eastAsia="zh-CN"/>
              </w:rPr>
              <w:t>61</w:t>
            </w:r>
          </w:p>
        </w:tc>
        <w:tc>
          <w:tcPr>
            <w:tcW w:w="1526" w:type="dxa"/>
            <w:tcBorders>
              <w:tl2br w:val="nil"/>
              <w:tr2bl w:val="nil"/>
            </w:tcBorders>
            <w:noWrap w:val="0"/>
            <w:tcMar>
              <w:top w:w="15" w:type="dxa"/>
              <w:left w:w="15" w:type="dxa"/>
              <w:right w:w="15" w:type="dxa"/>
            </w:tcMar>
            <w:vAlign w:val="center"/>
          </w:tcPr>
          <w:p w14:paraId="2D4291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汨罗市德晨机械厂</w:t>
            </w:r>
          </w:p>
        </w:tc>
        <w:tc>
          <w:tcPr>
            <w:tcW w:w="608" w:type="dxa"/>
            <w:tcBorders>
              <w:tl2br w:val="nil"/>
              <w:tr2bl w:val="nil"/>
            </w:tcBorders>
            <w:noWrap w:val="0"/>
            <w:tcMar>
              <w:top w:w="15" w:type="dxa"/>
              <w:left w:w="15" w:type="dxa"/>
              <w:right w:w="15" w:type="dxa"/>
            </w:tcMar>
            <w:vAlign w:val="center"/>
          </w:tcPr>
          <w:p w14:paraId="0055A8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4000</w:t>
            </w:r>
          </w:p>
        </w:tc>
        <w:tc>
          <w:tcPr>
            <w:tcW w:w="750" w:type="dxa"/>
            <w:tcBorders>
              <w:tl2br w:val="nil"/>
              <w:tr2bl w:val="nil"/>
            </w:tcBorders>
            <w:noWrap/>
            <w:tcMar>
              <w:top w:w="15" w:type="dxa"/>
              <w:left w:w="15" w:type="dxa"/>
              <w:right w:w="15" w:type="dxa"/>
            </w:tcMar>
            <w:vAlign w:val="center"/>
          </w:tcPr>
          <w:p w14:paraId="14E34E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1.478</w:t>
            </w:r>
          </w:p>
        </w:tc>
        <w:tc>
          <w:tcPr>
            <w:tcW w:w="990" w:type="dxa"/>
            <w:tcBorders>
              <w:tl2br w:val="nil"/>
              <w:tr2bl w:val="nil"/>
            </w:tcBorders>
            <w:noWrap/>
            <w:tcMar>
              <w:top w:w="15" w:type="dxa"/>
              <w:left w:w="15" w:type="dxa"/>
              <w:right w:w="15" w:type="dxa"/>
            </w:tcMar>
            <w:vAlign w:val="center"/>
          </w:tcPr>
          <w:p w14:paraId="09F0A2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FC527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2F5733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0.577</w:t>
            </w:r>
          </w:p>
        </w:tc>
        <w:tc>
          <w:tcPr>
            <w:tcW w:w="2367" w:type="dxa"/>
            <w:tcBorders>
              <w:tl2br w:val="nil"/>
              <w:tr2bl w:val="nil"/>
            </w:tcBorders>
            <w:noWrap/>
            <w:tcMar>
              <w:top w:w="15" w:type="dxa"/>
              <w:left w:w="15" w:type="dxa"/>
              <w:right w:w="15" w:type="dxa"/>
            </w:tcMar>
            <w:vAlign w:val="center"/>
          </w:tcPr>
          <w:p w14:paraId="3AE539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0552A3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864</w:t>
            </w:r>
          </w:p>
        </w:tc>
        <w:tc>
          <w:tcPr>
            <w:tcW w:w="1061" w:type="dxa"/>
            <w:tcBorders>
              <w:tl2br w:val="nil"/>
              <w:tr2bl w:val="nil"/>
            </w:tcBorders>
            <w:noWrap/>
            <w:tcMar>
              <w:top w:w="15" w:type="dxa"/>
              <w:left w:w="15" w:type="dxa"/>
              <w:right w:w="15" w:type="dxa"/>
            </w:tcMar>
            <w:vAlign w:val="center"/>
          </w:tcPr>
          <w:p w14:paraId="2C4D31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0.044</w:t>
            </w:r>
          </w:p>
        </w:tc>
        <w:tc>
          <w:tcPr>
            <w:tcW w:w="953" w:type="dxa"/>
            <w:tcBorders>
              <w:tl2br w:val="nil"/>
              <w:tr2bl w:val="nil"/>
            </w:tcBorders>
            <w:noWrap/>
            <w:tcMar>
              <w:top w:w="15" w:type="dxa"/>
              <w:left w:w="15" w:type="dxa"/>
              <w:right w:w="15" w:type="dxa"/>
            </w:tcMar>
            <w:vAlign w:val="center"/>
          </w:tcPr>
          <w:p w14:paraId="1792426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0.007</w:t>
            </w:r>
          </w:p>
        </w:tc>
        <w:tc>
          <w:tcPr>
            <w:tcW w:w="1861" w:type="dxa"/>
            <w:tcBorders>
              <w:tl2br w:val="nil"/>
              <w:tr2bl w:val="nil"/>
            </w:tcBorders>
            <w:noWrap/>
            <w:tcMar>
              <w:top w:w="15" w:type="dxa"/>
              <w:left w:w="15" w:type="dxa"/>
              <w:right w:w="15" w:type="dxa"/>
            </w:tcMar>
            <w:vAlign w:val="center"/>
          </w:tcPr>
          <w:p w14:paraId="483EE82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0B352B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BCD95DE">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color w:val="auto"/>
                <w:sz w:val="21"/>
                <w:szCs w:val="21"/>
                <w:u w:val="none" w:color="auto"/>
                <w:lang w:val="en-US" w:eastAsia="zh-CN"/>
              </w:rPr>
              <w:t>62</w:t>
            </w:r>
          </w:p>
        </w:tc>
        <w:tc>
          <w:tcPr>
            <w:tcW w:w="1526" w:type="dxa"/>
            <w:tcBorders>
              <w:tl2br w:val="nil"/>
              <w:tr2bl w:val="nil"/>
            </w:tcBorders>
            <w:noWrap w:val="0"/>
            <w:tcMar>
              <w:top w:w="15" w:type="dxa"/>
              <w:left w:w="15" w:type="dxa"/>
              <w:right w:w="15" w:type="dxa"/>
            </w:tcMar>
            <w:vAlign w:val="center"/>
          </w:tcPr>
          <w:p w14:paraId="0ED5EF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湖南瑞居金属制品有限公司</w:t>
            </w:r>
          </w:p>
        </w:tc>
        <w:tc>
          <w:tcPr>
            <w:tcW w:w="608" w:type="dxa"/>
            <w:tcBorders>
              <w:tl2br w:val="nil"/>
              <w:tr2bl w:val="nil"/>
            </w:tcBorders>
            <w:noWrap w:val="0"/>
            <w:tcMar>
              <w:top w:w="15" w:type="dxa"/>
              <w:left w:w="15" w:type="dxa"/>
              <w:right w:w="15" w:type="dxa"/>
            </w:tcMar>
            <w:vAlign w:val="center"/>
          </w:tcPr>
          <w:p w14:paraId="071B89B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8000</w:t>
            </w:r>
          </w:p>
        </w:tc>
        <w:tc>
          <w:tcPr>
            <w:tcW w:w="750" w:type="dxa"/>
            <w:tcBorders>
              <w:tl2br w:val="nil"/>
              <w:tr2bl w:val="nil"/>
            </w:tcBorders>
            <w:noWrap/>
            <w:tcMar>
              <w:top w:w="15" w:type="dxa"/>
              <w:left w:w="15" w:type="dxa"/>
              <w:right w:w="15" w:type="dxa"/>
            </w:tcMar>
            <w:vAlign w:val="center"/>
          </w:tcPr>
          <w:p w14:paraId="655F76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0.565</w:t>
            </w:r>
          </w:p>
        </w:tc>
        <w:tc>
          <w:tcPr>
            <w:tcW w:w="990" w:type="dxa"/>
            <w:tcBorders>
              <w:tl2br w:val="nil"/>
              <w:tr2bl w:val="nil"/>
            </w:tcBorders>
            <w:noWrap/>
            <w:tcMar>
              <w:top w:w="15" w:type="dxa"/>
              <w:left w:w="15" w:type="dxa"/>
              <w:right w:w="15" w:type="dxa"/>
            </w:tcMar>
            <w:vAlign w:val="center"/>
          </w:tcPr>
          <w:p w14:paraId="3A7B7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0.035</w:t>
            </w:r>
          </w:p>
        </w:tc>
        <w:tc>
          <w:tcPr>
            <w:tcW w:w="901" w:type="dxa"/>
            <w:tcBorders>
              <w:tl2br w:val="nil"/>
              <w:tr2bl w:val="nil"/>
            </w:tcBorders>
            <w:noWrap/>
            <w:tcMar>
              <w:top w:w="15" w:type="dxa"/>
              <w:left w:w="15" w:type="dxa"/>
              <w:right w:w="15" w:type="dxa"/>
            </w:tcMar>
            <w:vAlign w:val="center"/>
          </w:tcPr>
          <w:p w14:paraId="60C429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0.004</w:t>
            </w:r>
          </w:p>
        </w:tc>
        <w:tc>
          <w:tcPr>
            <w:tcW w:w="1250" w:type="dxa"/>
            <w:tcBorders>
              <w:tl2br w:val="nil"/>
              <w:tr2bl w:val="nil"/>
            </w:tcBorders>
            <w:noWrap/>
            <w:tcMar>
              <w:top w:w="15" w:type="dxa"/>
              <w:left w:w="15" w:type="dxa"/>
              <w:right w:w="15" w:type="dxa"/>
            </w:tcMar>
            <w:vAlign w:val="center"/>
          </w:tcPr>
          <w:p w14:paraId="0C2EE52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0.7</w:t>
            </w:r>
          </w:p>
        </w:tc>
        <w:tc>
          <w:tcPr>
            <w:tcW w:w="2367" w:type="dxa"/>
            <w:tcBorders>
              <w:tl2br w:val="nil"/>
              <w:tr2bl w:val="nil"/>
            </w:tcBorders>
            <w:noWrap/>
            <w:tcMar>
              <w:top w:w="15" w:type="dxa"/>
              <w:left w:w="15" w:type="dxa"/>
              <w:right w:w="15" w:type="dxa"/>
            </w:tcMar>
            <w:vAlign w:val="center"/>
          </w:tcPr>
          <w:p w14:paraId="72CB53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36AAB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3420</w:t>
            </w:r>
          </w:p>
        </w:tc>
        <w:tc>
          <w:tcPr>
            <w:tcW w:w="1061" w:type="dxa"/>
            <w:tcBorders>
              <w:tl2br w:val="nil"/>
              <w:tr2bl w:val="nil"/>
            </w:tcBorders>
            <w:noWrap/>
            <w:tcMar>
              <w:top w:w="15" w:type="dxa"/>
              <w:left w:w="15" w:type="dxa"/>
              <w:right w:w="15" w:type="dxa"/>
            </w:tcMar>
            <w:vAlign w:val="center"/>
          </w:tcPr>
          <w:p w14:paraId="24F2AD0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1.368</w:t>
            </w:r>
          </w:p>
        </w:tc>
        <w:tc>
          <w:tcPr>
            <w:tcW w:w="953" w:type="dxa"/>
            <w:tcBorders>
              <w:tl2br w:val="nil"/>
              <w:tr2bl w:val="nil"/>
            </w:tcBorders>
            <w:noWrap/>
            <w:tcMar>
              <w:top w:w="15" w:type="dxa"/>
              <w:left w:w="15" w:type="dxa"/>
              <w:right w:w="15" w:type="dxa"/>
            </w:tcMar>
            <w:vAlign w:val="center"/>
          </w:tcPr>
          <w:p w14:paraId="2C26A79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0.103</w:t>
            </w:r>
          </w:p>
        </w:tc>
        <w:tc>
          <w:tcPr>
            <w:tcW w:w="1861" w:type="dxa"/>
            <w:tcBorders>
              <w:tl2br w:val="nil"/>
              <w:tr2bl w:val="nil"/>
            </w:tcBorders>
            <w:noWrap/>
            <w:tcMar>
              <w:top w:w="15" w:type="dxa"/>
              <w:left w:w="15" w:type="dxa"/>
              <w:right w:w="15" w:type="dxa"/>
            </w:tcMar>
            <w:vAlign w:val="center"/>
          </w:tcPr>
          <w:p w14:paraId="6040F6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lang w:val="en-US"/>
              </w:rPr>
            </w:pPr>
            <w:r>
              <w:rPr>
                <w:rFonts w:hint="eastAsia" w:ascii="Times New Roman" w:hAnsi="Times New Roman" w:eastAsia="宋体" w:cs="Times New Roman"/>
                <w:i w:val="0"/>
                <w:snapToGrid w:val="0"/>
                <w:color w:val="auto"/>
                <w:kern w:val="0"/>
                <w:sz w:val="21"/>
                <w:szCs w:val="21"/>
                <w:u w:val="none"/>
                <w:lang w:val="en-US" w:eastAsia="zh-CN" w:bidi="ar"/>
              </w:rPr>
              <w:t>/</w:t>
            </w:r>
          </w:p>
        </w:tc>
      </w:tr>
      <w:tr w14:paraId="1B2667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64BC9D0">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color w:val="auto"/>
                <w:sz w:val="21"/>
                <w:szCs w:val="21"/>
                <w:u w:val="none" w:color="auto"/>
                <w:lang w:val="en-US" w:eastAsia="zh-CN"/>
              </w:rPr>
              <w:t>63</w:t>
            </w:r>
          </w:p>
        </w:tc>
        <w:tc>
          <w:tcPr>
            <w:tcW w:w="1526" w:type="dxa"/>
            <w:tcBorders>
              <w:tl2br w:val="nil"/>
              <w:tr2bl w:val="nil"/>
            </w:tcBorders>
            <w:noWrap w:val="0"/>
            <w:tcMar>
              <w:top w:w="15" w:type="dxa"/>
              <w:left w:w="15" w:type="dxa"/>
              <w:right w:w="15" w:type="dxa"/>
            </w:tcMar>
            <w:vAlign w:val="center"/>
          </w:tcPr>
          <w:p w14:paraId="54255B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湖南恒清智能装备有限公司汨罗分公司</w:t>
            </w:r>
          </w:p>
        </w:tc>
        <w:tc>
          <w:tcPr>
            <w:tcW w:w="608" w:type="dxa"/>
            <w:tcBorders>
              <w:tl2br w:val="nil"/>
              <w:tr2bl w:val="nil"/>
            </w:tcBorders>
            <w:noWrap w:val="0"/>
            <w:tcMar>
              <w:top w:w="15" w:type="dxa"/>
              <w:left w:w="15" w:type="dxa"/>
              <w:right w:w="15" w:type="dxa"/>
            </w:tcMar>
            <w:vAlign w:val="center"/>
          </w:tcPr>
          <w:p w14:paraId="16652C0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6553</w:t>
            </w:r>
          </w:p>
        </w:tc>
        <w:tc>
          <w:tcPr>
            <w:tcW w:w="750" w:type="dxa"/>
            <w:tcBorders>
              <w:tl2br w:val="nil"/>
              <w:tr2bl w:val="nil"/>
            </w:tcBorders>
            <w:noWrap/>
            <w:tcMar>
              <w:top w:w="15" w:type="dxa"/>
              <w:left w:w="15" w:type="dxa"/>
              <w:right w:w="15" w:type="dxa"/>
            </w:tcMar>
            <w:vAlign w:val="center"/>
          </w:tcPr>
          <w:p w14:paraId="1EEC71E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2.0664</w:t>
            </w:r>
          </w:p>
        </w:tc>
        <w:tc>
          <w:tcPr>
            <w:tcW w:w="990" w:type="dxa"/>
            <w:tcBorders>
              <w:tl2br w:val="nil"/>
              <w:tr2bl w:val="nil"/>
            </w:tcBorders>
            <w:noWrap/>
            <w:tcMar>
              <w:top w:w="15" w:type="dxa"/>
              <w:left w:w="15" w:type="dxa"/>
              <w:right w:w="15" w:type="dxa"/>
            </w:tcMar>
            <w:vAlign w:val="center"/>
          </w:tcPr>
          <w:p w14:paraId="02B3E9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0.00022</w:t>
            </w:r>
          </w:p>
        </w:tc>
        <w:tc>
          <w:tcPr>
            <w:tcW w:w="901" w:type="dxa"/>
            <w:tcBorders>
              <w:tl2br w:val="nil"/>
              <w:tr2bl w:val="nil"/>
            </w:tcBorders>
            <w:noWrap/>
            <w:tcMar>
              <w:top w:w="15" w:type="dxa"/>
              <w:left w:w="15" w:type="dxa"/>
              <w:right w:w="15" w:type="dxa"/>
            </w:tcMar>
            <w:vAlign w:val="center"/>
          </w:tcPr>
          <w:p w14:paraId="196921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0.075</w:t>
            </w:r>
          </w:p>
        </w:tc>
        <w:tc>
          <w:tcPr>
            <w:tcW w:w="1250" w:type="dxa"/>
            <w:tcBorders>
              <w:tl2br w:val="nil"/>
              <w:tr2bl w:val="nil"/>
            </w:tcBorders>
            <w:noWrap/>
            <w:tcMar>
              <w:top w:w="15" w:type="dxa"/>
              <w:left w:w="15" w:type="dxa"/>
              <w:right w:w="15" w:type="dxa"/>
            </w:tcMar>
            <w:vAlign w:val="center"/>
          </w:tcPr>
          <w:p w14:paraId="4CC2DC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0.048</w:t>
            </w:r>
          </w:p>
        </w:tc>
        <w:tc>
          <w:tcPr>
            <w:tcW w:w="2367" w:type="dxa"/>
            <w:tcBorders>
              <w:tl2br w:val="nil"/>
              <w:tr2bl w:val="nil"/>
            </w:tcBorders>
            <w:noWrap/>
            <w:tcMar>
              <w:top w:w="15" w:type="dxa"/>
              <w:left w:w="15" w:type="dxa"/>
              <w:right w:w="15" w:type="dxa"/>
            </w:tcMar>
            <w:vAlign w:val="center"/>
          </w:tcPr>
          <w:p w14:paraId="2E4B898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3B1CAD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960</w:t>
            </w:r>
          </w:p>
        </w:tc>
        <w:tc>
          <w:tcPr>
            <w:tcW w:w="1061" w:type="dxa"/>
            <w:tcBorders>
              <w:tl2br w:val="nil"/>
              <w:tr2bl w:val="nil"/>
            </w:tcBorders>
            <w:noWrap/>
            <w:tcMar>
              <w:top w:w="15" w:type="dxa"/>
              <w:left w:w="15" w:type="dxa"/>
              <w:right w:w="15" w:type="dxa"/>
            </w:tcMar>
            <w:vAlign w:val="center"/>
          </w:tcPr>
          <w:p w14:paraId="14377B4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0.048</w:t>
            </w:r>
          </w:p>
        </w:tc>
        <w:tc>
          <w:tcPr>
            <w:tcW w:w="953" w:type="dxa"/>
            <w:tcBorders>
              <w:tl2br w:val="nil"/>
              <w:tr2bl w:val="nil"/>
            </w:tcBorders>
            <w:noWrap/>
            <w:tcMar>
              <w:top w:w="15" w:type="dxa"/>
              <w:left w:w="15" w:type="dxa"/>
              <w:right w:w="15" w:type="dxa"/>
            </w:tcMar>
            <w:vAlign w:val="center"/>
          </w:tcPr>
          <w:p w14:paraId="7D7DE7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0.0077</w:t>
            </w:r>
          </w:p>
        </w:tc>
        <w:tc>
          <w:tcPr>
            <w:tcW w:w="1861" w:type="dxa"/>
            <w:tcBorders>
              <w:tl2br w:val="nil"/>
              <w:tr2bl w:val="nil"/>
            </w:tcBorders>
            <w:noWrap/>
            <w:tcMar>
              <w:top w:w="15" w:type="dxa"/>
              <w:left w:w="15" w:type="dxa"/>
              <w:right w:w="15" w:type="dxa"/>
            </w:tcMar>
            <w:vAlign w:val="center"/>
          </w:tcPr>
          <w:p w14:paraId="675A75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0C3D9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82C6391">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color w:val="auto"/>
                <w:sz w:val="21"/>
                <w:szCs w:val="21"/>
                <w:u w:val="none" w:color="auto"/>
                <w:lang w:val="en-US" w:eastAsia="zh-CN"/>
              </w:rPr>
              <w:t>64</w:t>
            </w:r>
          </w:p>
        </w:tc>
        <w:tc>
          <w:tcPr>
            <w:tcW w:w="1526" w:type="dxa"/>
            <w:tcBorders>
              <w:tl2br w:val="nil"/>
              <w:tr2bl w:val="nil"/>
            </w:tcBorders>
            <w:noWrap w:val="0"/>
            <w:tcMar>
              <w:top w:w="15" w:type="dxa"/>
              <w:left w:w="15" w:type="dxa"/>
              <w:right w:w="15" w:type="dxa"/>
            </w:tcMar>
            <w:vAlign w:val="center"/>
          </w:tcPr>
          <w:p w14:paraId="71F7C5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湖南川拓再生资源有限公司</w:t>
            </w:r>
          </w:p>
        </w:tc>
        <w:tc>
          <w:tcPr>
            <w:tcW w:w="608" w:type="dxa"/>
            <w:tcBorders>
              <w:tl2br w:val="nil"/>
              <w:tr2bl w:val="nil"/>
            </w:tcBorders>
            <w:noWrap w:val="0"/>
            <w:tcMar>
              <w:top w:w="15" w:type="dxa"/>
              <w:left w:w="15" w:type="dxa"/>
              <w:right w:w="15" w:type="dxa"/>
            </w:tcMar>
            <w:vAlign w:val="center"/>
          </w:tcPr>
          <w:p w14:paraId="26B8E2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3000</w:t>
            </w:r>
          </w:p>
        </w:tc>
        <w:tc>
          <w:tcPr>
            <w:tcW w:w="750" w:type="dxa"/>
            <w:tcBorders>
              <w:tl2br w:val="nil"/>
              <w:tr2bl w:val="nil"/>
            </w:tcBorders>
            <w:noWrap/>
            <w:tcMar>
              <w:top w:w="15" w:type="dxa"/>
              <w:left w:w="15" w:type="dxa"/>
              <w:right w:w="15" w:type="dxa"/>
            </w:tcMar>
            <w:vAlign w:val="center"/>
          </w:tcPr>
          <w:p w14:paraId="33CF0B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0.0018</w:t>
            </w:r>
          </w:p>
        </w:tc>
        <w:tc>
          <w:tcPr>
            <w:tcW w:w="990" w:type="dxa"/>
            <w:tcBorders>
              <w:tl2br w:val="nil"/>
              <w:tr2bl w:val="nil"/>
            </w:tcBorders>
            <w:noWrap/>
            <w:tcMar>
              <w:top w:w="15" w:type="dxa"/>
              <w:left w:w="15" w:type="dxa"/>
              <w:right w:w="15" w:type="dxa"/>
            </w:tcMar>
            <w:vAlign w:val="center"/>
          </w:tcPr>
          <w:p w14:paraId="690874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0B92CD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165D91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0.0357</w:t>
            </w:r>
          </w:p>
        </w:tc>
        <w:tc>
          <w:tcPr>
            <w:tcW w:w="2367" w:type="dxa"/>
            <w:tcBorders>
              <w:tl2br w:val="nil"/>
              <w:tr2bl w:val="nil"/>
            </w:tcBorders>
            <w:noWrap/>
            <w:tcMar>
              <w:top w:w="15" w:type="dxa"/>
              <w:left w:w="15" w:type="dxa"/>
              <w:right w:w="15" w:type="dxa"/>
            </w:tcMar>
            <w:vAlign w:val="center"/>
          </w:tcPr>
          <w:p w14:paraId="6DE8D1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2DC6F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648</w:t>
            </w:r>
          </w:p>
        </w:tc>
        <w:tc>
          <w:tcPr>
            <w:tcW w:w="1061" w:type="dxa"/>
            <w:tcBorders>
              <w:tl2br w:val="nil"/>
              <w:tr2bl w:val="nil"/>
            </w:tcBorders>
            <w:noWrap/>
            <w:tcMar>
              <w:top w:w="15" w:type="dxa"/>
              <w:left w:w="15" w:type="dxa"/>
              <w:right w:w="15" w:type="dxa"/>
            </w:tcMar>
            <w:vAlign w:val="center"/>
          </w:tcPr>
          <w:p w14:paraId="754FE8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0.0324</w:t>
            </w:r>
          </w:p>
        </w:tc>
        <w:tc>
          <w:tcPr>
            <w:tcW w:w="953" w:type="dxa"/>
            <w:tcBorders>
              <w:tl2br w:val="nil"/>
              <w:tr2bl w:val="nil"/>
            </w:tcBorders>
            <w:noWrap/>
            <w:tcMar>
              <w:top w:w="15" w:type="dxa"/>
              <w:left w:w="15" w:type="dxa"/>
              <w:right w:w="15" w:type="dxa"/>
            </w:tcMar>
            <w:vAlign w:val="center"/>
          </w:tcPr>
          <w:p w14:paraId="1A06E3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0.0052</w:t>
            </w:r>
          </w:p>
        </w:tc>
        <w:tc>
          <w:tcPr>
            <w:tcW w:w="1861" w:type="dxa"/>
            <w:tcBorders>
              <w:tl2br w:val="nil"/>
              <w:tr2bl w:val="nil"/>
            </w:tcBorders>
            <w:noWrap/>
            <w:tcMar>
              <w:top w:w="15" w:type="dxa"/>
              <w:left w:w="15" w:type="dxa"/>
              <w:right w:w="15" w:type="dxa"/>
            </w:tcMar>
            <w:vAlign w:val="center"/>
          </w:tcPr>
          <w:p w14:paraId="19B6FD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1F8B00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CE66835">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color w:val="auto"/>
                <w:sz w:val="21"/>
                <w:szCs w:val="21"/>
                <w:u w:val="none" w:color="auto"/>
                <w:lang w:val="en-US" w:eastAsia="zh-CN"/>
              </w:rPr>
              <w:t>65</w:t>
            </w:r>
          </w:p>
        </w:tc>
        <w:tc>
          <w:tcPr>
            <w:tcW w:w="1526" w:type="dxa"/>
            <w:tcBorders>
              <w:tl2br w:val="nil"/>
              <w:tr2bl w:val="nil"/>
            </w:tcBorders>
            <w:noWrap w:val="0"/>
            <w:tcMar>
              <w:top w:w="15" w:type="dxa"/>
              <w:left w:w="15" w:type="dxa"/>
              <w:right w:w="15" w:type="dxa"/>
            </w:tcMar>
            <w:vAlign w:val="center"/>
          </w:tcPr>
          <w:p w14:paraId="274417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汨罗市林辉再生资源有限公司</w:t>
            </w:r>
          </w:p>
        </w:tc>
        <w:tc>
          <w:tcPr>
            <w:tcW w:w="608" w:type="dxa"/>
            <w:tcBorders>
              <w:tl2br w:val="nil"/>
              <w:tr2bl w:val="nil"/>
            </w:tcBorders>
            <w:noWrap w:val="0"/>
            <w:tcMar>
              <w:top w:w="15" w:type="dxa"/>
              <w:left w:w="15" w:type="dxa"/>
              <w:right w:w="15" w:type="dxa"/>
            </w:tcMar>
            <w:vAlign w:val="center"/>
          </w:tcPr>
          <w:p w14:paraId="75A69A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1000</w:t>
            </w:r>
          </w:p>
        </w:tc>
        <w:tc>
          <w:tcPr>
            <w:tcW w:w="750" w:type="dxa"/>
            <w:tcBorders>
              <w:tl2br w:val="nil"/>
              <w:tr2bl w:val="nil"/>
            </w:tcBorders>
            <w:noWrap/>
            <w:tcMar>
              <w:top w:w="15" w:type="dxa"/>
              <w:left w:w="15" w:type="dxa"/>
              <w:right w:w="15" w:type="dxa"/>
            </w:tcMar>
            <w:vAlign w:val="center"/>
          </w:tcPr>
          <w:p w14:paraId="15EB36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0" w:type="dxa"/>
            <w:tcBorders>
              <w:tl2br w:val="nil"/>
              <w:tr2bl w:val="nil"/>
            </w:tcBorders>
            <w:noWrap/>
            <w:tcMar>
              <w:top w:w="15" w:type="dxa"/>
              <w:left w:w="15" w:type="dxa"/>
              <w:right w:w="15" w:type="dxa"/>
            </w:tcMar>
            <w:vAlign w:val="center"/>
          </w:tcPr>
          <w:p w14:paraId="1380C3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419664F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6BC32F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tcMar>
              <w:top w:w="15" w:type="dxa"/>
              <w:left w:w="15" w:type="dxa"/>
              <w:right w:w="15" w:type="dxa"/>
            </w:tcMar>
            <w:vAlign w:val="center"/>
          </w:tcPr>
          <w:p w14:paraId="4CE0BC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44C8635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216</w:t>
            </w:r>
          </w:p>
        </w:tc>
        <w:tc>
          <w:tcPr>
            <w:tcW w:w="1061" w:type="dxa"/>
            <w:tcBorders>
              <w:tl2br w:val="nil"/>
              <w:tr2bl w:val="nil"/>
            </w:tcBorders>
            <w:noWrap/>
            <w:tcMar>
              <w:top w:w="15" w:type="dxa"/>
              <w:left w:w="15" w:type="dxa"/>
              <w:right w:w="15" w:type="dxa"/>
            </w:tcMar>
            <w:vAlign w:val="center"/>
          </w:tcPr>
          <w:p w14:paraId="176CF4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0.055</w:t>
            </w:r>
          </w:p>
        </w:tc>
        <w:tc>
          <w:tcPr>
            <w:tcW w:w="953" w:type="dxa"/>
            <w:tcBorders>
              <w:tl2br w:val="nil"/>
              <w:tr2bl w:val="nil"/>
            </w:tcBorders>
            <w:noWrap/>
            <w:tcMar>
              <w:top w:w="15" w:type="dxa"/>
              <w:left w:w="15" w:type="dxa"/>
              <w:right w:w="15" w:type="dxa"/>
            </w:tcMar>
            <w:vAlign w:val="center"/>
          </w:tcPr>
          <w:p w14:paraId="161F3E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0.032</w:t>
            </w:r>
          </w:p>
        </w:tc>
        <w:tc>
          <w:tcPr>
            <w:tcW w:w="1861" w:type="dxa"/>
            <w:tcBorders>
              <w:tl2br w:val="nil"/>
              <w:tr2bl w:val="nil"/>
            </w:tcBorders>
            <w:noWrap/>
            <w:tcMar>
              <w:top w:w="15" w:type="dxa"/>
              <w:left w:w="15" w:type="dxa"/>
              <w:right w:w="15" w:type="dxa"/>
            </w:tcMar>
            <w:vAlign w:val="center"/>
          </w:tcPr>
          <w:p w14:paraId="52259C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2E2BAF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C3DA389">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kern w:val="2"/>
                <w:sz w:val="21"/>
                <w:szCs w:val="21"/>
                <w:u w:val="none"/>
                <w:lang w:val="en-US" w:eastAsia="zh-CN" w:bidi="zh-CN"/>
              </w:rPr>
            </w:pPr>
            <w:r>
              <w:rPr>
                <w:rFonts w:hint="eastAsia" w:ascii="Times New Roman" w:hAnsi="Times New Roman" w:eastAsia="宋体" w:cs="Times New Roman"/>
                <w:color w:val="auto"/>
                <w:sz w:val="21"/>
                <w:szCs w:val="21"/>
                <w:u w:val="none" w:color="auto"/>
                <w:lang w:val="en-US" w:eastAsia="zh-CN"/>
              </w:rPr>
              <w:t>66</w:t>
            </w:r>
          </w:p>
        </w:tc>
        <w:tc>
          <w:tcPr>
            <w:tcW w:w="1526" w:type="dxa"/>
            <w:tcBorders>
              <w:tl2br w:val="nil"/>
              <w:tr2bl w:val="nil"/>
            </w:tcBorders>
            <w:noWrap w:val="0"/>
            <w:tcMar>
              <w:top w:w="15" w:type="dxa"/>
              <w:left w:w="15" w:type="dxa"/>
              <w:right w:w="15" w:type="dxa"/>
            </w:tcMar>
            <w:vAlign w:val="center"/>
          </w:tcPr>
          <w:p w14:paraId="04B23C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i w:val="0"/>
                <w:snapToGrid w:val="0"/>
                <w:color w:val="auto"/>
                <w:kern w:val="0"/>
                <w:sz w:val="21"/>
                <w:szCs w:val="21"/>
                <w:u w:val="none" w:color="auto"/>
                <w:lang w:val="en-US" w:eastAsia="zh-CN" w:bidi="ar"/>
              </w:rPr>
              <w:t>汨罗市雅洁废旧物资回收有限公司</w:t>
            </w:r>
          </w:p>
        </w:tc>
        <w:tc>
          <w:tcPr>
            <w:tcW w:w="608" w:type="dxa"/>
            <w:tcBorders>
              <w:tl2br w:val="nil"/>
              <w:tr2bl w:val="nil"/>
            </w:tcBorders>
            <w:noWrap w:val="0"/>
            <w:tcMar>
              <w:top w:w="15" w:type="dxa"/>
              <w:left w:w="15" w:type="dxa"/>
              <w:right w:w="15" w:type="dxa"/>
            </w:tcMar>
            <w:vAlign w:val="center"/>
          </w:tcPr>
          <w:p w14:paraId="1F354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5580</w:t>
            </w:r>
          </w:p>
        </w:tc>
        <w:tc>
          <w:tcPr>
            <w:tcW w:w="750" w:type="dxa"/>
            <w:tcBorders>
              <w:tl2br w:val="nil"/>
              <w:tr2bl w:val="nil"/>
            </w:tcBorders>
            <w:noWrap/>
            <w:tcMar>
              <w:top w:w="15" w:type="dxa"/>
              <w:left w:w="15" w:type="dxa"/>
              <w:right w:w="15" w:type="dxa"/>
            </w:tcMar>
            <w:vAlign w:val="center"/>
          </w:tcPr>
          <w:p w14:paraId="0E6A63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0.827</w:t>
            </w:r>
          </w:p>
        </w:tc>
        <w:tc>
          <w:tcPr>
            <w:tcW w:w="990" w:type="dxa"/>
            <w:tcBorders>
              <w:tl2br w:val="nil"/>
              <w:tr2bl w:val="nil"/>
            </w:tcBorders>
            <w:noWrap/>
            <w:tcMar>
              <w:top w:w="15" w:type="dxa"/>
              <w:left w:w="15" w:type="dxa"/>
              <w:right w:w="15" w:type="dxa"/>
            </w:tcMar>
            <w:vAlign w:val="center"/>
          </w:tcPr>
          <w:p w14:paraId="2349FBD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48045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671A17D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0.1835</w:t>
            </w:r>
          </w:p>
        </w:tc>
        <w:tc>
          <w:tcPr>
            <w:tcW w:w="2367" w:type="dxa"/>
            <w:tcBorders>
              <w:tl2br w:val="nil"/>
              <w:tr2bl w:val="nil"/>
            </w:tcBorders>
            <w:noWrap w:val="0"/>
            <w:tcMar>
              <w:top w:w="15" w:type="dxa"/>
              <w:left w:w="15" w:type="dxa"/>
              <w:right w:w="15" w:type="dxa"/>
            </w:tcMar>
            <w:vAlign w:val="center"/>
          </w:tcPr>
          <w:p w14:paraId="1E52D0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78F9B5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288</w:t>
            </w:r>
          </w:p>
        </w:tc>
        <w:tc>
          <w:tcPr>
            <w:tcW w:w="1061" w:type="dxa"/>
            <w:tcBorders>
              <w:tl2br w:val="nil"/>
              <w:tr2bl w:val="nil"/>
            </w:tcBorders>
            <w:noWrap/>
            <w:tcMar>
              <w:top w:w="15" w:type="dxa"/>
              <w:left w:w="15" w:type="dxa"/>
              <w:right w:w="15" w:type="dxa"/>
            </w:tcMar>
            <w:vAlign w:val="center"/>
          </w:tcPr>
          <w:p w14:paraId="3130EEA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0.073</w:t>
            </w:r>
          </w:p>
        </w:tc>
        <w:tc>
          <w:tcPr>
            <w:tcW w:w="953" w:type="dxa"/>
            <w:tcBorders>
              <w:tl2br w:val="nil"/>
              <w:tr2bl w:val="nil"/>
            </w:tcBorders>
            <w:noWrap/>
            <w:tcMar>
              <w:top w:w="15" w:type="dxa"/>
              <w:left w:w="15" w:type="dxa"/>
              <w:right w:w="15" w:type="dxa"/>
            </w:tcMar>
            <w:vAlign w:val="center"/>
          </w:tcPr>
          <w:p w14:paraId="5046FF5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0.007</w:t>
            </w:r>
          </w:p>
        </w:tc>
        <w:tc>
          <w:tcPr>
            <w:tcW w:w="1861" w:type="dxa"/>
            <w:tcBorders>
              <w:tl2br w:val="nil"/>
              <w:tr2bl w:val="nil"/>
            </w:tcBorders>
            <w:noWrap w:val="0"/>
            <w:tcMar>
              <w:top w:w="15" w:type="dxa"/>
              <w:left w:w="15" w:type="dxa"/>
              <w:right w:w="15" w:type="dxa"/>
            </w:tcMar>
            <w:vAlign w:val="center"/>
          </w:tcPr>
          <w:p w14:paraId="35638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w:t>
            </w:r>
          </w:p>
        </w:tc>
      </w:tr>
      <w:tr w14:paraId="334177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B365826">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67</w:t>
            </w:r>
          </w:p>
        </w:tc>
        <w:tc>
          <w:tcPr>
            <w:tcW w:w="1526" w:type="dxa"/>
            <w:tcBorders>
              <w:tl2br w:val="nil"/>
              <w:tr2bl w:val="nil"/>
            </w:tcBorders>
            <w:noWrap w:val="0"/>
            <w:tcMar>
              <w:top w:w="15" w:type="dxa"/>
              <w:left w:w="15" w:type="dxa"/>
              <w:right w:w="15" w:type="dxa"/>
            </w:tcMar>
            <w:vAlign w:val="center"/>
          </w:tcPr>
          <w:p w14:paraId="354F9CB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湖南中松百顺电子科技有限公司</w:t>
            </w:r>
          </w:p>
        </w:tc>
        <w:tc>
          <w:tcPr>
            <w:tcW w:w="608" w:type="dxa"/>
            <w:tcBorders>
              <w:tl2br w:val="nil"/>
              <w:tr2bl w:val="nil"/>
            </w:tcBorders>
            <w:noWrap w:val="0"/>
            <w:tcMar>
              <w:top w:w="15" w:type="dxa"/>
              <w:left w:w="15" w:type="dxa"/>
              <w:right w:w="15" w:type="dxa"/>
            </w:tcMar>
            <w:vAlign w:val="center"/>
          </w:tcPr>
          <w:p w14:paraId="601118F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12000</w:t>
            </w:r>
          </w:p>
        </w:tc>
        <w:tc>
          <w:tcPr>
            <w:tcW w:w="750" w:type="dxa"/>
            <w:tcBorders>
              <w:tl2br w:val="nil"/>
              <w:tr2bl w:val="nil"/>
            </w:tcBorders>
            <w:noWrap/>
            <w:tcMar>
              <w:top w:w="15" w:type="dxa"/>
              <w:left w:w="15" w:type="dxa"/>
              <w:right w:w="15" w:type="dxa"/>
            </w:tcMar>
            <w:vAlign w:val="center"/>
          </w:tcPr>
          <w:p w14:paraId="2380A0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0.75</w:t>
            </w:r>
          </w:p>
        </w:tc>
        <w:tc>
          <w:tcPr>
            <w:tcW w:w="990" w:type="dxa"/>
            <w:tcBorders>
              <w:tl2br w:val="nil"/>
              <w:tr2bl w:val="nil"/>
            </w:tcBorders>
            <w:noWrap/>
            <w:tcMar>
              <w:top w:w="15" w:type="dxa"/>
              <w:left w:w="15" w:type="dxa"/>
              <w:right w:w="15" w:type="dxa"/>
            </w:tcMar>
            <w:vAlign w:val="center"/>
          </w:tcPr>
          <w:p w14:paraId="5AF02D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26FED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0.241</w:t>
            </w:r>
          </w:p>
        </w:tc>
        <w:tc>
          <w:tcPr>
            <w:tcW w:w="1250" w:type="dxa"/>
            <w:tcBorders>
              <w:tl2br w:val="nil"/>
              <w:tr2bl w:val="nil"/>
            </w:tcBorders>
            <w:noWrap/>
            <w:tcMar>
              <w:top w:w="15" w:type="dxa"/>
              <w:left w:w="15" w:type="dxa"/>
              <w:right w:w="15" w:type="dxa"/>
            </w:tcMar>
            <w:vAlign w:val="center"/>
          </w:tcPr>
          <w:p w14:paraId="064099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14.453</w:t>
            </w:r>
          </w:p>
        </w:tc>
        <w:tc>
          <w:tcPr>
            <w:tcW w:w="2367" w:type="dxa"/>
            <w:tcBorders>
              <w:tl2br w:val="nil"/>
              <w:tr2bl w:val="nil"/>
            </w:tcBorders>
            <w:noWrap w:val="0"/>
            <w:tcMar>
              <w:top w:w="15" w:type="dxa"/>
              <w:left w:w="15" w:type="dxa"/>
              <w:right w:w="15" w:type="dxa"/>
            </w:tcMar>
            <w:vAlign w:val="center"/>
          </w:tcPr>
          <w:p w14:paraId="5A3D6C6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氨气0.303、硫酸雾0.745、甲醛0.349、氯化氢0.163</w:t>
            </w:r>
          </w:p>
        </w:tc>
        <w:tc>
          <w:tcPr>
            <w:tcW w:w="1170" w:type="dxa"/>
            <w:tcBorders>
              <w:tl2br w:val="nil"/>
              <w:tr2bl w:val="nil"/>
            </w:tcBorders>
            <w:noWrap/>
            <w:tcMar>
              <w:top w:w="15" w:type="dxa"/>
              <w:left w:w="15" w:type="dxa"/>
              <w:right w:w="15" w:type="dxa"/>
            </w:tcMar>
            <w:vAlign w:val="center"/>
          </w:tcPr>
          <w:p w14:paraId="57F8FC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60207.2</w:t>
            </w:r>
          </w:p>
        </w:tc>
        <w:tc>
          <w:tcPr>
            <w:tcW w:w="1061" w:type="dxa"/>
            <w:tcBorders>
              <w:tl2br w:val="nil"/>
              <w:tr2bl w:val="nil"/>
            </w:tcBorders>
            <w:noWrap/>
            <w:tcMar>
              <w:top w:w="15" w:type="dxa"/>
              <w:left w:w="15" w:type="dxa"/>
              <w:right w:w="15" w:type="dxa"/>
            </w:tcMar>
            <w:vAlign w:val="center"/>
          </w:tcPr>
          <w:p w14:paraId="0790F2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8.74</w:t>
            </w:r>
          </w:p>
        </w:tc>
        <w:tc>
          <w:tcPr>
            <w:tcW w:w="953" w:type="dxa"/>
            <w:tcBorders>
              <w:tl2br w:val="nil"/>
              <w:tr2bl w:val="nil"/>
            </w:tcBorders>
            <w:noWrap/>
            <w:tcMar>
              <w:top w:w="15" w:type="dxa"/>
              <w:left w:w="15" w:type="dxa"/>
              <w:right w:w="15" w:type="dxa"/>
            </w:tcMar>
            <w:vAlign w:val="center"/>
          </w:tcPr>
          <w:p w14:paraId="1E6CF92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1.5</w:t>
            </w:r>
          </w:p>
        </w:tc>
        <w:tc>
          <w:tcPr>
            <w:tcW w:w="1861" w:type="dxa"/>
            <w:tcBorders>
              <w:tl2br w:val="nil"/>
              <w:tr2bl w:val="nil"/>
            </w:tcBorders>
            <w:noWrap w:val="0"/>
            <w:tcMar>
              <w:top w:w="15" w:type="dxa"/>
              <w:left w:w="15" w:type="dxa"/>
              <w:right w:w="15" w:type="dxa"/>
            </w:tcMar>
            <w:vAlign w:val="center"/>
          </w:tcPr>
          <w:p w14:paraId="0E76E1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总铜0.12</w:t>
            </w:r>
          </w:p>
        </w:tc>
      </w:tr>
      <w:tr w14:paraId="3E7C12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3825CBC">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68</w:t>
            </w:r>
          </w:p>
        </w:tc>
        <w:tc>
          <w:tcPr>
            <w:tcW w:w="1526" w:type="dxa"/>
            <w:tcBorders>
              <w:tl2br w:val="nil"/>
              <w:tr2bl w:val="nil"/>
            </w:tcBorders>
            <w:noWrap w:val="0"/>
            <w:tcMar>
              <w:top w:w="15" w:type="dxa"/>
              <w:left w:w="15" w:type="dxa"/>
              <w:right w:w="15" w:type="dxa"/>
            </w:tcMar>
            <w:vAlign w:val="center"/>
          </w:tcPr>
          <w:p w14:paraId="74A5BB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湖南德沃新材料科技有限公司</w:t>
            </w:r>
          </w:p>
        </w:tc>
        <w:tc>
          <w:tcPr>
            <w:tcW w:w="608" w:type="dxa"/>
            <w:tcBorders>
              <w:tl2br w:val="nil"/>
              <w:tr2bl w:val="nil"/>
            </w:tcBorders>
            <w:noWrap w:val="0"/>
            <w:tcMar>
              <w:top w:w="15" w:type="dxa"/>
              <w:left w:w="15" w:type="dxa"/>
              <w:right w:w="15" w:type="dxa"/>
            </w:tcMar>
            <w:vAlign w:val="center"/>
          </w:tcPr>
          <w:p w14:paraId="57FC08E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5000</w:t>
            </w:r>
          </w:p>
        </w:tc>
        <w:tc>
          <w:tcPr>
            <w:tcW w:w="750" w:type="dxa"/>
            <w:tcBorders>
              <w:tl2br w:val="nil"/>
              <w:tr2bl w:val="nil"/>
            </w:tcBorders>
            <w:noWrap/>
            <w:tcMar>
              <w:top w:w="15" w:type="dxa"/>
              <w:left w:w="15" w:type="dxa"/>
              <w:right w:w="15" w:type="dxa"/>
            </w:tcMar>
            <w:vAlign w:val="center"/>
          </w:tcPr>
          <w:p w14:paraId="4F24A05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0.1616</w:t>
            </w:r>
          </w:p>
        </w:tc>
        <w:tc>
          <w:tcPr>
            <w:tcW w:w="990" w:type="dxa"/>
            <w:tcBorders>
              <w:tl2br w:val="nil"/>
              <w:tr2bl w:val="nil"/>
            </w:tcBorders>
            <w:noWrap/>
            <w:tcMar>
              <w:top w:w="15" w:type="dxa"/>
              <w:left w:w="15" w:type="dxa"/>
              <w:right w:w="15" w:type="dxa"/>
            </w:tcMar>
            <w:vAlign w:val="center"/>
          </w:tcPr>
          <w:p w14:paraId="35C9AB0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0.0149</w:t>
            </w:r>
          </w:p>
        </w:tc>
        <w:tc>
          <w:tcPr>
            <w:tcW w:w="901" w:type="dxa"/>
            <w:tcBorders>
              <w:tl2br w:val="nil"/>
              <w:tr2bl w:val="nil"/>
            </w:tcBorders>
            <w:noWrap/>
            <w:tcMar>
              <w:top w:w="15" w:type="dxa"/>
              <w:left w:w="15" w:type="dxa"/>
              <w:right w:w="15" w:type="dxa"/>
            </w:tcMar>
            <w:vAlign w:val="center"/>
          </w:tcPr>
          <w:p w14:paraId="64889B8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0.0592</w:t>
            </w:r>
          </w:p>
        </w:tc>
        <w:tc>
          <w:tcPr>
            <w:tcW w:w="1250" w:type="dxa"/>
            <w:tcBorders>
              <w:tl2br w:val="nil"/>
              <w:tr2bl w:val="nil"/>
            </w:tcBorders>
            <w:noWrap/>
            <w:tcMar>
              <w:top w:w="15" w:type="dxa"/>
              <w:left w:w="15" w:type="dxa"/>
              <w:right w:w="15" w:type="dxa"/>
            </w:tcMar>
            <w:vAlign w:val="center"/>
          </w:tcPr>
          <w:p w14:paraId="0B0F19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0.074</w:t>
            </w:r>
          </w:p>
        </w:tc>
        <w:tc>
          <w:tcPr>
            <w:tcW w:w="2367" w:type="dxa"/>
            <w:tcBorders>
              <w:tl2br w:val="nil"/>
              <w:tr2bl w:val="nil"/>
            </w:tcBorders>
            <w:noWrap/>
            <w:tcMar>
              <w:top w:w="15" w:type="dxa"/>
              <w:left w:w="15" w:type="dxa"/>
              <w:right w:w="15" w:type="dxa"/>
            </w:tcMar>
            <w:vAlign w:val="center"/>
          </w:tcPr>
          <w:p w14:paraId="3F35DF3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27DF9F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696</w:t>
            </w:r>
          </w:p>
        </w:tc>
        <w:tc>
          <w:tcPr>
            <w:tcW w:w="1061" w:type="dxa"/>
            <w:tcBorders>
              <w:tl2br w:val="nil"/>
              <w:tr2bl w:val="nil"/>
            </w:tcBorders>
            <w:noWrap/>
            <w:tcMar>
              <w:top w:w="15" w:type="dxa"/>
              <w:left w:w="15" w:type="dxa"/>
              <w:right w:w="15" w:type="dxa"/>
            </w:tcMar>
            <w:vAlign w:val="center"/>
          </w:tcPr>
          <w:p w14:paraId="17F683D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0.0348</w:t>
            </w:r>
          </w:p>
        </w:tc>
        <w:tc>
          <w:tcPr>
            <w:tcW w:w="953" w:type="dxa"/>
            <w:tcBorders>
              <w:tl2br w:val="nil"/>
              <w:tr2bl w:val="nil"/>
            </w:tcBorders>
            <w:noWrap/>
            <w:tcMar>
              <w:top w:w="15" w:type="dxa"/>
              <w:left w:w="15" w:type="dxa"/>
              <w:right w:w="15" w:type="dxa"/>
            </w:tcMar>
            <w:vAlign w:val="center"/>
          </w:tcPr>
          <w:p w14:paraId="16844A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0.0056</w:t>
            </w:r>
          </w:p>
        </w:tc>
        <w:tc>
          <w:tcPr>
            <w:tcW w:w="1861" w:type="dxa"/>
            <w:tcBorders>
              <w:tl2br w:val="nil"/>
              <w:tr2bl w:val="nil"/>
            </w:tcBorders>
            <w:noWrap/>
            <w:tcMar>
              <w:top w:w="15" w:type="dxa"/>
              <w:left w:w="15" w:type="dxa"/>
              <w:right w:w="15" w:type="dxa"/>
            </w:tcMar>
            <w:vAlign w:val="center"/>
          </w:tcPr>
          <w:p w14:paraId="4572BFA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C7C0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C7CAFA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69</w:t>
            </w:r>
          </w:p>
        </w:tc>
        <w:tc>
          <w:tcPr>
            <w:tcW w:w="1526" w:type="dxa"/>
            <w:tcBorders>
              <w:tl2br w:val="nil"/>
              <w:tr2bl w:val="nil"/>
            </w:tcBorders>
            <w:noWrap w:val="0"/>
            <w:tcMar>
              <w:top w:w="15" w:type="dxa"/>
              <w:left w:w="15" w:type="dxa"/>
              <w:right w:w="15" w:type="dxa"/>
            </w:tcMar>
            <w:vAlign w:val="center"/>
          </w:tcPr>
          <w:p w14:paraId="6345888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湖南省巨帆臻鼎环保有限公司（汨罗市PCB产业园7600t/d污水处理厂）</w:t>
            </w:r>
          </w:p>
        </w:tc>
        <w:tc>
          <w:tcPr>
            <w:tcW w:w="608" w:type="dxa"/>
            <w:tcBorders>
              <w:tl2br w:val="nil"/>
              <w:tr2bl w:val="nil"/>
            </w:tcBorders>
            <w:noWrap w:val="0"/>
            <w:tcMar>
              <w:top w:w="15" w:type="dxa"/>
              <w:left w:w="15" w:type="dxa"/>
              <w:right w:w="15" w:type="dxa"/>
            </w:tcMar>
            <w:vAlign w:val="center"/>
          </w:tcPr>
          <w:p w14:paraId="7802D89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5350.2</w:t>
            </w:r>
          </w:p>
        </w:tc>
        <w:tc>
          <w:tcPr>
            <w:tcW w:w="750" w:type="dxa"/>
            <w:tcBorders>
              <w:tl2br w:val="nil"/>
              <w:tr2bl w:val="nil"/>
            </w:tcBorders>
            <w:noWrap/>
            <w:tcMar>
              <w:top w:w="15" w:type="dxa"/>
              <w:left w:w="15" w:type="dxa"/>
              <w:right w:w="15" w:type="dxa"/>
            </w:tcMar>
            <w:vAlign w:val="center"/>
          </w:tcPr>
          <w:p w14:paraId="1FC325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90" w:type="dxa"/>
            <w:tcBorders>
              <w:tl2br w:val="nil"/>
              <w:tr2bl w:val="nil"/>
            </w:tcBorders>
            <w:noWrap/>
            <w:tcMar>
              <w:top w:w="15" w:type="dxa"/>
              <w:left w:w="15" w:type="dxa"/>
              <w:right w:w="15" w:type="dxa"/>
            </w:tcMar>
            <w:vAlign w:val="center"/>
          </w:tcPr>
          <w:p w14:paraId="2FF825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08B29D1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1250" w:type="dxa"/>
            <w:tcBorders>
              <w:tl2br w:val="nil"/>
              <w:tr2bl w:val="nil"/>
            </w:tcBorders>
            <w:noWrap/>
            <w:tcMar>
              <w:top w:w="15" w:type="dxa"/>
              <w:left w:w="15" w:type="dxa"/>
              <w:right w:w="15" w:type="dxa"/>
            </w:tcMar>
            <w:vAlign w:val="center"/>
          </w:tcPr>
          <w:p w14:paraId="39202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674251E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氨0.18846，硫化氢0.00191，硝酸雾0.01235，氯气0.10366</w:t>
            </w:r>
          </w:p>
        </w:tc>
        <w:tc>
          <w:tcPr>
            <w:tcW w:w="1170" w:type="dxa"/>
            <w:tcBorders>
              <w:tl2br w:val="nil"/>
              <w:tr2bl w:val="nil"/>
            </w:tcBorders>
            <w:noWrap/>
            <w:tcMar>
              <w:top w:w="15" w:type="dxa"/>
              <w:left w:w="15" w:type="dxa"/>
              <w:right w:w="15" w:type="dxa"/>
            </w:tcMar>
            <w:vAlign w:val="center"/>
          </w:tcPr>
          <w:p w14:paraId="0B0209F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1821702.1</w:t>
            </w:r>
          </w:p>
        </w:tc>
        <w:tc>
          <w:tcPr>
            <w:tcW w:w="1061" w:type="dxa"/>
            <w:tcBorders>
              <w:tl2br w:val="nil"/>
              <w:tr2bl w:val="nil"/>
            </w:tcBorders>
            <w:noWrap/>
            <w:tcMar>
              <w:top w:w="15" w:type="dxa"/>
              <w:left w:w="15" w:type="dxa"/>
              <w:right w:w="15" w:type="dxa"/>
            </w:tcMar>
            <w:vAlign w:val="center"/>
          </w:tcPr>
          <w:p w14:paraId="2F8ADD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91.1</w:t>
            </w:r>
          </w:p>
        </w:tc>
        <w:tc>
          <w:tcPr>
            <w:tcW w:w="953" w:type="dxa"/>
            <w:tcBorders>
              <w:tl2br w:val="nil"/>
              <w:tr2bl w:val="nil"/>
            </w:tcBorders>
            <w:noWrap/>
            <w:tcMar>
              <w:top w:w="15" w:type="dxa"/>
              <w:left w:w="15" w:type="dxa"/>
              <w:right w:w="15" w:type="dxa"/>
            </w:tcMar>
            <w:vAlign w:val="center"/>
          </w:tcPr>
          <w:p w14:paraId="31BA19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14.6</w:t>
            </w:r>
          </w:p>
        </w:tc>
        <w:tc>
          <w:tcPr>
            <w:tcW w:w="1861" w:type="dxa"/>
            <w:tcBorders>
              <w:tl2br w:val="nil"/>
              <w:tr2bl w:val="nil"/>
            </w:tcBorders>
            <w:noWrap w:val="0"/>
            <w:tcMar>
              <w:top w:w="15" w:type="dxa"/>
              <w:left w:w="15" w:type="dxa"/>
              <w:right w:w="15" w:type="dxa"/>
            </w:tcMar>
            <w:vAlign w:val="center"/>
          </w:tcPr>
          <w:p w14:paraId="3DC0FB1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总氰化物1.8211，总铜3.6421，总镍0.09105，总磷0.9105，总氮54.6320</w:t>
            </w:r>
          </w:p>
        </w:tc>
      </w:tr>
      <w:tr w14:paraId="7EF77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F4FD87B">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70</w:t>
            </w:r>
          </w:p>
        </w:tc>
        <w:tc>
          <w:tcPr>
            <w:tcW w:w="1526" w:type="dxa"/>
            <w:tcBorders>
              <w:tl2br w:val="nil"/>
              <w:tr2bl w:val="nil"/>
            </w:tcBorders>
            <w:noWrap w:val="0"/>
            <w:tcMar>
              <w:top w:w="15" w:type="dxa"/>
              <w:left w:w="15" w:type="dxa"/>
              <w:right w:w="15" w:type="dxa"/>
            </w:tcMar>
            <w:vAlign w:val="center"/>
          </w:tcPr>
          <w:p w14:paraId="2E6248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湖南骅拓电子电路制造有限公司</w:t>
            </w:r>
          </w:p>
        </w:tc>
        <w:tc>
          <w:tcPr>
            <w:tcW w:w="608" w:type="dxa"/>
            <w:tcBorders>
              <w:tl2br w:val="nil"/>
              <w:tr2bl w:val="nil"/>
            </w:tcBorders>
            <w:noWrap w:val="0"/>
            <w:tcMar>
              <w:top w:w="15" w:type="dxa"/>
              <w:left w:w="15" w:type="dxa"/>
              <w:right w:w="15" w:type="dxa"/>
            </w:tcMar>
            <w:vAlign w:val="center"/>
          </w:tcPr>
          <w:p w14:paraId="63A24E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12320</w:t>
            </w:r>
          </w:p>
        </w:tc>
        <w:tc>
          <w:tcPr>
            <w:tcW w:w="750" w:type="dxa"/>
            <w:tcBorders>
              <w:tl2br w:val="nil"/>
              <w:tr2bl w:val="nil"/>
            </w:tcBorders>
            <w:noWrap/>
            <w:tcMar>
              <w:top w:w="15" w:type="dxa"/>
              <w:left w:w="15" w:type="dxa"/>
              <w:right w:w="15" w:type="dxa"/>
            </w:tcMar>
            <w:vAlign w:val="center"/>
          </w:tcPr>
          <w:p w14:paraId="7D29B48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0.9</w:t>
            </w:r>
          </w:p>
        </w:tc>
        <w:tc>
          <w:tcPr>
            <w:tcW w:w="990" w:type="dxa"/>
            <w:tcBorders>
              <w:tl2br w:val="nil"/>
              <w:tr2bl w:val="nil"/>
            </w:tcBorders>
            <w:noWrap/>
            <w:tcMar>
              <w:top w:w="15" w:type="dxa"/>
              <w:left w:w="15" w:type="dxa"/>
              <w:right w:w="15" w:type="dxa"/>
            </w:tcMar>
            <w:vAlign w:val="center"/>
          </w:tcPr>
          <w:p w14:paraId="11F4FA3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901" w:type="dxa"/>
            <w:tcBorders>
              <w:tl2br w:val="nil"/>
              <w:tr2bl w:val="nil"/>
            </w:tcBorders>
            <w:noWrap/>
            <w:tcMar>
              <w:top w:w="15" w:type="dxa"/>
              <w:left w:w="15" w:type="dxa"/>
              <w:right w:w="15" w:type="dxa"/>
            </w:tcMar>
            <w:vAlign w:val="center"/>
          </w:tcPr>
          <w:p w14:paraId="077F7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0.889</w:t>
            </w:r>
          </w:p>
        </w:tc>
        <w:tc>
          <w:tcPr>
            <w:tcW w:w="1250" w:type="dxa"/>
            <w:tcBorders>
              <w:tl2br w:val="nil"/>
              <w:tr2bl w:val="nil"/>
            </w:tcBorders>
            <w:noWrap/>
            <w:tcMar>
              <w:top w:w="15" w:type="dxa"/>
              <w:left w:w="15" w:type="dxa"/>
              <w:right w:w="15" w:type="dxa"/>
            </w:tcMar>
            <w:vAlign w:val="center"/>
          </w:tcPr>
          <w:p w14:paraId="7A067F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13.622</w:t>
            </w:r>
          </w:p>
        </w:tc>
        <w:tc>
          <w:tcPr>
            <w:tcW w:w="2367" w:type="dxa"/>
            <w:tcBorders>
              <w:tl2br w:val="nil"/>
              <w:tr2bl w:val="nil"/>
            </w:tcBorders>
            <w:noWrap w:val="0"/>
            <w:tcMar>
              <w:top w:w="15" w:type="dxa"/>
              <w:left w:w="15" w:type="dxa"/>
              <w:right w:w="15" w:type="dxa"/>
            </w:tcMar>
            <w:vAlign w:val="center"/>
          </w:tcPr>
          <w:p w14:paraId="729B38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硫酸雾0.79，氯化氢0.178，甲醛0.1295，锡及其化合物0.0095</w:t>
            </w:r>
          </w:p>
        </w:tc>
        <w:tc>
          <w:tcPr>
            <w:tcW w:w="1170" w:type="dxa"/>
            <w:tcBorders>
              <w:tl2br w:val="nil"/>
              <w:tr2bl w:val="nil"/>
            </w:tcBorders>
            <w:noWrap/>
            <w:tcMar>
              <w:top w:w="15" w:type="dxa"/>
              <w:left w:w="15" w:type="dxa"/>
              <w:right w:w="15" w:type="dxa"/>
            </w:tcMar>
            <w:vAlign w:val="center"/>
          </w:tcPr>
          <w:p w14:paraId="73CE55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69124.6</w:t>
            </w:r>
          </w:p>
        </w:tc>
        <w:tc>
          <w:tcPr>
            <w:tcW w:w="1061" w:type="dxa"/>
            <w:tcBorders>
              <w:tl2br w:val="nil"/>
              <w:tr2bl w:val="nil"/>
            </w:tcBorders>
            <w:noWrap/>
            <w:tcMar>
              <w:top w:w="15" w:type="dxa"/>
              <w:left w:w="15" w:type="dxa"/>
              <w:right w:w="15" w:type="dxa"/>
            </w:tcMar>
            <w:vAlign w:val="center"/>
          </w:tcPr>
          <w:p w14:paraId="4C4BE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3.456</w:t>
            </w:r>
          </w:p>
        </w:tc>
        <w:tc>
          <w:tcPr>
            <w:tcW w:w="953" w:type="dxa"/>
            <w:tcBorders>
              <w:tl2br w:val="nil"/>
              <w:tr2bl w:val="nil"/>
            </w:tcBorders>
            <w:noWrap/>
            <w:tcMar>
              <w:top w:w="15" w:type="dxa"/>
              <w:left w:w="15" w:type="dxa"/>
              <w:right w:w="15" w:type="dxa"/>
            </w:tcMar>
            <w:vAlign w:val="center"/>
          </w:tcPr>
          <w:p w14:paraId="0BA6C74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0.346</w:t>
            </w:r>
          </w:p>
        </w:tc>
        <w:tc>
          <w:tcPr>
            <w:tcW w:w="1861" w:type="dxa"/>
            <w:tcBorders>
              <w:tl2br w:val="nil"/>
              <w:tr2bl w:val="nil"/>
            </w:tcBorders>
            <w:noWrap w:val="0"/>
            <w:tcMar>
              <w:top w:w="15" w:type="dxa"/>
              <w:left w:w="15" w:type="dxa"/>
              <w:right w:w="15" w:type="dxa"/>
            </w:tcMar>
            <w:vAlign w:val="center"/>
          </w:tcPr>
          <w:p w14:paraId="01C799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总铜0.138，SS 0.691</w:t>
            </w:r>
          </w:p>
        </w:tc>
      </w:tr>
      <w:tr w14:paraId="088E0D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09EF3A5">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71</w:t>
            </w:r>
          </w:p>
        </w:tc>
        <w:tc>
          <w:tcPr>
            <w:tcW w:w="1526" w:type="dxa"/>
            <w:tcBorders>
              <w:tl2br w:val="nil"/>
              <w:tr2bl w:val="nil"/>
            </w:tcBorders>
            <w:noWrap w:val="0"/>
            <w:tcMar>
              <w:top w:w="15" w:type="dxa"/>
              <w:left w:w="15" w:type="dxa"/>
              <w:right w:w="15" w:type="dxa"/>
            </w:tcMar>
            <w:vAlign w:val="center"/>
          </w:tcPr>
          <w:p w14:paraId="0025BAA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湖南晟飞电子科技有限公司</w:t>
            </w:r>
          </w:p>
        </w:tc>
        <w:tc>
          <w:tcPr>
            <w:tcW w:w="608" w:type="dxa"/>
            <w:tcBorders>
              <w:tl2br w:val="nil"/>
              <w:tr2bl w:val="nil"/>
            </w:tcBorders>
            <w:noWrap w:val="0"/>
            <w:tcMar>
              <w:top w:w="15" w:type="dxa"/>
              <w:left w:w="15" w:type="dxa"/>
              <w:right w:w="15" w:type="dxa"/>
            </w:tcMar>
            <w:vAlign w:val="center"/>
          </w:tcPr>
          <w:p w14:paraId="5F59B5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6200</w:t>
            </w:r>
          </w:p>
        </w:tc>
        <w:tc>
          <w:tcPr>
            <w:tcW w:w="750" w:type="dxa"/>
            <w:tcBorders>
              <w:tl2br w:val="nil"/>
              <w:tr2bl w:val="nil"/>
            </w:tcBorders>
            <w:noWrap/>
            <w:tcMar>
              <w:top w:w="15" w:type="dxa"/>
              <w:left w:w="15" w:type="dxa"/>
              <w:right w:w="15" w:type="dxa"/>
            </w:tcMar>
            <w:vAlign w:val="center"/>
          </w:tcPr>
          <w:p w14:paraId="22D3C4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0.884</w:t>
            </w:r>
          </w:p>
        </w:tc>
        <w:tc>
          <w:tcPr>
            <w:tcW w:w="990" w:type="dxa"/>
            <w:tcBorders>
              <w:tl2br w:val="nil"/>
              <w:tr2bl w:val="nil"/>
            </w:tcBorders>
            <w:noWrap/>
            <w:tcMar>
              <w:top w:w="15" w:type="dxa"/>
              <w:left w:w="15" w:type="dxa"/>
              <w:right w:w="15" w:type="dxa"/>
            </w:tcMar>
            <w:vAlign w:val="center"/>
          </w:tcPr>
          <w:p w14:paraId="675879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0B0CF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55AF5F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10.252</w:t>
            </w:r>
          </w:p>
        </w:tc>
        <w:tc>
          <w:tcPr>
            <w:tcW w:w="2367" w:type="dxa"/>
            <w:tcBorders>
              <w:tl2br w:val="nil"/>
              <w:tr2bl w:val="nil"/>
            </w:tcBorders>
            <w:noWrap w:val="0"/>
            <w:tcMar>
              <w:top w:w="15" w:type="dxa"/>
              <w:left w:w="15" w:type="dxa"/>
              <w:right w:w="15" w:type="dxa"/>
            </w:tcMar>
            <w:vAlign w:val="center"/>
          </w:tcPr>
          <w:p w14:paraId="3D74AA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硫酸雾0.092、氨0.531、锡及其化合物0.251</w:t>
            </w:r>
          </w:p>
        </w:tc>
        <w:tc>
          <w:tcPr>
            <w:tcW w:w="1170" w:type="dxa"/>
            <w:tcBorders>
              <w:tl2br w:val="nil"/>
              <w:tr2bl w:val="nil"/>
            </w:tcBorders>
            <w:noWrap/>
            <w:tcMar>
              <w:top w:w="15" w:type="dxa"/>
              <w:left w:w="15" w:type="dxa"/>
              <w:right w:w="15" w:type="dxa"/>
            </w:tcMar>
            <w:vAlign w:val="center"/>
          </w:tcPr>
          <w:p w14:paraId="597B45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42560.691</w:t>
            </w:r>
          </w:p>
        </w:tc>
        <w:tc>
          <w:tcPr>
            <w:tcW w:w="1061" w:type="dxa"/>
            <w:tcBorders>
              <w:tl2br w:val="nil"/>
              <w:tr2bl w:val="nil"/>
            </w:tcBorders>
            <w:noWrap/>
            <w:tcMar>
              <w:top w:w="15" w:type="dxa"/>
              <w:left w:w="15" w:type="dxa"/>
              <w:right w:w="15" w:type="dxa"/>
            </w:tcMar>
            <w:vAlign w:val="center"/>
          </w:tcPr>
          <w:p w14:paraId="452AC0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2.128</w:t>
            </w:r>
          </w:p>
        </w:tc>
        <w:tc>
          <w:tcPr>
            <w:tcW w:w="953" w:type="dxa"/>
            <w:tcBorders>
              <w:tl2br w:val="nil"/>
              <w:tr2bl w:val="nil"/>
            </w:tcBorders>
            <w:noWrap/>
            <w:tcMar>
              <w:top w:w="15" w:type="dxa"/>
              <w:left w:w="15" w:type="dxa"/>
              <w:right w:w="15" w:type="dxa"/>
            </w:tcMar>
            <w:vAlign w:val="center"/>
          </w:tcPr>
          <w:p w14:paraId="2B755D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0.213</w:t>
            </w:r>
          </w:p>
        </w:tc>
        <w:tc>
          <w:tcPr>
            <w:tcW w:w="1861" w:type="dxa"/>
            <w:tcBorders>
              <w:tl2br w:val="nil"/>
              <w:tr2bl w:val="nil"/>
            </w:tcBorders>
            <w:noWrap/>
            <w:tcMar>
              <w:top w:w="15" w:type="dxa"/>
              <w:left w:w="15" w:type="dxa"/>
              <w:right w:w="15" w:type="dxa"/>
            </w:tcMar>
            <w:vAlign w:val="center"/>
          </w:tcPr>
          <w:p w14:paraId="5E5A5E1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铜3.554</w:t>
            </w:r>
          </w:p>
        </w:tc>
      </w:tr>
      <w:tr w14:paraId="1587A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9CE7D1A">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72</w:t>
            </w:r>
          </w:p>
        </w:tc>
        <w:tc>
          <w:tcPr>
            <w:tcW w:w="1526" w:type="dxa"/>
            <w:tcBorders>
              <w:tl2br w:val="nil"/>
              <w:tr2bl w:val="nil"/>
            </w:tcBorders>
            <w:noWrap w:val="0"/>
            <w:tcMar>
              <w:top w:w="15" w:type="dxa"/>
              <w:left w:w="15" w:type="dxa"/>
              <w:right w:w="15" w:type="dxa"/>
            </w:tcMar>
            <w:vAlign w:val="center"/>
          </w:tcPr>
          <w:p w14:paraId="279DEB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湖南迈奥新材料科技有限公司</w:t>
            </w:r>
          </w:p>
        </w:tc>
        <w:tc>
          <w:tcPr>
            <w:tcW w:w="608" w:type="dxa"/>
            <w:tcBorders>
              <w:tl2br w:val="nil"/>
              <w:tr2bl w:val="nil"/>
            </w:tcBorders>
            <w:noWrap w:val="0"/>
            <w:tcMar>
              <w:top w:w="15" w:type="dxa"/>
              <w:left w:w="15" w:type="dxa"/>
              <w:right w:w="15" w:type="dxa"/>
            </w:tcMar>
            <w:vAlign w:val="center"/>
          </w:tcPr>
          <w:p w14:paraId="7BB8BB9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3000</w:t>
            </w:r>
          </w:p>
        </w:tc>
        <w:tc>
          <w:tcPr>
            <w:tcW w:w="750" w:type="dxa"/>
            <w:tcBorders>
              <w:tl2br w:val="nil"/>
              <w:tr2bl w:val="nil"/>
            </w:tcBorders>
            <w:noWrap/>
            <w:tcMar>
              <w:top w:w="15" w:type="dxa"/>
              <w:left w:w="15" w:type="dxa"/>
              <w:right w:w="15" w:type="dxa"/>
            </w:tcMar>
            <w:vAlign w:val="center"/>
          </w:tcPr>
          <w:p w14:paraId="634920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2.885</w:t>
            </w:r>
          </w:p>
        </w:tc>
        <w:tc>
          <w:tcPr>
            <w:tcW w:w="990" w:type="dxa"/>
            <w:tcBorders>
              <w:tl2br w:val="nil"/>
              <w:tr2bl w:val="nil"/>
            </w:tcBorders>
            <w:noWrap/>
            <w:tcMar>
              <w:top w:w="15" w:type="dxa"/>
              <w:left w:w="15" w:type="dxa"/>
              <w:right w:w="15" w:type="dxa"/>
            </w:tcMar>
            <w:vAlign w:val="center"/>
          </w:tcPr>
          <w:p w14:paraId="5B3690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0C4FC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7C0008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1.112</w:t>
            </w:r>
          </w:p>
        </w:tc>
        <w:tc>
          <w:tcPr>
            <w:tcW w:w="2367" w:type="dxa"/>
            <w:tcBorders>
              <w:tl2br w:val="nil"/>
              <w:tr2bl w:val="nil"/>
            </w:tcBorders>
            <w:noWrap/>
            <w:tcMar>
              <w:top w:w="15" w:type="dxa"/>
              <w:left w:w="15" w:type="dxa"/>
              <w:right w:w="15" w:type="dxa"/>
            </w:tcMar>
            <w:vAlign w:val="center"/>
          </w:tcPr>
          <w:p w14:paraId="1E924D5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526B43E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1044</w:t>
            </w:r>
          </w:p>
        </w:tc>
        <w:tc>
          <w:tcPr>
            <w:tcW w:w="1061" w:type="dxa"/>
            <w:tcBorders>
              <w:tl2br w:val="nil"/>
              <w:tr2bl w:val="nil"/>
            </w:tcBorders>
            <w:noWrap/>
            <w:tcMar>
              <w:top w:w="15" w:type="dxa"/>
              <w:left w:w="15" w:type="dxa"/>
              <w:right w:w="15" w:type="dxa"/>
            </w:tcMar>
            <w:vAlign w:val="center"/>
          </w:tcPr>
          <w:p w14:paraId="69F010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0.052</w:t>
            </w:r>
          </w:p>
        </w:tc>
        <w:tc>
          <w:tcPr>
            <w:tcW w:w="953" w:type="dxa"/>
            <w:tcBorders>
              <w:tl2br w:val="nil"/>
              <w:tr2bl w:val="nil"/>
            </w:tcBorders>
            <w:noWrap/>
            <w:tcMar>
              <w:top w:w="15" w:type="dxa"/>
              <w:left w:w="15" w:type="dxa"/>
              <w:right w:w="15" w:type="dxa"/>
            </w:tcMar>
            <w:vAlign w:val="center"/>
          </w:tcPr>
          <w:p w14:paraId="254F5FB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w:t>
            </w:r>
          </w:p>
        </w:tc>
        <w:tc>
          <w:tcPr>
            <w:tcW w:w="1861" w:type="dxa"/>
            <w:tcBorders>
              <w:tl2br w:val="nil"/>
              <w:tr2bl w:val="nil"/>
            </w:tcBorders>
            <w:noWrap/>
            <w:tcMar>
              <w:top w:w="15" w:type="dxa"/>
              <w:left w:w="15" w:type="dxa"/>
              <w:right w:w="15" w:type="dxa"/>
            </w:tcMar>
            <w:vAlign w:val="center"/>
          </w:tcPr>
          <w:p w14:paraId="67F49C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4DD3C8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CDD1E3D">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73</w:t>
            </w:r>
          </w:p>
        </w:tc>
        <w:tc>
          <w:tcPr>
            <w:tcW w:w="1526" w:type="dxa"/>
            <w:tcBorders>
              <w:tl2br w:val="nil"/>
              <w:tr2bl w:val="nil"/>
            </w:tcBorders>
            <w:noWrap w:val="0"/>
            <w:tcMar>
              <w:top w:w="15" w:type="dxa"/>
              <w:left w:w="15" w:type="dxa"/>
              <w:right w:w="15" w:type="dxa"/>
            </w:tcMar>
            <w:vAlign w:val="center"/>
          </w:tcPr>
          <w:p w14:paraId="26BCC6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汨罗市创佳装饰材料有限公司</w:t>
            </w:r>
          </w:p>
        </w:tc>
        <w:tc>
          <w:tcPr>
            <w:tcW w:w="608" w:type="dxa"/>
            <w:tcBorders>
              <w:tl2br w:val="nil"/>
              <w:tr2bl w:val="nil"/>
            </w:tcBorders>
            <w:noWrap w:val="0"/>
            <w:tcMar>
              <w:top w:w="15" w:type="dxa"/>
              <w:left w:w="15" w:type="dxa"/>
              <w:right w:w="15" w:type="dxa"/>
            </w:tcMar>
            <w:vAlign w:val="center"/>
          </w:tcPr>
          <w:p w14:paraId="19BD69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6000</w:t>
            </w:r>
          </w:p>
        </w:tc>
        <w:tc>
          <w:tcPr>
            <w:tcW w:w="750" w:type="dxa"/>
            <w:tcBorders>
              <w:tl2br w:val="nil"/>
              <w:tr2bl w:val="nil"/>
            </w:tcBorders>
            <w:noWrap/>
            <w:tcMar>
              <w:top w:w="15" w:type="dxa"/>
              <w:left w:w="15" w:type="dxa"/>
              <w:right w:w="15" w:type="dxa"/>
            </w:tcMar>
            <w:vAlign w:val="center"/>
          </w:tcPr>
          <w:p w14:paraId="1F0E1E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0.619</w:t>
            </w:r>
          </w:p>
        </w:tc>
        <w:tc>
          <w:tcPr>
            <w:tcW w:w="990" w:type="dxa"/>
            <w:tcBorders>
              <w:tl2br w:val="nil"/>
              <w:tr2bl w:val="nil"/>
            </w:tcBorders>
            <w:noWrap/>
            <w:tcMar>
              <w:top w:w="15" w:type="dxa"/>
              <w:left w:w="15" w:type="dxa"/>
              <w:right w:w="15" w:type="dxa"/>
            </w:tcMar>
            <w:vAlign w:val="center"/>
          </w:tcPr>
          <w:p w14:paraId="18EC85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D9CD8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277E4E4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0.814</w:t>
            </w:r>
          </w:p>
        </w:tc>
        <w:tc>
          <w:tcPr>
            <w:tcW w:w="2367" w:type="dxa"/>
            <w:tcBorders>
              <w:tl2br w:val="nil"/>
              <w:tr2bl w:val="nil"/>
            </w:tcBorders>
            <w:noWrap w:val="0"/>
            <w:tcMar>
              <w:top w:w="15" w:type="dxa"/>
              <w:left w:w="15" w:type="dxa"/>
              <w:right w:w="15" w:type="dxa"/>
            </w:tcMar>
            <w:vAlign w:val="center"/>
          </w:tcPr>
          <w:p w14:paraId="4A4A78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氯化氢0.011</w:t>
            </w:r>
          </w:p>
        </w:tc>
        <w:tc>
          <w:tcPr>
            <w:tcW w:w="1170" w:type="dxa"/>
            <w:tcBorders>
              <w:tl2br w:val="nil"/>
              <w:tr2bl w:val="nil"/>
            </w:tcBorders>
            <w:noWrap/>
            <w:tcMar>
              <w:top w:w="15" w:type="dxa"/>
              <w:left w:w="15" w:type="dxa"/>
              <w:right w:w="15" w:type="dxa"/>
            </w:tcMar>
            <w:vAlign w:val="center"/>
          </w:tcPr>
          <w:p w14:paraId="6AF36B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1392</w:t>
            </w:r>
          </w:p>
        </w:tc>
        <w:tc>
          <w:tcPr>
            <w:tcW w:w="1061" w:type="dxa"/>
            <w:tcBorders>
              <w:tl2br w:val="nil"/>
              <w:tr2bl w:val="nil"/>
            </w:tcBorders>
            <w:noWrap/>
            <w:tcMar>
              <w:top w:w="15" w:type="dxa"/>
              <w:left w:w="15" w:type="dxa"/>
              <w:right w:w="15" w:type="dxa"/>
            </w:tcMar>
            <w:vAlign w:val="center"/>
          </w:tcPr>
          <w:p w14:paraId="541192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0.06984</w:t>
            </w:r>
          </w:p>
        </w:tc>
        <w:tc>
          <w:tcPr>
            <w:tcW w:w="953" w:type="dxa"/>
            <w:tcBorders>
              <w:tl2br w:val="nil"/>
              <w:tr2bl w:val="nil"/>
            </w:tcBorders>
            <w:noWrap/>
            <w:tcMar>
              <w:top w:w="15" w:type="dxa"/>
              <w:left w:w="15" w:type="dxa"/>
              <w:right w:w="15" w:type="dxa"/>
            </w:tcMar>
            <w:vAlign w:val="center"/>
          </w:tcPr>
          <w:p w14:paraId="34BF09D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0.006984</w:t>
            </w:r>
          </w:p>
        </w:tc>
        <w:tc>
          <w:tcPr>
            <w:tcW w:w="1861" w:type="dxa"/>
            <w:tcBorders>
              <w:tl2br w:val="nil"/>
              <w:tr2bl w:val="nil"/>
            </w:tcBorders>
            <w:noWrap/>
            <w:tcMar>
              <w:top w:w="15" w:type="dxa"/>
              <w:left w:w="15" w:type="dxa"/>
              <w:right w:w="15" w:type="dxa"/>
            </w:tcMar>
            <w:vAlign w:val="center"/>
          </w:tcPr>
          <w:p w14:paraId="321D84A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8F308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8505A36">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74</w:t>
            </w:r>
          </w:p>
        </w:tc>
        <w:tc>
          <w:tcPr>
            <w:tcW w:w="1526" w:type="dxa"/>
            <w:tcBorders>
              <w:tl2br w:val="nil"/>
              <w:tr2bl w:val="nil"/>
            </w:tcBorders>
            <w:noWrap w:val="0"/>
            <w:tcMar>
              <w:top w:w="15" w:type="dxa"/>
              <w:left w:w="15" w:type="dxa"/>
              <w:right w:w="15" w:type="dxa"/>
            </w:tcMar>
            <w:vAlign w:val="center"/>
          </w:tcPr>
          <w:p w14:paraId="7434D64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湖南朗利新材料有限公司</w:t>
            </w:r>
          </w:p>
        </w:tc>
        <w:tc>
          <w:tcPr>
            <w:tcW w:w="608" w:type="dxa"/>
            <w:tcBorders>
              <w:tl2br w:val="nil"/>
              <w:tr2bl w:val="nil"/>
            </w:tcBorders>
            <w:noWrap w:val="0"/>
            <w:tcMar>
              <w:top w:w="15" w:type="dxa"/>
              <w:left w:w="15" w:type="dxa"/>
              <w:right w:w="15" w:type="dxa"/>
            </w:tcMar>
            <w:vAlign w:val="center"/>
          </w:tcPr>
          <w:p w14:paraId="0777CCC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4104</w:t>
            </w:r>
          </w:p>
        </w:tc>
        <w:tc>
          <w:tcPr>
            <w:tcW w:w="750" w:type="dxa"/>
            <w:tcBorders>
              <w:tl2br w:val="nil"/>
              <w:tr2bl w:val="nil"/>
            </w:tcBorders>
            <w:noWrap/>
            <w:tcMar>
              <w:top w:w="15" w:type="dxa"/>
              <w:left w:w="15" w:type="dxa"/>
              <w:right w:w="15" w:type="dxa"/>
            </w:tcMar>
            <w:vAlign w:val="center"/>
          </w:tcPr>
          <w:p w14:paraId="564AA7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90" w:type="dxa"/>
            <w:tcBorders>
              <w:tl2br w:val="nil"/>
              <w:tr2bl w:val="nil"/>
            </w:tcBorders>
            <w:noWrap/>
            <w:tcMar>
              <w:top w:w="15" w:type="dxa"/>
              <w:left w:w="15" w:type="dxa"/>
              <w:right w:w="15" w:type="dxa"/>
            </w:tcMar>
            <w:vAlign w:val="center"/>
          </w:tcPr>
          <w:p w14:paraId="7220DD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62F8A5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66DFDEF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1.463</w:t>
            </w:r>
          </w:p>
        </w:tc>
        <w:tc>
          <w:tcPr>
            <w:tcW w:w="2367" w:type="dxa"/>
            <w:tcBorders>
              <w:tl2br w:val="nil"/>
              <w:tr2bl w:val="nil"/>
            </w:tcBorders>
            <w:noWrap/>
            <w:tcMar>
              <w:top w:w="15" w:type="dxa"/>
              <w:left w:w="15" w:type="dxa"/>
              <w:right w:w="15" w:type="dxa"/>
            </w:tcMar>
            <w:vAlign w:val="center"/>
          </w:tcPr>
          <w:p w14:paraId="5CF5CD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32E4C3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1740</w:t>
            </w:r>
          </w:p>
        </w:tc>
        <w:tc>
          <w:tcPr>
            <w:tcW w:w="1061" w:type="dxa"/>
            <w:tcBorders>
              <w:tl2br w:val="nil"/>
              <w:tr2bl w:val="nil"/>
            </w:tcBorders>
            <w:noWrap/>
            <w:tcMar>
              <w:top w:w="15" w:type="dxa"/>
              <w:left w:w="15" w:type="dxa"/>
              <w:right w:w="15" w:type="dxa"/>
            </w:tcMar>
            <w:vAlign w:val="center"/>
          </w:tcPr>
          <w:p w14:paraId="40BA69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0.087</w:t>
            </w:r>
          </w:p>
        </w:tc>
        <w:tc>
          <w:tcPr>
            <w:tcW w:w="953" w:type="dxa"/>
            <w:tcBorders>
              <w:tl2br w:val="nil"/>
              <w:tr2bl w:val="nil"/>
            </w:tcBorders>
            <w:noWrap/>
            <w:tcMar>
              <w:top w:w="15" w:type="dxa"/>
              <w:left w:w="15" w:type="dxa"/>
              <w:right w:w="15" w:type="dxa"/>
            </w:tcMar>
            <w:vAlign w:val="center"/>
          </w:tcPr>
          <w:p w14:paraId="13BA6B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0.139</w:t>
            </w:r>
          </w:p>
        </w:tc>
        <w:tc>
          <w:tcPr>
            <w:tcW w:w="1861" w:type="dxa"/>
            <w:tcBorders>
              <w:tl2br w:val="nil"/>
              <w:tr2bl w:val="nil"/>
            </w:tcBorders>
            <w:noWrap/>
            <w:tcMar>
              <w:top w:w="15" w:type="dxa"/>
              <w:left w:w="15" w:type="dxa"/>
              <w:right w:w="15" w:type="dxa"/>
            </w:tcMar>
            <w:vAlign w:val="center"/>
          </w:tcPr>
          <w:p w14:paraId="77C3EF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BACA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4AD2788">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75</w:t>
            </w:r>
          </w:p>
        </w:tc>
        <w:tc>
          <w:tcPr>
            <w:tcW w:w="1526" w:type="dxa"/>
            <w:tcBorders>
              <w:tl2br w:val="nil"/>
              <w:tr2bl w:val="nil"/>
            </w:tcBorders>
            <w:noWrap w:val="0"/>
            <w:tcMar>
              <w:top w:w="15" w:type="dxa"/>
              <w:left w:w="15" w:type="dxa"/>
              <w:right w:w="15" w:type="dxa"/>
            </w:tcMar>
            <w:vAlign w:val="center"/>
          </w:tcPr>
          <w:p w14:paraId="3E26B8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汨罗市旭光建材有限公司</w:t>
            </w:r>
            <w:r>
              <w:rPr>
                <w:rFonts w:hint="default" w:ascii="Times New Roman" w:hAnsi="Times New Roman" w:eastAsia="宋体" w:cs="Times New Roman"/>
                <w:i w:val="0"/>
                <w:snapToGrid w:val="0"/>
                <w:color w:val="auto"/>
                <w:kern w:val="0"/>
                <w:sz w:val="21"/>
                <w:szCs w:val="21"/>
                <w:u w:val="none"/>
                <w:vertAlign w:val="superscript"/>
                <w:lang w:val="en-US" w:eastAsia="zh-CN" w:bidi="ar"/>
              </w:rPr>
              <w:t>(</w:t>
            </w:r>
            <w:r>
              <w:rPr>
                <w:rFonts w:hint="default" w:ascii="Times New Roman" w:hAnsi="Times New Roman" w:eastAsia="宋体" w:cs="Times New Roman"/>
                <w:i w:val="0"/>
                <w:snapToGrid w:val="0"/>
                <w:color w:val="auto"/>
                <w:kern w:val="0"/>
                <w:sz w:val="21"/>
                <w:szCs w:val="21"/>
                <w:u w:val="none"/>
                <w:lang w:val="en-US" w:eastAsia="zh-CN" w:bidi="ar"/>
              </w:rPr>
              <w:t>原名：湖南炎阳新材料有限公司）</w:t>
            </w:r>
          </w:p>
        </w:tc>
        <w:tc>
          <w:tcPr>
            <w:tcW w:w="608" w:type="dxa"/>
            <w:tcBorders>
              <w:tl2br w:val="nil"/>
              <w:tr2bl w:val="nil"/>
            </w:tcBorders>
            <w:noWrap w:val="0"/>
            <w:tcMar>
              <w:top w:w="15" w:type="dxa"/>
              <w:left w:w="15" w:type="dxa"/>
              <w:right w:w="15" w:type="dxa"/>
            </w:tcMar>
            <w:vAlign w:val="center"/>
          </w:tcPr>
          <w:p w14:paraId="37566CA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21261</w:t>
            </w:r>
          </w:p>
        </w:tc>
        <w:tc>
          <w:tcPr>
            <w:tcW w:w="750" w:type="dxa"/>
            <w:tcBorders>
              <w:tl2br w:val="nil"/>
              <w:tr2bl w:val="nil"/>
            </w:tcBorders>
            <w:noWrap/>
            <w:tcMar>
              <w:top w:w="15" w:type="dxa"/>
              <w:left w:w="15" w:type="dxa"/>
              <w:right w:w="15" w:type="dxa"/>
            </w:tcMar>
            <w:vAlign w:val="center"/>
          </w:tcPr>
          <w:p w14:paraId="09BE2EF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4.943</w:t>
            </w:r>
          </w:p>
        </w:tc>
        <w:tc>
          <w:tcPr>
            <w:tcW w:w="990" w:type="dxa"/>
            <w:tcBorders>
              <w:tl2br w:val="nil"/>
              <w:tr2bl w:val="nil"/>
            </w:tcBorders>
            <w:noWrap/>
            <w:tcMar>
              <w:top w:w="15" w:type="dxa"/>
              <w:left w:w="15" w:type="dxa"/>
              <w:right w:w="15" w:type="dxa"/>
            </w:tcMar>
            <w:vAlign w:val="center"/>
          </w:tcPr>
          <w:p w14:paraId="5282A4A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5.23</w:t>
            </w:r>
          </w:p>
        </w:tc>
        <w:tc>
          <w:tcPr>
            <w:tcW w:w="901" w:type="dxa"/>
            <w:tcBorders>
              <w:tl2br w:val="nil"/>
              <w:tr2bl w:val="nil"/>
            </w:tcBorders>
            <w:noWrap/>
            <w:tcMar>
              <w:top w:w="15" w:type="dxa"/>
              <w:left w:w="15" w:type="dxa"/>
              <w:right w:w="15" w:type="dxa"/>
            </w:tcMar>
            <w:vAlign w:val="center"/>
          </w:tcPr>
          <w:p w14:paraId="792BDF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14.43</w:t>
            </w:r>
          </w:p>
        </w:tc>
        <w:tc>
          <w:tcPr>
            <w:tcW w:w="1250" w:type="dxa"/>
            <w:tcBorders>
              <w:tl2br w:val="nil"/>
              <w:tr2bl w:val="nil"/>
            </w:tcBorders>
            <w:noWrap/>
            <w:tcMar>
              <w:top w:w="15" w:type="dxa"/>
              <w:left w:w="15" w:type="dxa"/>
              <w:right w:w="15" w:type="dxa"/>
            </w:tcMar>
            <w:vAlign w:val="center"/>
          </w:tcPr>
          <w:p w14:paraId="38BD5C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2367" w:type="dxa"/>
            <w:tcBorders>
              <w:tl2br w:val="nil"/>
              <w:tr2bl w:val="nil"/>
            </w:tcBorders>
            <w:noWrap/>
            <w:tcMar>
              <w:top w:w="15" w:type="dxa"/>
              <w:left w:w="15" w:type="dxa"/>
              <w:right w:w="15" w:type="dxa"/>
            </w:tcMar>
            <w:vAlign w:val="center"/>
          </w:tcPr>
          <w:p w14:paraId="0AA76E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4C88C39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792</w:t>
            </w:r>
          </w:p>
        </w:tc>
        <w:tc>
          <w:tcPr>
            <w:tcW w:w="1061" w:type="dxa"/>
            <w:tcBorders>
              <w:tl2br w:val="nil"/>
              <w:tr2bl w:val="nil"/>
            </w:tcBorders>
            <w:noWrap/>
            <w:tcMar>
              <w:top w:w="15" w:type="dxa"/>
              <w:left w:w="15" w:type="dxa"/>
              <w:right w:w="15" w:type="dxa"/>
            </w:tcMar>
            <w:vAlign w:val="center"/>
          </w:tcPr>
          <w:p w14:paraId="08559D1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0.0396</w:t>
            </w:r>
          </w:p>
        </w:tc>
        <w:tc>
          <w:tcPr>
            <w:tcW w:w="953" w:type="dxa"/>
            <w:tcBorders>
              <w:tl2br w:val="nil"/>
              <w:tr2bl w:val="nil"/>
            </w:tcBorders>
            <w:noWrap/>
            <w:tcMar>
              <w:top w:w="15" w:type="dxa"/>
              <w:left w:w="15" w:type="dxa"/>
              <w:right w:w="15" w:type="dxa"/>
            </w:tcMar>
            <w:vAlign w:val="center"/>
          </w:tcPr>
          <w:p w14:paraId="43C9FDB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0.0063</w:t>
            </w:r>
          </w:p>
        </w:tc>
        <w:tc>
          <w:tcPr>
            <w:tcW w:w="1861" w:type="dxa"/>
            <w:tcBorders>
              <w:tl2br w:val="nil"/>
              <w:tr2bl w:val="nil"/>
            </w:tcBorders>
            <w:noWrap/>
            <w:tcMar>
              <w:top w:w="15" w:type="dxa"/>
              <w:left w:w="15" w:type="dxa"/>
              <w:right w:w="15" w:type="dxa"/>
            </w:tcMar>
            <w:vAlign w:val="center"/>
          </w:tcPr>
          <w:p w14:paraId="124F2F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86830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65D241E">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76</w:t>
            </w:r>
          </w:p>
        </w:tc>
        <w:tc>
          <w:tcPr>
            <w:tcW w:w="1526" w:type="dxa"/>
            <w:tcBorders>
              <w:tl2br w:val="nil"/>
              <w:tr2bl w:val="nil"/>
            </w:tcBorders>
            <w:noWrap w:val="0"/>
            <w:tcMar>
              <w:top w:w="15" w:type="dxa"/>
              <w:left w:w="15" w:type="dxa"/>
              <w:right w:w="15" w:type="dxa"/>
            </w:tcMar>
            <w:vAlign w:val="center"/>
          </w:tcPr>
          <w:p w14:paraId="1D2137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湖南尚马世星环保科技有限公司</w:t>
            </w:r>
          </w:p>
        </w:tc>
        <w:tc>
          <w:tcPr>
            <w:tcW w:w="608" w:type="dxa"/>
            <w:tcBorders>
              <w:tl2br w:val="nil"/>
              <w:tr2bl w:val="nil"/>
            </w:tcBorders>
            <w:noWrap w:val="0"/>
            <w:tcMar>
              <w:top w:w="15" w:type="dxa"/>
              <w:left w:w="15" w:type="dxa"/>
              <w:right w:w="15" w:type="dxa"/>
            </w:tcMar>
            <w:vAlign w:val="center"/>
          </w:tcPr>
          <w:p w14:paraId="3A5A6D0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4544</w:t>
            </w:r>
          </w:p>
        </w:tc>
        <w:tc>
          <w:tcPr>
            <w:tcW w:w="750" w:type="dxa"/>
            <w:tcBorders>
              <w:tl2br w:val="nil"/>
              <w:tr2bl w:val="nil"/>
            </w:tcBorders>
            <w:noWrap w:val="0"/>
            <w:tcMar>
              <w:top w:w="15" w:type="dxa"/>
              <w:left w:w="15" w:type="dxa"/>
              <w:right w:w="15" w:type="dxa"/>
            </w:tcMar>
            <w:vAlign w:val="center"/>
          </w:tcPr>
          <w:p w14:paraId="294D15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0.368</w:t>
            </w:r>
          </w:p>
        </w:tc>
        <w:tc>
          <w:tcPr>
            <w:tcW w:w="990" w:type="dxa"/>
            <w:tcBorders>
              <w:tl2br w:val="nil"/>
              <w:tr2bl w:val="nil"/>
            </w:tcBorders>
            <w:noWrap w:val="0"/>
            <w:tcMar>
              <w:top w:w="15" w:type="dxa"/>
              <w:left w:w="15" w:type="dxa"/>
              <w:right w:w="15" w:type="dxa"/>
            </w:tcMar>
            <w:vAlign w:val="center"/>
          </w:tcPr>
          <w:p w14:paraId="69AF1C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4896E09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4497D5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0.099</w:t>
            </w:r>
          </w:p>
        </w:tc>
        <w:tc>
          <w:tcPr>
            <w:tcW w:w="2367" w:type="dxa"/>
            <w:tcBorders>
              <w:tl2br w:val="nil"/>
              <w:tr2bl w:val="nil"/>
            </w:tcBorders>
            <w:noWrap w:val="0"/>
            <w:tcMar>
              <w:top w:w="15" w:type="dxa"/>
              <w:left w:w="15" w:type="dxa"/>
              <w:right w:w="15" w:type="dxa"/>
            </w:tcMar>
            <w:vAlign w:val="center"/>
          </w:tcPr>
          <w:p w14:paraId="2D9C65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甲苯0.0063、二甲苯0.0122</w:t>
            </w:r>
          </w:p>
        </w:tc>
        <w:tc>
          <w:tcPr>
            <w:tcW w:w="1170" w:type="dxa"/>
            <w:tcBorders>
              <w:tl2br w:val="nil"/>
              <w:tr2bl w:val="nil"/>
            </w:tcBorders>
            <w:noWrap w:val="0"/>
            <w:tcMar>
              <w:top w:w="15" w:type="dxa"/>
              <w:left w:w="15" w:type="dxa"/>
              <w:right w:w="15" w:type="dxa"/>
            </w:tcMar>
            <w:vAlign w:val="center"/>
          </w:tcPr>
          <w:p w14:paraId="4B8A8D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510.4</w:t>
            </w:r>
          </w:p>
        </w:tc>
        <w:tc>
          <w:tcPr>
            <w:tcW w:w="1061" w:type="dxa"/>
            <w:tcBorders>
              <w:tl2br w:val="nil"/>
              <w:tr2bl w:val="nil"/>
            </w:tcBorders>
            <w:noWrap w:val="0"/>
            <w:tcMar>
              <w:top w:w="15" w:type="dxa"/>
              <w:left w:w="15" w:type="dxa"/>
              <w:right w:w="15" w:type="dxa"/>
            </w:tcMar>
            <w:vAlign w:val="center"/>
          </w:tcPr>
          <w:p w14:paraId="782448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0.0255</w:t>
            </w:r>
          </w:p>
        </w:tc>
        <w:tc>
          <w:tcPr>
            <w:tcW w:w="953" w:type="dxa"/>
            <w:tcBorders>
              <w:tl2br w:val="nil"/>
              <w:tr2bl w:val="nil"/>
            </w:tcBorders>
            <w:noWrap w:val="0"/>
            <w:tcMar>
              <w:top w:w="15" w:type="dxa"/>
              <w:left w:w="15" w:type="dxa"/>
              <w:right w:w="15" w:type="dxa"/>
            </w:tcMar>
            <w:vAlign w:val="center"/>
          </w:tcPr>
          <w:p w14:paraId="6FE1D8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0.0041</w:t>
            </w:r>
          </w:p>
        </w:tc>
        <w:tc>
          <w:tcPr>
            <w:tcW w:w="1861" w:type="dxa"/>
            <w:tcBorders>
              <w:tl2br w:val="nil"/>
              <w:tr2bl w:val="nil"/>
            </w:tcBorders>
            <w:noWrap w:val="0"/>
            <w:tcMar>
              <w:top w:w="15" w:type="dxa"/>
              <w:left w:w="15" w:type="dxa"/>
              <w:right w:w="15" w:type="dxa"/>
            </w:tcMar>
            <w:vAlign w:val="center"/>
          </w:tcPr>
          <w:p w14:paraId="5B23D7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8B9AE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E470369">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77</w:t>
            </w:r>
          </w:p>
        </w:tc>
        <w:tc>
          <w:tcPr>
            <w:tcW w:w="1526" w:type="dxa"/>
            <w:tcBorders>
              <w:tl2br w:val="nil"/>
              <w:tr2bl w:val="nil"/>
            </w:tcBorders>
            <w:noWrap w:val="0"/>
            <w:tcMar>
              <w:top w:w="15" w:type="dxa"/>
              <w:left w:w="15" w:type="dxa"/>
              <w:right w:w="15" w:type="dxa"/>
            </w:tcMar>
            <w:vAlign w:val="center"/>
          </w:tcPr>
          <w:p w14:paraId="71D430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汨罗市新市镇湘缘饰材加工厂</w:t>
            </w:r>
          </w:p>
        </w:tc>
        <w:tc>
          <w:tcPr>
            <w:tcW w:w="608" w:type="dxa"/>
            <w:tcBorders>
              <w:tl2br w:val="nil"/>
              <w:tr2bl w:val="nil"/>
            </w:tcBorders>
            <w:noWrap w:val="0"/>
            <w:tcMar>
              <w:top w:w="15" w:type="dxa"/>
              <w:left w:w="15" w:type="dxa"/>
              <w:right w:w="15" w:type="dxa"/>
            </w:tcMar>
            <w:vAlign w:val="center"/>
          </w:tcPr>
          <w:p w14:paraId="3681685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3000</w:t>
            </w:r>
          </w:p>
        </w:tc>
        <w:tc>
          <w:tcPr>
            <w:tcW w:w="750" w:type="dxa"/>
            <w:tcBorders>
              <w:tl2br w:val="nil"/>
              <w:tr2bl w:val="nil"/>
            </w:tcBorders>
            <w:noWrap/>
            <w:tcMar>
              <w:top w:w="15" w:type="dxa"/>
              <w:left w:w="15" w:type="dxa"/>
              <w:right w:w="15" w:type="dxa"/>
            </w:tcMar>
            <w:vAlign w:val="center"/>
          </w:tcPr>
          <w:p w14:paraId="538128B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0.473</w:t>
            </w:r>
          </w:p>
        </w:tc>
        <w:tc>
          <w:tcPr>
            <w:tcW w:w="990" w:type="dxa"/>
            <w:tcBorders>
              <w:tl2br w:val="nil"/>
              <w:tr2bl w:val="nil"/>
            </w:tcBorders>
            <w:noWrap/>
            <w:tcMar>
              <w:top w:w="15" w:type="dxa"/>
              <w:left w:w="15" w:type="dxa"/>
              <w:right w:w="15" w:type="dxa"/>
            </w:tcMar>
            <w:vAlign w:val="center"/>
          </w:tcPr>
          <w:p w14:paraId="1FAFAA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32ACD9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7532FA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1.651</w:t>
            </w:r>
          </w:p>
        </w:tc>
        <w:tc>
          <w:tcPr>
            <w:tcW w:w="2367" w:type="dxa"/>
            <w:tcBorders>
              <w:tl2br w:val="nil"/>
              <w:tr2bl w:val="nil"/>
            </w:tcBorders>
            <w:noWrap w:val="0"/>
            <w:tcMar>
              <w:top w:w="15" w:type="dxa"/>
              <w:left w:w="15" w:type="dxa"/>
              <w:right w:w="15" w:type="dxa"/>
            </w:tcMar>
            <w:vAlign w:val="center"/>
          </w:tcPr>
          <w:p w14:paraId="5867BD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氯化氢:0.114</w:t>
            </w:r>
          </w:p>
        </w:tc>
        <w:tc>
          <w:tcPr>
            <w:tcW w:w="1170" w:type="dxa"/>
            <w:tcBorders>
              <w:tl2br w:val="nil"/>
              <w:tr2bl w:val="nil"/>
            </w:tcBorders>
            <w:noWrap/>
            <w:tcMar>
              <w:top w:w="15" w:type="dxa"/>
              <w:left w:w="15" w:type="dxa"/>
              <w:right w:w="15" w:type="dxa"/>
            </w:tcMar>
            <w:vAlign w:val="center"/>
          </w:tcPr>
          <w:p w14:paraId="79792B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456</w:t>
            </w:r>
          </w:p>
        </w:tc>
        <w:tc>
          <w:tcPr>
            <w:tcW w:w="1061" w:type="dxa"/>
            <w:tcBorders>
              <w:tl2br w:val="nil"/>
              <w:tr2bl w:val="nil"/>
            </w:tcBorders>
            <w:noWrap/>
            <w:tcMar>
              <w:top w:w="15" w:type="dxa"/>
              <w:left w:w="15" w:type="dxa"/>
              <w:right w:w="15" w:type="dxa"/>
            </w:tcMar>
            <w:vAlign w:val="center"/>
          </w:tcPr>
          <w:p w14:paraId="2CABAE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0.0228</w:t>
            </w:r>
          </w:p>
        </w:tc>
        <w:tc>
          <w:tcPr>
            <w:tcW w:w="953" w:type="dxa"/>
            <w:tcBorders>
              <w:tl2br w:val="nil"/>
              <w:tr2bl w:val="nil"/>
            </w:tcBorders>
            <w:noWrap/>
            <w:tcMar>
              <w:top w:w="15" w:type="dxa"/>
              <w:left w:w="15" w:type="dxa"/>
              <w:right w:w="15" w:type="dxa"/>
            </w:tcMar>
            <w:vAlign w:val="center"/>
          </w:tcPr>
          <w:p w14:paraId="0C38556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0.0036</w:t>
            </w:r>
          </w:p>
        </w:tc>
        <w:tc>
          <w:tcPr>
            <w:tcW w:w="1861" w:type="dxa"/>
            <w:tcBorders>
              <w:tl2br w:val="nil"/>
              <w:tr2bl w:val="nil"/>
            </w:tcBorders>
            <w:noWrap/>
            <w:tcMar>
              <w:top w:w="15" w:type="dxa"/>
              <w:left w:w="15" w:type="dxa"/>
              <w:right w:w="15" w:type="dxa"/>
            </w:tcMar>
            <w:vAlign w:val="center"/>
          </w:tcPr>
          <w:p w14:paraId="1E7175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75AC9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EDCE5BF">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78</w:t>
            </w:r>
          </w:p>
        </w:tc>
        <w:tc>
          <w:tcPr>
            <w:tcW w:w="1526" w:type="dxa"/>
            <w:tcBorders>
              <w:tl2br w:val="nil"/>
              <w:tr2bl w:val="nil"/>
            </w:tcBorders>
            <w:noWrap w:val="0"/>
            <w:tcMar>
              <w:top w:w="15" w:type="dxa"/>
              <w:left w:w="15" w:type="dxa"/>
              <w:right w:w="15" w:type="dxa"/>
            </w:tcMar>
            <w:vAlign w:val="center"/>
          </w:tcPr>
          <w:p w14:paraId="31C861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湖南汨特科技新材料股份有限公司</w:t>
            </w:r>
          </w:p>
        </w:tc>
        <w:tc>
          <w:tcPr>
            <w:tcW w:w="608" w:type="dxa"/>
            <w:tcBorders>
              <w:tl2br w:val="nil"/>
              <w:tr2bl w:val="nil"/>
            </w:tcBorders>
            <w:noWrap w:val="0"/>
            <w:tcMar>
              <w:top w:w="15" w:type="dxa"/>
              <w:left w:w="15" w:type="dxa"/>
              <w:right w:w="15" w:type="dxa"/>
            </w:tcMar>
            <w:vAlign w:val="center"/>
          </w:tcPr>
          <w:p w14:paraId="2AB716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53328</w:t>
            </w:r>
          </w:p>
        </w:tc>
        <w:tc>
          <w:tcPr>
            <w:tcW w:w="750" w:type="dxa"/>
            <w:tcBorders>
              <w:tl2br w:val="nil"/>
              <w:tr2bl w:val="nil"/>
            </w:tcBorders>
            <w:noWrap/>
            <w:tcMar>
              <w:top w:w="15" w:type="dxa"/>
              <w:left w:w="15" w:type="dxa"/>
              <w:right w:w="15" w:type="dxa"/>
            </w:tcMar>
            <w:vAlign w:val="center"/>
          </w:tcPr>
          <w:p w14:paraId="34B4EE3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0.1635</w:t>
            </w:r>
          </w:p>
        </w:tc>
        <w:tc>
          <w:tcPr>
            <w:tcW w:w="990" w:type="dxa"/>
            <w:tcBorders>
              <w:tl2br w:val="nil"/>
              <w:tr2bl w:val="nil"/>
            </w:tcBorders>
            <w:noWrap/>
            <w:tcMar>
              <w:top w:w="15" w:type="dxa"/>
              <w:left w:w="15" w:type="dxa"/>
              <w:right w:w="15" w:type="dxa"/>
            </w:tcMar>
            <w:vAlign w:val="center"/>
          </w:tcPr>
          <w:p w14:paraId="63D21C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08FB29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5B97FA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rPr>
            </w:pPr>
          </w:p>
        </w:tc>
        <w:tc>
          <w:tcPr>
            <w:tcW w:w="2367" w:type="dxa"/>
            <w:tcBorders>
              <w:tl2br w:val="nil"/>
              <w:tr2bl w:val="nil"/>
            </w:tcBorders>
            <w:noWrap/>
            <w:tcMar>
              <w:top w:w="15" w:type="dxa"/>
              <w:left w:w="15" w:type="dxa"/>
              <w:right w:w="15" w:type="dxa"/>
            </w:tcMar>
            <w:vAlign w:val="center"/>
          </w:tcPr>
          <w:p w14:paraId="4E05E2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6FA5A2D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2250</w:t>
            </w:r>
          </w:p>
        </w:tc>
        <w:tc>
          <w:tcPr>
            <w:tcW w:w="1061" w:type="dxa"/>
            <w:tcBorders>
              <w:tl2br w:val="nil"/>
              <w:tr2bl w:val="nil"/>
            </w:tcBorders>
            <w:noWrap/>
            <w:tcMar>
              <w:top w:w="15" w:type="dxa"/>
              <w:left w:w="15" w:type="dxa"/>
              <w:right w:w="15" w:type="dxa"/>
            </w:tcMar>
            <w:vAlign w:val="center"/>
          </w:tcPr>
          <w:p w14:paraId="2D3F148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0.1125</w:t>
            </w:r>
          </w:p>
        </w:tc>
        <w:tc>
          <w:tcPr>
            <w:tcW w:w="953" w:type="dxa"/>
            <w:tcBorders>
              <w:tl2br w:val="nil"/>
              <w:tr2bl w:val="nil"/>
            </w:tcBorders>
            <w:noWrap/>
            <w:tcMar>
              <w:top w:w="15" w:type="dxa"/>
              <w:left w:w="15" w:type="dxa"/>
              <w:right w:w="15" w:type="dxa"/>
            </w:tcMar>
            <w:vAlign w:val="center"/>
          </w:tcPr>
          <w:p w14:paraId="013ECB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0.018</w:t>
            </w:r>
          </w:p>
        </w:tc>
        <w:tc>
          <w:tcPr>
            <w:tcW w:w="1861" w:type="dxa"/>
            <w:tcBorders>
              <w:tl2br w:val="nil"/>
              <w:tr2bl w:val="nil"/>
            </w:tcBorders>
            <w:noWrap/>
            <w:tcMar>
              <w:top w:w="15" w:type="dxa"/>
              <w:left w:w="15" w:type="dxa"/>
              <w:right w:w="15" w:type="dxa"/>
            </w:tcMar>
            <w:vAlign w:val="center"/>
          </w:tcPr>
          <w:p w14:paraId="287B620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27FEB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75DE734">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79</w:t>
            </w:r>
          </w:p>
        </w:tc>
        <w:tc>
          <w:tcPr>
            <w:tcW w:w="1526" w:type="dxa"/>
            <w:tcBorders>
              <w:tl2br w:val="nil"/>
              <w:tr2bl w:val="nil"/>
            </w:tcBorders>
            <w:noWrap w:val="0"/>
            <w:tcMar>
              <w:top w:w="15" w:type="dxa"/>
              <w:left w:w="15" w:type="dxa"/>
              <w:right w:w="15" w:type="dxa"/>
            </w:tcMar>
            <w:vAlign w:val="center"/>
          </w:tcPr>
          <w:p w14:paraId="3C0680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汨罗市科易达电子有限公司</w:t>
            </w:r>
          </w:p>
        </w:tc>
        <w:tc>
          <w:tcPr>
            <w:tcW w:w="608" w:type="dxa"/>
            <w:tcBorders>
              <w:tl2br w:val="nil"/>
              <w:tr2bl w:val="nil"/>
            </w:tcBorders>
            <w:noWrap w:val="0"/>
            <w:tcMar>
              <w:top w:w="15" w:type="dxa"/>
              <w:left w:w="15" w:type="dxa"/>
              <w:right w:w="15" w:type="dxa"/>
            </w:tcMar>
            <w:vAlign w:val="center"/>
          </w:tcPr>
          <w:p w14:paraId="41DEEA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2000</w:t>
            </w:r>
          </w:p>
        </w:tc>
        <w:tc>
          <w:tcPr>
            <w:tcW w:w="750" w:type="dxa"/>
            <w:tcBorders>
              <w:tl2br w:val="nil"/>
              <w:tr2bl w:val="nil"/>
            </w:tcBorders>
            <w:noWrap/>
            <w:tcMar>
              <w:top w:w="15" w:type="dxa"/>
              <w:left w:w="15" w:type="dxa"/>
              <w:right w:w="15" w:type="dxa"/>
            </w:tcMar>
            <w:vAlign w:val="center"/>
          </w:tcPr>
          <w:p w14:paraId="7B8F08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90" w:type="dxa"/>
            <w:tcBorders>
              <w:tl2br w:val="nil"/>
              <w:tr2bl w:val="nil"/>
            </w:tcBorders>
            <w:noWrap/>
            <w:tcMar>
              <w:top w:w="15" w:type="dxa"/>
              <w:left w:w="15" w:type="dxa"/>
              <w:right w:w="15" w:type="dxa"/>
            </w:tcMar>
            <w:vAlign w:val="center"/>
          </w:tcPr>
          <w:p w14:paraId="4F9DD8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5F14C1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7181BDE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0.175</w:t>
            </w:r>
          </w:p>
        </w:tc>
        <w:tc>
          <w:tcPr>
            <w:tcW w:w="2367" w:type="dxa"/>
            <w:tcBorders>
              <w:tl2br w:val="nil"/>
              <w:tr2bl w:val="nil"/>
            </w:tcBorders>
            <w:noWrap w:val="0"/>
            <w:tcMar>
              <w:top w:w="15" w:type="dxa"/>
              <w:left w:w="15" w:type="dxa"/>
              <w:right w:w="15" w:type="dxa"/>
            </w:tcMar>
            <w:vAlign w:val="center"/>
          </w:tcPr>
          <w:p w14:paraId="6DD7BF1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硫酸雾0.0061、锡及其化合物0.003</w:t>
            </w:r>
          </w:p>
        </w:tc>
        <w:tc>
          <w:tcPr>
            <w:tcW w:w="1170" w:type="dxa"/>
            <w:tcBorders>
              <w:tl2br w:val="nil"/>
              <w:tr2bl w:val="nil"/>
            </w:tcBorders>
            <w:noWrap/>
            <w:tcMar>
              <w:top w:w="15" w:type="dxa"/>
              <w:left w:w="15" w:type="dxa"/>
              <w:right w:w="15" w:type="dxa"/>
            </w:tcMar>
            <w:vAlign w:val="center"/>
          </w:tcPr>
          <w:p w14:paraId="09F416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5470.72</w:t>
            </w:r>
          </w:p>
        </w:tc>
        <w:tc>
          <w:tcPr>
            <w:tcW w:w="1061" w:type="dxa"/>
            <w:tcBorders>
              <w:tl2br w:val="nil"/>
              <w:tr2bl w:val="nil"/>
            </w:tcBorders>
            <w:noWrap/>
            <w:tcMar>
              <w:top w:w="15" w:type="dxa"/>
              <w:left w:w="15" w:type="dxa"/>
              <w:right w:w="15" w:type="dxa"/>
            </w:tcMar>
            <w:vAlign w:val="center"/>
          </w:tcPr>
          <w:p w14:paraId="063C06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0.014</w:t>
            </w:r>
          </w:p>
        </w:tc>
        <w:tc>
          <w:tcPr>
            <w:tcW w:w="953" w:type="dxa"/>
            <w:tcBorders>
              <w:tl2br w:val="nil"/>
              <w:tr2bl w:val="nil"/>
            </w:tcBorders>
            <w:noWrap/>
            <w:tcMar>
              <w:top w:w="15" w:type="dxa"/>
              <w:left w:w="15" w:type="dxa"/>
              <w:right w:w="15" w:type="dxa"/>
            </w:tcMar>
            <w:vAlign w:val="center"/>
          </w:tcPr>
          <w:p w14:paraId="487101A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0.003</w:t>
            </w:r>
          </w:p>
        </w:tc>
        <w:tc>
          <w:tcPr>
            <w:tcW w:w="1861" w:type="dxa"/>
            <w:tcBorders>
              <w:tl2br w:val="nil"/>
              <w:tr2bl w:val="nil"/>
            </w:tcBorders>
            <w:noWrap/>
            <w:tcMar>
              <w:top w:w="15" w:type="dxa"/>
              <w:left w:w="15" w:type="dxa"/>
              <w:right w:w="15" w:type="dxa"/>
            </w:tcMar>
            <w:vAlign w:val="center"/>
          </w:tcPr>
          <w:p w14:paraId="6BCBA9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铜0.26</w:t>
            </w:r>
          </w:p>
        </w:tc>
      </w:tr>
      <w:tr w14:paraId="6736C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540BCBD">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80</w:t>
            </w:r>
          </w:p>
        </w:tc>
        <w:tc>
          <w:tcPr>
            <w:tcW w:w="1526" w:type="dxa"/>
            <w:tcBorders>
              <w:tl2br w:val="nil"/>
              <w:tr2bl w:val="nil"/>
            </w:tcBorders>
            <w:noWrap w:val="0"/>
            <w:tcMar>
              <w:top w:w="15" w:type="dxa"/>
              <w:left w:w="15" w:type="dxa"/>
              <w:right w:w="15" w:type="dxa"/>
            </w:tcMar>
            <w:vAlign w:val="center"/>
          </w:tcPr>
          <w:p w14:paraId="3212A53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湖南祥森科技有限公司</w:t>
            </w:r>
          </w:p>
        </w:tc>
        <w:tc>
          <w:tcPr>
            <w:tcW w:w="608" w:type="dxa"/>
            <w:tcBorders>
              <w:tl2br w:val="nil"/>
              <w:tr2bl w:val="nil"/>
            </w:tcBorders>
            <w:noWrap w:val="0"/>
            <w:tcMar>
              <w:top w:w="15" w:type="dxa"/>
              <w:left w:w="15" w:type="dxa"/>
              <w:right w:w="15" w:type="dxa"/>
            </w:tcMar>
            <w:vAlign w:val="center"/>
          </w:tcPr>
          <w:p w14:paraId="6B946F0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864</w:t>
            </w:r>
          </w:p>
        </w:tc>
        <w:tc>
          <w:tcPr>
            <w:tcW w:w="750" w:type="dxa"/>
            <w:tcBorders>
              <w:tl2br w:val="nil"/>
              <w:tr2bl w:val="nil"/>
            </w:tcBorders>
            <w:noWrap/>
            <w:tcMar>
              <w:top w:w="15" w:type="dxa"/>
              <w:left w:w="15" w:type="dxa"/>
              <w:right w:w="15" w:type="dxa"/>
            </w:tcMar>
            <w:vAlign w:val="center"/>
          </w:tcPr>
          <w:p w14:paraId="44246B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90" w:type="dxa"/>
            <w:tcBorders>
              <w:tl2br w:val="nil"/>
              <w:tr2bl w:val="nil"/>
            </w:tcBorders>
            <w:noWrap/>
            <w:tcMar>
              <w:top w:w="15" w:type="dxa"/>
              <w:left w:w="15" w:type="dxa"/>
              <w:right w:w="15" w:type="dxa"/>
            </w:tcMar>
            <w:vAlign w:val="center"/>
          </w:tcPr>
          <w:p w14:paraId="7ACD47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21E566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38EC33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0.0046</w:t>
            </w:r>
          </w:p>
        </w:tc>
        <w:tc>
          <w:tcPr>
            <w:tcW w:w="2367" w:type="dxa"/>
            <w:tcBorders>
              <w:tl2br w:val="nil"/>
              <w:tr2bl w:val="nil"/>
            </w:tcBorders>
            <w:noWrap w:val="0"/>
            <w:tcMar>
              <w:top w:w="15" w:type="dxa"/>
              <w:left w:w="15" w:type="dxa"/>
              <w:right w:w="15" w:type="dxa"/>
            </w:tcMar>
            <w:vAlign w:val="center"/>
          </w:tcPr>
          <w:p w14:paraId="5CD0BB6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硫酸雾0.0022</w:t>
            </w:r>
          </w:p>
        </w:tc>
        <w:tc>
          <w:tcPr>
            <w:tcW w:w="1170" w:type="dxa"/>
            <w:tcBorders>
              <w:tl2br w:val="nil"/>
              <w:tr2bl w:val="nil"/>
            </w:tcBorders>
            <w:noWrap/>
            <w:tcMar>
              <w:top w:w="15" w:type="dxa"/>
              <w:left w:w="15" w:type="dxa"/>
              <w:right w:w="15" w:type="dxa"/>
            </w:tcMar>
            <w:vAlign w:val="center"/>
          </w:tcPr>
          <w:p w14:paraId="5F618EC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154.34</w:t>
            </w:r>
          </w:p>
        </w:tc>
        <w:tc>
          <w:tcPr>
            <w:tcW w:w="1061" w:type="dxa"/>
            <w:tcBorders>
              <w:tl2br w:val="nil"/>
              <w:tr2bl w:val="nil"/>
            </w:tcBorders>
            <w:noWrap/>
            <w:tcMar>
              <w:top w:w="15" w:type="dxa"/>
              <w:left w:w="15" w:type="dxa"/>
              <w:right w:w="15" w:type="dxa"/>
            </w:tcMar>
            <w:vAlign w:val="center"/>
          </w:tcPr>
          <w:p w14:paraId="5E1F6E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0.0077</w:t>
            </w:r>
          </w:p>
        </w:tc>
        <w:tc>
          <w:tcPr>
            <w:tcW w:w="953" w:type="dxa"/>
            <w:tcBorders>
              <w:tl2br w:val="nil"/>
              <w:tr2bl w:val="nil"/>
            </w:tcBorders>
            <w:noWrap/>
            <w:tcMar>
              <w:top w:w="15" w:type="dxa"/>
              <w:left w:w="15" w:type="dxa"/>
              <w:right w:w="15" w:type="dxa"/>
            </w:tcMar>
            <w:vAlign w:val="center"/>
          </w:tcPr>
          <w:p w14:paraId="0F9D120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0.0012</w:t>
            </w:r>
          </w:p>
        </w:tc>
        <w:tc>
          <w:tcPr>
            <w:tcW w:w="1861" w:type="dxa"/>
            <w:tcBorders>
              <w:tl2br w:val="nil"/>
              <w:tr2bl w:val="nil"/>
            </w:tcBorders>
            <w:noWrap/>
            <w:tcMar>
              <w:top w:w="15" w:type="dxa"/>
              <w:left w:w="15" w:type="dxa"/>
              <w:right w:w="15" w:type="dxa"/>
            </w:tcMar>
            <w:vAlign w:val="center"/>
          </w:tcPr>
          <w:p w14:paraId="47B31F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铜0.001587</w:t>
            </w:r>
          </w:p>
        </w:tc>
      </w:tr>
      <w:tr w14:paraId="2C19A0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19C4D03">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81</w:t>
            </w:r>
          </w:p>
        </w:tc>
        <w:tc>
          <w:tcPr>
            <w:tcW w:w="1526" w:type="dxa"/>
            <w:tcBorders>
              <w:tl2br w:val="nil"/>
              <w:tr2bl w:val="nil"/>
            </w:tcBorders>
            <w:noWrap w:val="0"/>
            <w:tcMar>
              <w:top w:w="15" w:type="dxa"/>
              <w:left w:w="15" w:type="dxa"/>
              <w:right w:w="15" w:type="dxa"/>
            </w:tcMar>
            <w:vAlign w:val="center"/>
          </w:tcPr>
          <w:p w14:paraId="45D1476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汨罗市欧邦机械厂</w:t>
            </w:r>
          </w:p>
        </w:tc>
        <w:tc>
          <w:tcPr>
            <w:tcW w:w="608" w:type="dxa"/>
            <w:tcBorders>
              <w:tl2br w:val="nil"/>
              <w:tr2bl w:val="nil"/>
            </w:tcBorders>
            <w:noWrap w:val="0"/>
            <w:tcMar>
              <w:top w:w="15" w:type="dxa"/>
              <w:left w:w="15" w:type="dxa"/>
              <w:right w:w="15" w:type="dxa"/>
            </w:tcMar>
            <w:vAlign w:val="center"/>
          </w:tcPr>
          <w:p w14:paraId="20A8772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3083</w:t>
            </w:r>
          </w:p>
        </w:tc>
        <w:tc>
          <w:tcPr>
            <w:tcW w:w="750" w:type="dxa"/>
            <w:tcBorders>
              <w:tl2br w:val="nil"/>
              <w:tr2bl w:val="nil"/>
            </w:tcBorders>
            <w:noWrap/>
            <w:tcMar>
              <w:top w:w="15" w:type="dxa"/>
              <w:left w:w="15" w:type="dxa"/>
              <w:right w:w="15" w:type="dxa"/>
            </w:tcMar>
            <w:vAlign w:val="center"/>
          </w:tcPr>
          <w:p w14:paraId="76EB93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0.059</w:t>
            </w:r>
          </w:p>
        </w:tc>
        <w:tc>
          <w:tcPr>
            <w:tcW w:w="990" w:type="dxa"/>
            <w:tcBorders>
              <w:tl2br w:val="nil"/>
              <w:tr2bl w:val="nil"/>
            </w:tcBorders>
            <w:noWrap/>
            <w:tcMar>
              <w:top w:w="15" w:type="dxa"/>
              <w:left w:w="15" w:type="dxa"/>
              <w:right w:w="15" w:type="dxa"/>
            </w:tcMar>
            <w:vAlign w:val="center"/>
          </w:tcPr>
          <w:p w14:paraId="31DE79B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0.006</w:t>
            </w:r>
          </w:p>
        </w:tc>
        <w:tc>
          <w:tcPr>
            <w:tcW w:w="901" w:type="dxa"/>
            <w:tcBorders>
              <w:tl2br w:val="nil"/>
              <w:tr2bl w:val="nil"/>
            </w:tcBorders>
            <w:noWrap/>
            <w:tcMar>
              <w:top w:w="15" w:type="dxa"/>
              <w:left w:w="15" w:type="dxa"/>
              <w:right w:w="15" w:type="dxa"/>
            </w:tcMar>
            <w:vAlign w:val="center"/>
          </w:tcPr>
          <w:p w14:paraId="7247881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0.002</w:t>
            </w:r>
          </w:p>
        </w:tc>
        <w:tc>
          <w:tcPr>
            <w:tcW w:w="1250" w:type="dxa"/>
            <w:tcBorders>
              <w:tl2br w:val="nil"/>
              <w:tr2bl w:val="nil"/>
            </w:tcBorders>
            <w:noWrap/>
            <w:tcMar>
              <w:top w:w="15" w:type="dxa"/>
              <w:left w:w="15" w:type="dxa"/>
              <w:right w:w="15" w:type="dxa"/>
            </w:tcMar>
            <w:vAlign w:val="center"/>
          </w:tcPr>
          <w:p w14:paraId="4622CE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0.393</w:t>
            </w:r>
          </w:p>
        </w:tc>
        <w:tc>
          <w:tcPr>
            <w:tcW w:w="2367" w:type="dxa"/>
            <w:tcBorders>
              <w:tl2br w:val="nil"/>
              <w:tr2bl w:val="nil"/>
            </w:tcBorders>
            <w:noWrap/>
            <w:tcMar>
              <w:top w:w="15" w:type="dxa"/>
              <w:left w:w="15" w:type="dxa"/>
              <w:right w:w="15" w:type="dxa"/>
            </w:tcMar>
            <w:vAlign w:val="center"/>
          </w:tcPr>
          <w:p w14:paraId="64FD26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tcMar>
              <w:top w:w="15" w:type="dxa"/>
              <w:left w:w="15" w:type="dxa"/>
              <w:right w:w="15" w:type="dxa"/>
            </w:tcMar>
            <w:vAlign w:val="center"/>
          </w:tcPr>
          <w:p w14:paraId="29EC77E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780</w:t>
            </w:r>
          </w:p>
        </w:tc>
        <w:tc>
          <w:tcPr>
            <w:tcW w:w="1061" w:type="dxa"/>
            <w:tcBorders>
              <w:tl2br w:val="nil"/>
              <w:tr2bl w:val="nil"/>
            </w:tcBorders>
            <w:noWrap/>
            <w:tcMar>
              <w:top w:w="15" w:type="dxa"/>
              <w:left w:w="15" w:type="dxa"/>
              <w:right w:w="15" w:type="dxa"/>
            </w:tcMar>
            <w:vAlign w:val="center"/>
          </w:tcPr>
          <w:p w14:paraId="6E6CEB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0.032</w:t>
            </w:r>
          </w:p>
        </w:tc>
        <w:tc>
          <w:tcPr>
            <w:tcW w:w="953" w:type="dxa"/>
            <w:tcBorders>
              <w:tl2br w:val="nil"/>
              <w:tr2bl w:val="nil"/>
            </w:tcBorders>
            <w:noWrap/>
            <w:tcMar>
              <w:top w:w="15" w:type="dxa"/>
              <w:left w:w="15" w:type="dxa"/>
              <w:right w:w="15" w:type="dxa"/>
            </w:tcMar>
            <w:vAlign w:val="center"/>
          </w:tcPr>
          <w:p w14:paraId="3DCDDC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0.003</w:t>
            </w:r>
          </w:p>
        </w:tc>
        <w:tc>
          <w:tcPr>
            <w:tcW w:w="1861" w:type="dxa"/>
            <w:tcBorders>
              <w:tl2br w:val="nil"/>
              <w:tr2bl w:val="nil"/>
            </w:tcBorders>
            <w:noWrap/>
            <w:tcMar>
              <w:top w:w="15" w:type="dxa"/>
              <w:left w:w="15" w:type="dxa"/>
              <w:right w:w="15" w:type="dxa"/>
            </w:tcMar>
            <w:vAlign w:val="center"/>
          </w:tcPr>
          <w:p w14:paraId="76E8E47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DB5C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22EC9DA">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82</w:t>
            </w:r>
          </w:p>
        </w:tc>
        <w:tc>
          <w:tcPr>
            <w:tcW w:w="1526" w:type="dxa"/>
            <w:tcBorders>
              <w:tl2br w:val="nil"/>
              <w:tr2bl w:val="nil"/>
            </w:tcBorders>
            <w:noWrap w:val="0"/>
            <w:tcMar>
              <w:top w:w="15" w:type="dxa"/>
              <w:left w:w="15" w:type="dxa"/>
              <w:right w:w="15" w:type="dxa"/>
            </w:tcMar>
            <w:vAlign w:val="center"/>
          </w:tcPr>
          <w:p w14:paraId="7BBF5E1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汨罗市正旺包装有限公司</w:t>
            </w:r>
          </w:p>
        </w:tc>
        <w:tc>
          <w:tcPr>
            <w:tcW w:w="608" w:type="dxa"/>
            <w:tcBorders>
              <w:tl2br w:val="nil"/>
              <w:tr2bl w:val="nil"/>
            </w:tcBorders>
            <w:noWrap w:val="0"/>
            <w:tcMar>
              <w:top w:w="15" w:type="dxa"/>
              <w:left w:w="15" w:type="dxa"/>
              <w:right w:w="15" w:type="dxa"/>
            </w:tcMar>
            <w:vAlign w:val="center"/>
          </w:tcPr>
          <w:p w14:paraId="1F1E964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2000</w:t>
            </w:r>
          </w:p>
        </w:tc>
        <w:tc>
          <w:tcPr>
            <w:tcW w:w="750" w:type="dxa"/>
            <w:tcBorders>
              <w:tl2br w:val="nil"/>
              <w:tr2bl w:val="nil"/>
            </w:tcBorders>
            <w:noWrap/>
            <w:tcMar>
              <w:top w:w="15" w:type="dxa"/>
              <w:left w:w="15" w:type="dxa"/>
              <w:right w:w="15" w:type="dxa"/>
            </w:tcMar>
            <w:vAlign w:val="center"/>
          </w:tcPr>
          <w:p w14:paraId="45C9BBF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0.02</w:t>
            </w:r>
          </w:p>
        </w:tc>
        <w:tc>
          <w:tcPr>
            <w:tcW w:w="990" w:type="dxa"/>
            <w:tcBorders>
              <w:tl2br w:val="nil"/>
              <w:tr2bl w:val="nil"/>
            </w:tcBorders>
            <w:noWrap/>
            <w:tcMar>
              <w:top w:w="15" w:type="dxa"/>
              <w:left w:w="15" w:type="dxa"/>
              <w:right w:w="15" w:type="dxa"/>
            </w:tcMar>
            <w:vAlign w:val="center"/>
          </w:tcPr>
          <w:p w14:paraId="3BCC396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tcMar>
              <w:top w:w="15" w:type="dxa"/>
              <w:left w:w="15" w:type="dxa"/>
              <w:right w:w="15" w:type="dxa"/>
            </w:tcMar>
            <w:vAlign w:val="center"/>
          </w:tcPr>
          <w:p w14:paraId="055959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tcMar>
              <w:top w:w="15" w:type="dxa"/>
              <w:left w:w="15" w:type="dxa"/>
              <w:right w:w="15" w:type="dxa"/>
            </w:tcMar>
            <w:vAlign w:val="center"/>
          </w:tcPr>
          <w:p w14:paraId="3D334F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0.00646</w:t>
            </w:r>
          </w:p>
        </w:tc>
        <w:tc>
          <w:tcPr>
            <w:tcW w:w="2367" w:type="dxa"/>
            <w:tcBorders>
              <w:tl2br w:val="nil"/>
              <w:tr2bl w:val="nil"/>
            </w:tcBorders>
            <w:noWrap/>
            <w:tcMar>
              <w:top w:w="15" w:type="dxa"/>
              <w:left w:w="15" w:type="dxa"/>
              <w:right w:w="15" w:type="dxa"/>
            </w:tcMar>
            <w:vAlign w:val="center"/>
          </w:tcPr>
          <w:p w14:paraId="1D3E07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1170" w:type="dxa"/>
            <w:tcBorders>
              <w:tl2br w:val="nil"/>
              <w:tr2bl w:val="nil"/>
            </w:tcBorders>
            <w:noWrap/>
            <w:tcMar>
              <w:top w:w="15" w:type="dxa"/>
              <w:left w:w="15" w:type="dxa"/>
              <w:right w:w="15" w:type="dxa"/>
            </w:tcMar>
            <w:vAlign w:val="center"/>
          </w:tcPr>
          <w:p w14:paraId="392C29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166.4</w:t>
            </w:r>
          </w:p>
        </w:tc>
        <w:tc>
          <w:tcPr>
            <w:tcW w:w="1061" w:type="dxa"/>
            <w:tcBorders>
              <w:tl2br w:val="nil"/>
              <w:tr2bl w:val="nil"/>
            </w:tcBorders>
            <w:noWrap/>
            <w:tcMar>
              <w:top w:w="15" w:type="dxa"/>
              <w:left w:w="15" w:type="dxa"/>
              <w:right w:w="15" w:type="dxa"/>
            </w:tcMar>
            <w:vAlign w:val="center"/>
          </w:tcPr>
          <w:p w14:paraId="3831D6D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0.05</w:t>
            </w:r>
          </w:p>
        </w:tc>
        <w:tc>
          <w:tcPr>
            <w:tcW w:w="953" w:type="dxa"/>
            <w:tcBorders>
              <w:tl2br w:val="nil"/>
              <w:tr2bl w:val="nil"/>
            </w:tcBorders>
            <w:noWrap/>
            <w:tcMar>
              <w:top w:w="15" w:type="dxa"/>
              <w:left w:w="15" w:type="dxa"/>
              <w:right w:w="15" w:type="dxa"/>
            </w:tcMar>
            <w:vAlign w:val="center"/>
          </w:tcPr>
          <w:p w14:paraId="655526B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0.005</w:t>
            </w:r>
          </w:p>
        </w:tc>
        <w:tc>
          <w:tcPr>
            <w:tcW w:w="1861" w:type="dxa"/>
            <w:tcBorders>
              <w:tl2br w:val="nil"/>
              <w:tr2bl w:val="nil"/>
            </w:tcBorders>
            <w:noWrap/>
            <w:tcMar>
              <w:top w:w="15" w:type="dxa"/>
              <w:left w:w="15" w:type="dxa"/>
              <w:right w:w="15" w:type="dxa"/>
            </w:tcMar>
            <w:vAlign w:val="center"/>
          </w:tcPr>
          <w:p w14:paraId="17BC74E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0BA25F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5B3E46A">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kern w:val="2"/>
                <w:sz w:val="21"/>
                <w:szCs w:val="21"/>
                <w:u w:val="none"/>
                <w:lang w:val="zh-CN" w:eastAsia="zh-CN" w:bidi="zh-CN"/>
              </w:rPr>
            </w:pPr>
            <w:r>
              <w:rPr>
                <w:rFonts w:hint="eastAsia" w:ascii="Times New Roman" w:hAnsi="Times New Roman" w:eastAsia="宋体" w:cs="Times New Roman"/>
                <w:color w:val="auto"/>
                <w:sz w:val="21"/>
                <w:szCs w:val="21"/>
                <w:u w:val="none" w:color="auto"/>
                <w:lang w:val="en-US" w:eastAsia="zh-CN"/>
              </w:rPr>
              <w:t>83</w:t>
            </w:r>
          </w:p>
        </w:tc>
        <w:tc>
          <w:tcPr>
            <w:tcW w:w="1526" w:type="dxa"/>
            <w:tcBorders>
              <w:tl2br w:val="nil"/>
              <w:tr2bl w:val="nil"/>
            </w:tcBorders>
            <w:noWrap w:val="0"/>
            <w:tcMar>
              <w:top w:w="15" w:type="dxa"/>
              <w:left w:w="15" w:type="dxa"/>
              <w:right w:w="15" w:type="dxa"/>
            </w:tcMar>
            <w:vAlign w:val="center"/>
          </w:tcPr>
          <w:p w14:paraId="3E81644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汨罗皓鑫科技有限公司</w:t>
            </w:r>
          </w:p>
        </w:tc>
        <w:tc>
          <w:tcPr>
            <w:tcW w:w="608" w:type="dxa"/>
            <w:tcBorders>
              <w:tl2br w:val="nil"/>
              <w:tr2bl w:val="nil"/>
            </w:tcBorders>
            <w:noWrap w:val="0"/>
            <w:tcMar>
              <w:top w:w="15" w:type="dxa"/>
              <w:left w:w="15" w:type="dxa"/>
              <w:right w:w="15" w:type="dxa"/>
            </w:tcMar>
            <w:vAlign w:val="center"/>
          </w:tcPr>
          <w:p w14:paraId="4FB151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28800</w:t>
            </w:r>
          </w:p>
        </w:tc>
        <w:tc>
          <w:tcPr>
            <w:tcW w:w="750" w:type="dxa"/>
            <w:tcBorders>
              <w:tl2br w:val="nil"/>
              <w:tr2bl w:val="nil"/>
            </w:tcBorders>
            <w:noWrap/>
            <w:tcMar>
              <w:top w:w="15" w:type="dxa"/>
              <w:left w:w="15" w:type="dxa"/>
              <w:right w:w="15" w:type="dxa"/>
            </w:tcMar>
            <w:vAlign w:val="center"/>
          </w:tcPr>
          <w:p w14:paraId="57516A7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3.564</w:t>
            </w:r>
          </w:p>
        </w:tc>
        <w:tc>
          <w:tcPr>
            <w:tcW w:w="990" w:type="dxa"/>
            <w:tcBorders>
              <w:tl2br w:val="nil"/>
              <w:tr2bl w:val="nil"/>
            </w:tcBorders>
            <w:noWrap/>
            <w:tcMar>
              <w:top w:w="15" w:type="dxa"/>
              <w:left w:w="15" w:type="dxa"/>
              <w:right w:w="15" w:type="dxa"/>
            </w:tcMar>
            <w:vAlign w:val="center"/>
          </w:tcPr>
          <w:p w14:paraId="2AE829F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0.2349</w:t>
            </w:r>
          </w:p>
        </w:tc>
        <w:tc>
          <w:tcPr>
            <w:tcW w:w="901" w:type="dxa"/>
            <w:tcBorders>
              <w:tl2br w:val="nil"/>
              <w:tr2bl w:val="nil"/>
            </w:tcBorders>
            <w:noWrap/>
            <w:tcMar>
              <w:top w:w="15" w:type="dxa"/>
              <w:left w:w="15" w:type="dxa"/>
              <w:right w:w="15" w:type="dxa"/>
            </w:tcMar>
            <w:vAlign w:val="center"/>
          </w:tcPr>
          <w:p w14:paraId="201A56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5.9684</w:t>
            </w:r>
          </w:p>
        </w:tc>
        <w:tc>
          <w:tcPr>
            <w:tcW w:w="1250" w:type="dxa"/>
            <w:tcBorders>
              <w:tl2br w:val="nil"/>
              <w:tr2bl w:val="nil"/>
            </w:tcBorders>
            <w:noWrap/>
            <w:tcMar>
              <w:top w:w="15" w:type="dxa"/>
              <w:left w:w="15" w:type="dxa"/>
              <w:right w:w="15" w:type="dxa"/>
            </w:tcMar>
            <w:vAlign w:val="center"/>
          </w:tcPr>
          <w:p w14:paraId="1C68B82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6D2E4F4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铅0.04878，镉0.00067，砷0.00748，锡0.0144，铬0.00277，锑0.000727，二噁英0.89087mgTEQ/a</w:t>
            </w:r>
          </w:p>
        </w:tc>
        <w:tc>
          <w:tcPr>
            <w:tcW w:w="1170" w:type="dxa"/>
            <w:tcBorders>
              <w:tl2br w:val="nil"/>
              <w:tr2bl w:val="nil"/>
            </w:tcBorders>
            <w:noWrap/>
            <w:tcMar>
              <w:top w:w="15" w:type="dxa"/>
              <w:left w:w="15" w:type="dxa"/>
              <w:right w:w="15" w:type="dxa"/>
            </w:tcMar>
            <w:vAlign w:val="center"/>
          </w:tcPr>
          <w:p w14:paraId="15DC2F2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1809.6</w:t>
            </w:r>
          </w:p>
        </w:tc>
        <w:tc>
          <w:tcPr>
            <w:tcW w:w="1061" w:type="dxa"/>
            <w:tcBorders>
              <w:tl2br w:val="nil"/>
              <w:tr2bl w:val="nil"/>
            </w:tcBorders>
            <w:noWrap/>
            <w:tcMar>
              <w:top w:w="15" w:type="dxa"/>
              <w:left w:w="15" w:type="dxa"/>
              <w:right w:w="15" w:type="dxa"/>
            </w:tcMar>
            <w:vAlign w:val="center"/>
          </w:tcPr>
          <w:p w14:paraId="636A0F6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0.09</w:t>
            </w:r>
          </w:p>
        </w:tc>
        <w:tc>
          <w:tcPr>
            <w:tcW w:w="953" w:type="dxa"/>
            <w:tcBorders>
              <w:tl2br w:val="nil"/>
              <w:tr2bl w:val="nil"/>
            </w:tcBorders>
            <w:noWrap/>
            <w:tcMar>
              <w:top w:w="15" w:type="dxa"/>
              <w:left w:w="15" w:type="dxa"/>
              <w:right w:w="15" w:type="dxa"/>
            </w:tcMar>
            <w:vAlign w:val="center"/>
          </w:tcPr>
          <w:p w14:paraId="376D58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0.009</w:t>
            </w:r>
          </w:p>
        </w:tc>
        <w:tc>
          <w:tcPr>
            <w:tcW w:w="1861" w:type="dxa"/>
            <w:tcBorders>
              <w:tl2br w:val="nil"/>
              <w:tr2bl w:val="nil"/>
            </w:tcBorders>
            <w:noWrap/>
            <w:tcMar>
              <w:top w:w="15" w:type="dxa"/>
              <w:left w:w="15" w:type="dxa"/>
              <w:right w:w="15" w:type="dxa"/>
            </w:tcMar>
            <w:vAlign w:val="center"/>
          </w:tcPr>
          <w:p w14:paraId="1574DC2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bottom"/>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w:t>
            </w:r>
          </w:p>
        </w:tc>
      </w:tr>
      <w:tr w14:paraId="53B047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9216C6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u w:val="none" w:color="auto"/>
                <w:lang w:val="en-US" w:eastAsia="zh-CN" w:bidi="zh-CN"/>
              </w:rPr>
            </w:pPr>
            <w:r>
              <w:rPr>
                <w:rFonts w:hint="eastAsia" w:ascii="Times New Roman" w:hAnsi="Times New Roman" w:eastAsia="宋体" w:cs="Times New Roman"/>
                <w:color w:val="auto"/>
                <w:sz w:val="21"/>
                <w:szCs w:val="21"/>
                <w:u w:val="none" w:color="auto"/>
                <w:lang w:val="en-US" w:eastAsia="zh-CN"/>
              </w:rPr>
              <w:t>84</w:t>
            </w:r>
          </w:p>
        </w:tc>
        <w:tc>
          <w:tcPr>
            <w:tcW w:w="1526" w:type="dxa"/>
            <w:tcBorders>
              <w:tl2br w:val="nil"/>
              <w:tr2bl w:val="nil"/>
            </w:tcBorders>
            <w:noWrap w:val="0"/>
            <w:tcMar>
              <w:top w:w="15" w:type="dxa"/>
              <w:left w:w="15" w:type="dxa"/>
              <w:right w:w="15" w:type="dxa"/>
            </w:tcMar>
            <w:vAlign w:val="center"/>
          </w:tcPr>
          <w:p w14:paraId="54501A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汨罗市聚翰金属回收有限公司</w:t>
            </w:r>
          </w:p>
        </w:tc>
        <w:tc>
          <w:tcPr>
            <w:tcW w:w="608" w:type="dxa"/>
            <w:tcBorders>
              <w:tl2br w:val="nil"/>
              <w:tr2bl w:val="nil"/>
            </w:tcBorders>
            <w:noWrap w:val="0"/>
            <w:tcMar>
              <w:top w:w="15" w:type="dxa"/>
              <w:left w:w="15" w:type="dxa"/>
              <w:right w:w="15" w:type="dxa"/>
            </w:tcMar>
            <w:vAlign w:val="center"/>
          </w:tcPr>
          <w:p w14:paraId="1E73209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1000</w:t>
            </w:r>
          </w:p>
        </w:tc>
        <w:tc>
          <w:tcPr>
            <w:tcW w:w="750" w:type="dxa"/>
            <w:tcBorders>
              <w:tl2br w:val="nil"/>
              <w:tr2bl w:val="nil"/>
            </w:tcBorders>
            <w:noWrap w:val="0"/>
            <w:tcMar>
              <w:top w:w="15" w:type="dxa"/>
              <w:left w:w="15" w:type="dxa"/>
              <w:right w:w="15" w:type="dxa"/>
            </w:tcMar>
            <w:vAlign w:val="center"/>
          </w:tcPr>
          <w:p w14:paraId="13E868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0.059</w:t>
            </w:r>
          </w:p>
        </w:tc>
        <w:tc>
          <w:tcPr>
            <w:tcW w:w="990" w:type="dxa"/>
            <w:tcBorders>
              <w:tl2br w:val="nil"/>
              <w:tr2bl w:val="nil"/>
            </w:tcBorders>
            <w:noWrap w:val="0"/>
            <w:tcMar>
              <w:top w:w="15" w:type="dxa"/>
              <w:left w:w="15" w:type="dxa"/>
              <w:right w:w="15" w:type="dxa"/>
            </w:tcMar>
            <w:vAlign w:val="center"/>
          </w:tcPr>
          <w:p w14:paraId="03DCD0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621B6C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03C2C2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0.148</w:t>
            </w:r>
          </w:p>
        </w:tc>
        <w:tc>
          <w:tcPr>
            <w:tcW w:w="2367" w:type="dxa"/>
            <w:tcBorders>
              <w:tl2br w:val="nil"/>
              <w:tr2bl w:val="nil"/>
            </w:tcBorders>
            <w:noWrap w:val="0"/>
            <w:tcMar>
              <w:top w:w="15" w:type="dxa"/>
              <w:left w:w="15" w:type="dxa"/>
              <w:right w:w="15" w:type="dxa"/>
            </w:tcMar>
            <w:vAlign w:val="center"/>
          </w:tcPr>
          <w:p w14:paraId="64524C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54CF59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154.2</w:t>
            </w:r>
          </w:p>
        </w:tc>
        <w:tc>
          <w:tcPr>
            <w:tcW w:w="1061" w:type="dxa"/>
            <w:tcBorders>
              <w:tl2br w:val="nil"/>
              <w:tr2bl w:val="nil"/>
            </w:tcBorders>
            <w:noWrap w:val="0"/>
            <w:tcMar>
              <w:top w:w="15" w:type="dxa"/>
              <w:left w:w="15" w:type="dxa"/>
              <w:right w:w="15" w:type="dxa"/>
            </w:tcMar>
            <w:vAlign w:val="center"/>
          </w:tcPr>
          <w:p w14:paraId="500494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0.0077</w:t>
            </w:r>
          </w:p>
        </w:tc>
        <w:tc>
          <w:tcPr>
            <w:tcW w:w="953" w:type="dxa"/>
            <w:tcBorders>
              <w:tl2br w:val="nil"/>
              <w:tr2bl w:val="nil"/>
            </w:tcBorders>
            <w:noWrap w:val="0"/>
            <w:tcMar>
              <w:top w:w="15" w:type="dxa"/>
              <w:left w:w="15" w:type="dxa"/>
              <w:right w:w="15" w:type="dxa"/>
            </w:tcMar>
            <w:vAlign w:val="center"/>
          </w:tcPr>
          <w:p w14:paraId="52581B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sz w:val="21"/>
                <w:szCs w:val="21"/>
                <w:u w:val="none"/>
              </w:rPr>
            </w:pPr>
            <w:r>
              <w:rPr>
                <w:rFonts w:hint="default" w:ascii="Times New Roman" w:hAnsi="Times New Roman" w:eastAsia="宋体" w:cs="Times New Roman"/>
                <w:i w:val="0"/>
                <w:snapToGrid w:val="0"/>
                <w:color w:val="auto"/>
                <w:kern w:val="0"/>
                <w:sz w:val="21"/>
                <w:szCs w:val="21"/>
                <w:u w:val="none"/>
                <w:lang w:val="en-US" w:eastAsia="zh-CN" w:bidi="ar"/>
              </w:rPr>
              <w:t>0.0012</w:t>
            </w:r>
          </w:p>
        </w:tc>
        <w:tc>
          <w:tcPr>
            <w:tcW w:w="1861" w:type="dxa"/>
            <w:tcBorders>
              <w:tl2br w:val="nil"/>
              <w:tr2bl w:val="nil"/>
            </w:tcBorders>
            <w:noWrap w:val="0"/>
            <w:tcMar>
              <w:top w:w="15" w:type="dxa"/>
              <w:left w:w="15" w:type="dxa"/>
              <w:right w:w="15" w:type="dxa"/>
            </w:tcMar>
            <w:vAlign w:val="center"/>
          </w:tcPr>
          <w:p w14:paraId="2FC7A5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B224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F6FBCA3">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85</w:t>
            </w:r>
          </w:p>
        </w:tc>
        <w:tc>
          <w:tcPr>
            <w:tcW w:w="1526" w:type="dxa"/>
            <w:tcBorders>
              <w:tl2br w:val="nil"/>
              <w:tr2bl w:val="nil"/>
            </w:tcBorders>
            <w:noWrap w:val="0"/>
            <w:tcMar>
              <w:top w:w="15" w:type="dxa"/>
              <w:left w:w="15" w:type="dxa"/>
              <w:right w:w="15" w:type="dxa"/>
            </w:tcMar>
            <w:vAlign w:val="center"/>
          </w:tcPr>
          <w:p w14:paraId="442B57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国曼（湖南）新材料有限公司</w:t>
            </w:r>
          </w:p>
        </w:tc>
        <w:tc>
          <w:tcPr>
            <w:tcW w:w="608" w:type="dxa"/>
            <w:tcBorders>
              <w:tl2br w:val="nil"/>
              <w:tr2bl w:val="nil"/>
            </w:tcBorders>
            <w:noWrap w:val="0"/>
            <w:tcMar>
              <w:top w:w="15" w:type="dxa"/>
              <w:left w:w="15" w:type="dxa"/>
              <w:right w:w="15" w:type="dxa"/>
            </w:tcMar>
            <w:vAlign w:val="center"/>
          </w:tcPr>
          <w:p w14:paraId="120634D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33596</w:t>
            </w:r>
          </w:p>
        </w:tc>
        <w:tc>
          <w:tcPr>
            <w:tcW w:w="750" w:type="dxa"/>
            <w:tcBorders>
              <w:tl2br w:val="nil"/>
              <w:tr2bl w:val="nil"/>
            </w:tcBorders>
            <w:noWrap w:val="0"/>
            <w:tcMar>
              <w:top w:w="15" w:type="dxa"/>
              <w:left w:w="15" w:type="dxa"/>
              <w:right w:w="15" w:type="dxa"/>
            </w:tcMar>
            <w:vAlign w:val="center"/>
          </w:tcPr>
          <w:p w14:paraId="61B1DCE8">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1.564</w:t>
            </w:r>
          </w:p>
        </w:tc>
        <w:tc>
          <w:tcPr>
            <w:tcW w:w="990" w:type="dxa"/>
            <w:tcBorders>
              <w:tl2br w:val="nil"/>
              <w:tr2bl w:val="nil"/>
            </w:tcBorders>
            <w:noWrap w:val="0"/>
            <w:tcMar>
              <w:top w:w="15" w:type="dxa"/>
              <w:left w:w="15" w:type="dxa"/>
              <w:right w:w="15" w:type="dxa"/>
            </w:tcMar>
            <w:vAlign w:val="center"/>
          </w:tcPr>
          <w:p w14:paraId="4746D7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0.111</w:t>
            </w:r>
          </w:p>
        </w:tc>
        <w:tc>
          <w:tcPr>
            <w:tcW w:w="901" w:type="dxa"/>
            <w:tcBorders>
              <w:tl2br w:val="nil"/>
              <w:tr2bl w:val="nil"/>
            </w:tcBorders>
            <w:noWrap w:val="0"/>
            <w:tcMar>
              <w:top w:w="15" w:type="dxa"/>
              <w:left w:w="15" w:type="dxa"/>
              <w:right w:w="15" w:type="dxa"/>
            </w:tcMar>
            <w:vAlign w:val="center"/>
          </w:tcPr>
          <w:p w14:paraId="6FEDA0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0.519</w:t>
            </w:r>
          </w:p>
        </w:tc>
        <w:tc>
          <w:tcPr>
            <w:tcW w:w="1250" w:type="dxa"/>
            <w:tcBorders>
              <w:tl2br w:val="nil"/>
              <w:tr2bl w:val="nil"/>
            </w:tcBorders>
            <w:noWrap w:val="0"/>
            <w:tcMar>
              <w:top w:w="15" w:type="dxa"/>
              <w:left w:w="15" w:type="dxa"/>
              <w:right w:w="15" w:type="dxa"/>
            </w:tcMar>
            <w:vAlign w:val="center"/>
          </w:tcPr>
          <w:p w14:paraId="1A1651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0.013</w:t>
            </w:r>
          </w:p>
        </w:tc>
        <w:tc>
          <w:tcPr>
            <w:tcW w:w="2367" w:type="dxa"/>
            <w:tcBorders>
              <w:tl2br w:val="nil"/>
              <w:tr2bl w:val="nil"/>
            </w:tcBorders>
            <w:noWrap w:val="0"/>
            <w:tcMar>
              <w:top w:w="15" w:type="dxa"/>
              <w:left w:w="15" w:type="dxa"/>
              <w:right w:w="15" w:type="dxa"/>
            </w:tcMar>
            <w:vAlign w:val="center"/>
          </w:tcPr>
          <w:p w14:paraId="1BB5B0B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26A5B0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2520</w:t>
            </w:r>
          </w:p>
        </w:tc>
        <w:tc>
          <w:tcPr>
            <w:tcW w:w="1061" w:type="dxa"/>
            <w:tcBorders>
              <w:tl2br w:val="nil"/>
              <w:tr2bl w:val="nil"/>
            </w:tcBorders>
            <w:noWrap w:val="0"/>
            <w:tcMar>
              <w:top w:w="15" w:type="dxa"/>
              <w:left w:w="15" w:type="dxa"/>
              <w:right w:w="15" w:type="dxa"/>
            </w:tcMar>
            <w:vAlign w:val="center"/>
          </w:tcPr>
          <w:p w14:paraId="5DBF6E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0.126</w:t>
            </w:r>
          </w:p>
        </w:tc>
        <w:tc>
          <w:tcPr>
            <w:tcW w:w="953" w:type="dxa"/>
            <w:tcBorders>
              <w:tl2br w:val="nil"/>
              <w:tr2bl w:val="nil"/>
            </w:tcBorders>
            <w:noWrap w:val="0"/>
            <w:tcMar>
              <w:top w:w="15" w:type="dxa"/>
              <w:left w:w="15" w:type="dxa"/>
              <w:right w:w="15" w:type="dxa"/>
            </w:tcMar>
            <w:vAlign w:val="center"/>
          </w:tcPr>
          <w:p w14:paraId="0BB4084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0.0126</w:t>
            </w:r>
          </w:p>
        </w:tc>
        <w:tc>
          <w:tcPr>
            <w:tcW w:w="1861" w:type="dxa"/>
            <w:tcBorders>
              <w:tl2br w:val="nil"/>
              <w:tr2bl w:val="nil"/>
            </w:tcBorders>
            <w:noWrap w:val="0"/>
            <w:tcMar>
              <w:top w:w="15" w:type="dxa"/>
              <w:left w:w="15" w:type="dxa"/>
              <w:right w:w="15" w:type="dxa"/>
            </w:tcMar>
            <w:vAlign w:val="center"/>
          </w:tcPr>
          <w:p w14:paraId="679200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85A3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483DDCC">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86</w:t>
            </w:r>
          </w:p>
        </w:tc>
        <w:tc>
          <w:tcPr>
            <w:tcW w:w="1526" w:type="dxa"/>
            <w:tcBorders>
              <w:tl2br w:val="nil"/>
              <w:tr2bl w:val="nil"/>
            </w:tcBorders>
            <w:noWrap w:val="0"/>
            <w:tcMar>
              <w:top w:w="15" w:type="dxa"/>
              <w:left w:w="15" w:type="dxa"/>
              <w:right w:w="15" w:type="dxa"/>
            </w:tcMar>
            <w:vAlign w:val="center"/>
          </w:tcPr>
          <w:p w14:paraId="2CAD606F">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湖南深悦市场经营管理有限公司</w:t>
            </w:r>
          </w:p>
        </w:tc>
        <w:tc>
          <w:tcPr>
            <w:tcW w:w="608" w:type="dxa"/>
            <w:tcBorders>
              <w:tl2br w:val="nil"/>
              <w:tr2bl w:val="nil"/>
            </w:tcBorders>
            <w:noWrap w:val="0"/>
            <w:tcMar>
              <w:top w:w="15" w:type="dxa"/>
              <w:left w:w="15" w:type="dxa"/>
              <w:right w:w="15" w:type="dxa"/>
            </w:tcMar>
            <w:vAlign w:val="center"/>
          </w:tcPr>
          <w:p w14:paraId="5AF5C29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default" w:ascii="Times New Roman" w:hAnsi="Times New Roman" w:eastAsia="宋体" w:cs="Times New Roman"/>
                <w:color w:val="auto"/>
                <w:u w:val="none" w:color="auto"/>
                <w:lang w:val="en-US" w:eastAsia="zh-CN"/>
              </w:rPr>
              <w:t>100000</w:t>
            </w:r>
          </w:p>
        </w:tc>
        <w:tc>
          <w:tcPr>
            <w:tcW w:w="750" w:type="dxa"/>
            <w:tcBorders>
              <w:tl2br w:val="nil"/>
              <w:tr2bl w:val="nil"/>
            </w:tcBorders>
            <w:noWrap w:val="0"/>
            <w:tcMar>
              <w:top w:w="15" w:type="dxa"/>
              <w:left w:w="15" w:type="dxa"/>
              <w:right w:w="15" w:type="dxa"/>
            </w:tcMar>
            <w:vAlign w:val="center"/>
          </w:tcPr>
          <w:p w14:paraId="0403E1FF">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0.1205</w:t>
            </w:r>
          </w:p>
        </w:tc>
        <w:tc>
          <w:tcPr>
            <w:tcW w:w="990" w:type="dxa"/>
            <w:tcBorders>
              <w:tl2br w:val="nil"/>
              <w:tr2bl w:val="nil"/>
            </w:tcBorders>
            <w:noWrap w:val="0"/>
            <w:tcMar>
              <w:top w:w="15" w:type="dxa"/>
              <w:left w:w="15" w:type="dxa"/>
              <w:right w:w="15" w:type="dxa"/>
            </w:tcMar>
            <w:vAlign w:val="center"/>
          </w:tcPr>
          <w:p w14:paraId="76CF4B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2E07768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43740A7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0.9645</w:t>
            </w:r>
          </w:p>
        </w:tc>
        <w:tc>
          <w:tcPr>
            <w:tcW w:w="2367" w:type="dxa"/>
            <w:tcBorders>
              <w:tl2br w:val="nil"/>
              <w:tr2bl w:val="nil"/>
            </w:tcBorders>
            <w:noWrap w:val="0"/>
            <w:tcMar>
              <w:top w:w="15" w:type="dxa"/>
              <w:left w:w="15" w:type="dxa"/>
              <w:right w:w="15" w:type="dxa"/>
            </w:tcMar>
            <w:vAlign w:val="center"/>
          </w:tcPr>
          <w:p w14:paraId="2F63DF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24F93E5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650</w:t>
            </w:r>
          </w:p>
        </w:tc>
        <w:tc>
          <w:tcPr>
            <w:tcW w:w="1061" w:type="dxa"/>
            <w:tcBorders>
              <w:tl2br w:val="nil"/>
              <w:tr2bl w:val="nil"/>
            </w:tcBorders>
            <w:noWrap w:val="0"/>
            <w:tcMar>
              <w:top w:w="15" w:type="dxa"/>
              <w:left w:w="15" w:type="dxa"/>
              <w:right w:w="15" w:type="dxa"/>
            </w:tcMar>
            <w:vAlign w:val="center"/>
          </w:tcPr>
          <w:p w14:paraId="43F2FCC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0.0195</w:t>
            </w:r>
          </w:p>
        </w:tc>
        <w:tc>
          <w:tcPr>
            <w:tcW w:w="953" w:type="dxa"/>
            <w:tcBorders>
              <w:tl2br w:val="nil"/>
              <w:tr2bl w:val="nil"/>
            </w:tcBorders>
            <w:noWrap w:val="0"/>
            <w:tcMar>
              <w:top w:w="15" w:type="dxa"/>
              <w:left w:w="15" w:type="dxa"/>
              <w:right w:w="15" w:type="dxa"/>
            </w:tcMar>
            <w:vAlign w:val="center"/>
          </w:tcPr>
          <w:p w14:paraId="0F51D11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0.00195</w:t>
            </w:r>
          </w:p>
        </w:tc>
        <w:tc>
          <w:tcPr>
            <w:tcW w:w="1861" w:type="dxa"/>
            <w:tcBorders>
              <w:tl2br w:val="nil"/>
              <w:tr2bl w:val="nil"/>
            </w:tcBorders>
            <w:noWrap w:val="0"/>
            <w:tcMar>
              <w:top w:w="15" w:type="dxa"/>
              <w:left w:w="15" w:type="dxa"/>
              <w:right w:w="15" w:type="dxa"/>
            </w:tcMar>
            <w:vAlign w:val="center"/>
          </w:tcPr>
          <w:p w14:paraId="77F21E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3C41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752FCD4">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87</w:t>
            </w:r>
          </w:p>
        </w:tc>
        <w:tc>
          <w:tcPr>
            <w:tcW w:w="1526" w:type="dxa"/>
            <w:tcBorders>
              <w:tl2br w:val="nil"/>
              <w:tr2bl w:val="nil"/>
            </w:tcBorders>
            <w:noWrap w:val="0"/>
            <w:tcMar>
              <w:top w:w="15" w:type="dxa"/>
              <w:left w:w="15" w:type="dxa"/>
              <w:right w:w="15" w:type="dxa"/>
            </w:tcMar>
            <w:vAlign w:val="center"/>
          </w:tcPr>
          <w:p w14:paraId="665F10B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湖南深悦立宇机械设备有限公司</w:t>
            </w:r>
          </w:p>
        </w:tc>
        <w:tc>
          <w:tcPr>
            <w:tcW w:w="608" w:type="dxa"/>
            <w:tcBorders>
              <w:tl2br w:val="nil"/>
              <w:tr2bl w:val="nil"/>
            </w:tcBorders>
            <w:noWrap w:val="0"/>
            <w:tcMar>
              <w:top w:w="15" w:type="dxa"/>
              <w:left w:w="15" w:type="dxa"/>
              <w:right w:w="15" w:type="dxa"/>
            </w:tcMar>
            <w:vAlign w:val="center"/>
          </w:tcPr>
          <w:p w14:paraId="13C241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17890</w:t>
            </w:r>
          </w:p>
        </w:tc>
        <w:tc>
          <w:tcPr>
            <w:tcW w:w="750" w:type="dxa"/>
            <w:tcBorders>
              <w:tl2br w:val="nil"/>
              <w:tr2bl w:val="nil"/>
            </w:tcBorders>
            <w:noWrap w:val="0"/>
            <w:tcMar>
              <w:top w:w="15" w:type="dxa"/>
              <w:left w:w="15" w:type="dxa"/>
              <w:right w:w="15" w:type="dxa"/>
            </w:tcMar>
            <w:vAlign w:val="center"/>
          </w:tcPr>
          <w:p w14:paraId="605CB028">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0.0725</w:t>
            </w:r>
          </w:p>
        </w:tc>
        <w:tc>
          <w:tcPr>
            <w:tcW w:w="990" w:type="dxa"/>
            <w:tcBorders>
              <w:tl2br w:val="nil"/>
              <w:tr2bl w:val="nil"/>
            </w:tcBorders>
            <w:noWrap w:val="0"/>
            <w:tcMar>
              <w:top w:w="15" w:type="dxa"/>
              <w:left w:w="15" w:type="dxa"/>
              <w:right w:w="15" w:type="dxa"/>
            </w:tcMar>
            <w:vAlign w:val="center"/>
          </w:tcPr>
          <w:p w14:paraId="6D03CB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64C38EE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6F79127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0.5715</w:t>
            </w:r>
          </w:p>
        </w:tc>
        <w:tc>
          <w:tcPr>
            <w:tcW w:w="2367" w:type="dxa"/>
            <w:tcBorders>
              <w:tl2br w:val="nil"/>
              <w:tr2bl w:val="nil"/>
            </w:tcBorders>
            <w:noWrap w:val="0"/>
            <w:tcMar>
              <w:top w:w="15" w:type="dxa"/>
              <w:left w:w="15" w:type="dxa"/>
              <w:right w:w="15" w:type="dxa"/>
            </w:tcMar>
            <w:vAlign w:val="center"/>
          </w:tcPr>
          <w:p w14:paraId="36994F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4629EAF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252.5</w:t>
            </w:r>
          </w:p>
        </w:tc>
        <w:tc>
          <w:tcPr>
            <w:tcW w:w="1061" w:type="dxa"/>
            <w:tcBorders>
              <w:tl2br w:val="nil"/>
              <w:tr2bl w:val="nil"/>
            </w:tcBorders>
            <w:noWrap w:val="0"/>
            <w:tcMar>
              <w:top w:w="15" w:type="dxa"/>
              <w:left w:w="15" w:type="dxa"/>
              <w:right w:w="15" w:type="dxa"/>
            </w:tcMar>
            <w:vAlign w:val="center"/>
          </w:tcPr>
          <w:p w14:paraId="6D43E63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0.0076</w:t>
            </w:r>
          </w:p>
        </w:tc>
        <w:tc>
          <w:tcPr>
            <w:tcW w:w="953" w:type="dxa"/>
            <w:tcBorders>
              <w:tl2br w:val="nil"/>
              <w:tr2bl w:val="nil"/>
            </w:tcBorders>
            <w:noWrap w:val="0"/>
            <w:tcMar>
              <w:top w:w="15" w:type="dxa"/>
              <w:left w:w="15" w:type="dxa"/>
              <w:right w:w="15" w:type="dxa"/>
            </w:tcMar>
            <w:vAlign w:val="center"/>
          </w:tcPr>
          <w:p w14:paraId="6FD5A83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0.00076</w:t>
            </w:r>
          </w:p>
        </w:tc>
        <w:tc>
          <w:tcPr>
            <w:tcW w:w="1861" w:type="dxa"/>
            <w:tcBorders>
              <w:tl2br w:val="nil"/>
              <w:tr2bl w:val="nil"/>
            </w:tcBorders>
            <w:noWrap w:val="0"/>
            <w:tcMar>
              <w:top w:w="15" w:type="dxa"/>
              <w:left w:w="15" w:type="dxa"/>
              <w:right w:w="15" w:type="dxa"/>
            </w:tcMar>
            <w:vAlign w:val="center"/>
          </w:tcPr>
          <w:p w14:paraId="0316C16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35F902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4ECA7D9A">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88</w:t>
            </w:r>
          </w:p>
        </w:tc>
        <w:tc>
          <w:tcPr>
            <w:tcW w:w="1526" w:type="dxa"/>
            <w:tcBorders>
              <w:tl2br w:val="nil"/>
              <w:tr2bl w:val="nil"/>
            </w:tcBorders>
            <w:noWrap w:val="0"/>
            <w:tcMar>
              <w:top w:w="15" w:type="dxa"/>
              <w:left w:w="15" w:type="dxa"/>
              <w:right w:w="15" w:type="dxa"/>
            </w:tcMar>
            <w:vAlign w:val="center"/>
          </w:tcPr>
          <w:p w14:paraId="636D1D0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湖南润力达电子设备有限公司</w:t>
            </w:r>
          </w:p>
        </w:tc>
        <w:tc>
          <w:tcPr>
            <w:tcW w:w="608" w:type="dxa"/>
            <w:tcBorders>
              <w:tl2br w:val="nil"/>
              <w:tr2bl w:val="nil"/>
            </w:tcBorders>
            <w:noWrap w:val="0"/>
            <w:tcMar>
              <w:top w:w="15" w:type="dxa"/>
              <w:left w:w="15" w:type="dxa"/>
              <w:right w:w="15" w:type="dxa"/>
            </w:tcMar>
            <w:vAlign w:val="center"/>
          </w:tcPr>
          <w:p w14:paraId="08E565F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5800</w:t>
            </w:r>
          </w:p>
        </w:tc>
        <w:tc>
          <w:tcPr>
            <w:tcW w:w="750" w:type="dxa"/>
            <w:tcBorders>
              <w:tl2br w:val="nil"/>
              <w:tr2bl w:val="nil"/>
            </w:tcBorders>
            <w:noWrap w:val="0"/>
            <w:tcMar>
              <w:top w:w="15" w:type="dxa"/>
              <w:left w:w="15" w:type="dxa"/>
              <w:right w:w="15" w:type="dxa"/>
            </w:tcMar>
            <w:vAlign w:val="center"/>
          </w:tcPr>
          <w:p w14:paraId="2301E29A">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0.052</w:t>
            </w:r>
          </w:p>
        </w:tc>
        <w:tc>
          <w:tcPr>
            <w:tcW w:w="990" w:type="dxa"/>
            <w:tcBorders>
              <w:tl2br w:val="nil"/>
              <w:tr2bl w:val="nil"/>
            </w:tcBorders>
            <w:noWrap w:val="0"/>
            <w:tcMar>
              <w:top w:w="15" w:type="dxa"/>
              <w:left w:w="15" w:type="dxa"/>
              <w:right w:w="15" w:type="dxa"/>
            </w:tcMar>
            <w:vAlign w:val="center"/>
          </w:tcPr>
          <w:p w14:paraId="1BF038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782D253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6C9517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0.45</w:t>
            </w:r>
          </w:p>
        </w:tc>
        <w:tc>
          <w:tcPr>
            <w:tcW w:w="2367" w:type="dxa"/>
            <w:tcBorders>
              <w:tl2br w:val="nil"/>
              <w:tr2bl w:val="nil"/>
            </w:tcBorders>
            <w:noWrap w:val="0"/>
            <w:tcMar>
              <w:top w:w="15" w:type="dxa"/>
              <w:left w:w="15" w:type="dxa"/>
              <w:right w:w="15" w:type="dxa"/>
            </w:tcMar>
            <w:vAlign w:val="center"/>
          </w:tcPr>
          <w:p w14:paraId="06C1CB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2473D2C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213.75</w:t>
            </w:r>
          </w:p>
        </w:tc>
        <w:tc>
          <w:tcPr>
            <w:tcW w:w="1061" w:type="dxa"/>
            <w:tcBorders>
              <w:tl2br w:val="nil"/>
              <w:tr2bl w:val="nil"/>
            </w:tcBorders>
            <w:noWrap w:val="0"/>
            <w:tcMar>
              <w:top w:w="15" w:type="dxa"/>
              <w:left w:w="15" w:type="dxa"/>
              <w:right w:w="15" w:type="dxa"/>
            </w:tcMar>
            <w:vAlign w:val="center"/>
          </w:tcPr>
          <w:p w14:paraId="771A699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0.0064</w:t>
            </w:r>
          </w:p>
        </w:tc>
        <w:tc>
          <w:tcPr>
            <w:tcW w:w="953" w:type="dxa"/>
            <w:tcBorders>
              <w:tl2br w:val="nil"/>
              <w:tr2bl w:val="nil"/>
            </w:tcBorders>
            <w:noWrap w:val="0"/>
            <w:tcMar>
              <w:top w:w="15" w:type="dxa"/>
              <w:left w:w="15" w:type="dxa"/>
              <w:right w:w="15" w:type="dxa"/>
            </w:tcMar>
            <w:vAlign w:val="center"/>
          </w:tcPr>
          <w:p w14:paraId="45D3DF6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0.00032</w:t>
            </w:r>
          </w:p>
        </w:tc>
        <w:tc>
          <w:tcPr>
            <w:tcW w:w="1861" w:type="dxa"/>
            <w:tcBorders>
              <w:tl2br w:val="nil"/>
              <w:tr2bl w:val="nil"/>
            </w:tcBorders>
            <w:noWrap w:val="0"/>
            <w:tcMar>
              <w:top w:w="15" w:type="dxa"/>
              <w:left w:w="15" w:type="dxa"/>
              <w:right w:w="15" w:type="dxa"/>
            </w:tcMar>
            <w:vAlign w:val="center"/>
          </w:tcPr>
          <w:p w14:paraId="335E5A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6E08C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0D1C5CA">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89</w:t>
            </w:r>
          </w:p>
        </w:tc>
        <w:tc>
          <w:tcPr>
            <w:tcW w:w="1526" w:type="dxa"/>
            <w:tcBorders>
              <w:tl2br w:val="nil"/>
              <w:tr2bl w:val="nil"/>
            </w:tcBorders>
            <w:noWrap w:val="0"/>
            <w:tcMar>
              <w:top w:w="15" w:type="dxa"/>
              <w:left w:w="15" w:type="dxa"/>
              <w:right w:w="15" w:type="dxa"/>
            </w:tcMar>
            <w:vAlign w:val="center"/>
          </w:tcPr>
          <w:p w14:paraId="7CA7756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湖南巨浪新材料科技有限公司</w:t>
            </w:r>
          </w:p>
        </w:tc>
        <w:tc>
          <w:tcPr>
            <w:tcW w:w="608" w:type="dxa"/>
            <w:tcBorders>
              <w:tl2br w:val="nil"/>
              <w:tr2bl w:val="nil"/>
            </w:tcBorders>
            <w:noWrap w:val="0"/>
            <w:tcMar>
              <w:top w:w="15" w:type="dxa"/>
              <w:left w:w="15" w:type="dxa"/>
              <w:right w:w="15" w:type="dxa"/>
            </w:tcMar>
            <w:vAlign w:val="center"/>
          </w:tcPr>
          <w:p w14:paraId="3495F9F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20666</w:t>
            </w:r>
          </w:p>
        </w:tc>
        <w:tc>
          <w:tcPr>
            <w:tcW w:w="750" w:type="dxa"/>
            <w:tcBorders>
              <w:tl2br w:val="nil"/>
              <w:tr2bl w:val="nil"/>
            </w:tcBorders>
            <w:noWrap w:val="0"/>
            <w:tcMar>
              <w:top w:w="15" w:type="dxa"/>
              <w:left w:w="15" w:type="dxa"/>
              <w:right w:w="15" w:type="dxa"/>
            </w:tcMar>
            <w:vAlign w:val="center"/>
          </w:tcPr>
          <w:p w14:paraId="76E03618">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1.159</w:t>
            </w:r>
          </w:p>
        </w:tc>
        <w:tc>
          <w:tcPr>
            <w:tcW w:w="990" w:type="dxa"/>
            <w:tcBorders>
              <w:tl2br w:val="nil"/>
              <w:tr2bl w:val="nil"/>
            </w:tcBorders>
            <w:noWrap w:val="0"/>
            <w:tcMar>
              <w:top w:w="15" w:type="dxa"/>
              <w:left w:w="15" w:type="dxa"/>
              <w:right w:w="15" w:type="dxa"/>
            </w:tcMar>
            <w:vAlign w:val="center"/>
          </w:tcPr>
          <w:p w14:paraId="688650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19EF331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6CB52C0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1.189</w:t>
            </w:r>
          </w:p>
        </w:tc>
        <w:tc>
          <w:tcPr>
            <w:tcW w:w="2367" w:type="dxa"/>
            <w:tcBorders>
              <w:tl2br w:val="nil"/>
              <w:tr2bl w:val="nil"/>
            </w:tcBorders>
            <w:noWrap w:val="0"/>
            <w:tcMar>
              <w:top w:w="15" w:type="dxa"/>
              <w:left w:w="15" w:type="dxa"/>
              <w:right w:w="15" w:type="dxa"/>
            </w:tcMar>
            <w:vAlign w:val="center"/>
          </w:tcPr>
          <w:p w14:paraId="12F06C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69105E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2784</w:t>
            </w:r>
          </w:p>
        </w:tc>
        <w:tc>
          <w:tcPr>
            <w:tcW w:w="1061" w:type="dxa"/>
            <w:tcBorders>
              <w:tl2br w:val="nil"/>
              <w:tr2bl w:val="nil"/>
            </w:tcBorders>
            <w:noWrap w:val="0"/>
            <w:tcMar>
              <w:top w:w="15" w:type="dxa"/>
              <w:left w:w="15" w:type="dxa"/>
              <w:right w:w="15" w:type="dxa"/>
            </w:tcMar>
            <w:vAlign w:val="center"/>
          </w:tcPr>
          <w:p w14:paraId="3B441A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0.08352</w:t>
            </w:r>
          </w:p>
        </w:tc>
        <w:tc>
          <w:tcPr>
            <w:tcW w:w="953" w:type="dxa"/>
            <w:tcBorders>
              <w:tl2br w:val="nil"/>
              <w:tr2bl w:val="nil"/>
            </w:tcBorders>
            <w:noWrap w:val="0"/>
            <w:tcMar>
              <w:top w:w="15" w:type="dxa"/>
              <w:left w:w="15" w:type="dxa"/>
              <w:right w:w="15" w:type="dxa"/>
            </w:tcMar>
            <w:vAlign w:val="center"/>
          </w:tcPr>
          <w:p w14:paraId="5410A2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0.004176</w:t>
            </w:r>
          </w:p>
        </w:tc>
        <w:tc>
          <w:tcPr>
            <w:tcW w:w="1861" w:type="dxa"/>
            <w:tcBorders>
              <w:tl2br w:val="nil"/>
              <w:tr2bl w:val="nil"/>
            </w:tcBorders>
            <w:noWrap w:val="0"/>
            <w:tcMar>
              <w:top w:w="15" w:type="dxa"/>
              <w:left w:w="15" w:type="dxa"/>
              <w:right w:w="15" w:type="dxa"/>
            </w:tcMar>
            <w:vAlign w:val="center"/>
          </w:tcPr>
          <w:p w14:paraId="7983018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DD46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178B15CB">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90</w:t>
            </w:r>
          </w:p>
        </w:tc>
        <w:tc>
          <w:tcPr>
            <w:tcW w:w="1526" w:type="dxa"/>
            <w:tcBorders>
              <w:tl2br w:val="nil"/>
              <w:tr2bl w:val="nil"/>
            </w:tcBorders>
            <w:noWrap w:val="0"/>
            <w:tcMar>
              <w:top w:w="15" w:type="dxa"/>
              <w:left w:w="15" w:type="dxa"/>
              <w:right w:w="15" w:type="dxa"/>
            </w:tcMar>
            <w:vAlign w:val="center"/>
          </w:tcPr>
          <w:p w14:paraId="5450C7D2">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湖南飞诺电子科技有限公司</w:t>
            </w:r>
          </w:p>
        </w:tc>
        <w:tc>
          <w:tcPr>
            <w:tcW w:w="608" w:type="dxa"/>
            <w:tcBorders>
              <w:tl2br w:val="nil"/>
              <w:tr2bl w:val="nil"/>
            </w:tcBorders>
            <w:noWrap w:val="0"/>
            <w:tcMar>
              <w:top w:w="15" w:type="dxa"/>
              <w:left w:w="15" w:type="dxa"/>
              <w:right w:w="15" w:type="dxa"/>
            </w:tcMar>
            <w:vAlign w:val="center"/>
          </w:tcPr>
          <w:p w14:paraId="74816B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3624.44</w:t>
            </w:r>
          </w:p>
        </w:tc>
        <w:tc>
          <w:tcPr>
            <w:tcW w:w="750" w:type="dxa"/>
            <w:tcBorders>
              <w:tl2br w:val="nil"/>
              <w:tr2bl w:val="nil"/>
            </w:tcBorders>
            <w:noWrap w:val="0"/>
            <w:tcMar>
              <w:top w:w="15" w:type="dxa"/>
              <w:left w:w="15" w:type="dxa"/>
              <w:right w:w="15" w:type="dxa"/>
            </w:tcMar>
            <w:vAlign w:val="center"/>
          </w:tcPr>
          <w:p w14:paraId="1A32E5AB">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1.19</w:t>
            </w:r>
          </w:p>
        </w:tc>
        <w:tc>
          <w:tcPr>
            <w:tcW w:w="990" w:type="dxa"/>
            <w:tcBorders>
              <w:tl2br w:val="nil"/>
              <w:tr2bl w:val="nil"/>
            </w:tcBorders>
            <w:noWrap w:val="0"/>
            <w:tcMar>
              <w:top w:w="15" w:type="dxa"/>
              <w:left w:w="15" w:type="dxa"/>
              <w:right w:w="15" w:type="dxa"/>
            </w:tcMar>
            <w:vAlign w:val="center"/>
          </w:tcPr>
          <w:p w14:paraId="73808C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1C346BD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0.62</w:t>
            </w:r>
          </w:p>
        </w:tc>
        <w:tc>
          <w:tcPr>
            <w:tcW w:w="1250" w:type="dxa"/>
            <w:tcBorders>
              <w:tl2br w:val="nil"/>
              <w:tr2bl w:val="nil"/>
            </w:tcBorders>
            <w:noWrap w:val="0"/>
            <w:tcMar>
              <w:top w:w="15" w:type="dxa"/>
              <w:left w:w="15" w:type="dxa"/>
              <w:right w:w="15" w:type="dxa"/>
            </w:tcMar>
            <w:vAlign w:val="center"/>
          </w:tcPr>
          <w:p w14:paraId="3351C3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3.64</w:t>
            </w:r>
          </w:p>
        </w:tc>
        <w:tc>
          <w:tcPr>
            <w:tcW w:w="2367" w:type="dxa"/>
            <w:tcBorders>
              <w:tl2br w:val="nil"/>
              <w:tr2bl w:val="nil"/>
            </w:tcBorders>
            <w:noWrap w:val="0"/>
            <w:tcMar>
              <w:top w:w="15" w:type="dxa"/>
              <w:left w:w="15" w:type="dxa"/>
              <w:right w:w="15" w:type="dxa"/>
            </w:tcMar>
            <w:vAlign w:val="center"/>
          </w:tcPr>
          <w:p w14:paraId="0BCB778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硫酸雾2.19，氯化氢0.51，甲醛0.2，</w:t>
            </w:r>
            <w:r>
              <w:rPr>
                <w:color w:val="000000"/>
              </w:rPr>
              <w:t>锡及其化合物</w:t>
            </w:r>
            <w:r>
              <w:rPr>
                <w:rFonts w:hint="eastAsia"/>
                <w:color w:val="000000"/>
                <w:lang w:val="en-US" w:eastAsia="zh-CN"/>
              </w:rPr>
              <w:t>0.0042</w:t>
            </w:r>
          </w:p>
        </w:tc>
        <w:tc>
          <w:tcPr>
            <w:tcW w:w="1170" w:type="dxa"/>
            <w:tcBorders>
              <w:tl2br w:val="nil"/>
              <w:tr2bl w:val="nil"/>
            </w:tcBorders>
            <w:noWrap w:val="0"/>
            <w:tcMar>
              <w:top w:w="15" w:type="dxa"/>
              <w:left w:w="15" w:type="dxa"/>
              <w:right w:w="15" w:type="dxa"/>
            </w:tcMar>
            <w:vAlign w:val="center"/>
          </w:tcPr>
          <w:p w14:paraId="01EDAD4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210240</w:t>
            </w:r>
          </w:p>
        </w:tc>
        <w:tc>
          <w:tcPr>
            <w:tcW w:w="1061" w:type="dxa"/>
            <w:tcBorders>
              <w:tl2br w:val="nil"/>
              <w:tr2bl w:val="nil"/>
            </w:tcBorders>
            <w:noWrap w:val="0"/>
            <w:tcMar>
              <w:top w:w="15" w:type="dxa"/>
              <w:left w:w="15" w:type="dxa"/>
              <w:right w:w="15" w:type="dxa"/>
            </w:tcMar>
            <w:vAlign w:val="center"/>
          </w:tcPr>
          <w:p w14:paraId="582517E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3.459</w:t>
            </w:r>
          </w:p>
        </w:tc>
        <w:tc>
          <w:tcPr>
            <w:tcW w:w="953" w:type="dxa"/>
            <w:tcBorders>
              <w:tl2br w:val="nil"/>
              <w:tr2bl w:val="nil"/>
            </w:tcBorders>
            <w:noWrap w:val="0"/>
            <w:tcMar>
              <w:top w:w="15" w:type="dxa"/>
              <w:left w:w="15" w:type="dxa"/>
              <w:right w:w="15" w:type="dxa"/>
            </w:tcMar>
            <w:vAlign w:val="center"/>
          </w:tcPr>
          <w:p w14:paraId="309DE4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0.346</w:t>
            </w:r>
          </w:p>
        </w:tc>
        <w:tc>
          <w:tcPr>
            <w:tcW w:w="1861" w:type="dxa"/>
            <w:tcBorders>
              <w:tl2br w:val="nil"/>
              <w:tr2bl w:val="nil"/>
            </w:tcBorders>
            <w:noWrap w:val="0"/>
            <w:tcMar>
              <w:top w:w="15" w:type="dxa"/>
              <w:left w:w="15" w:type="dxa"/>
              <w:right w:w="15" w:type="dxa"/>
            </w:tcMar>
            <w:vAlign w:val="center"/>
          </w:tcPr>
          <w:p w14:paraId="7B0D0BD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总铜0.11，总镍0.01</w:t>
            </w:r>
          </w:p>
        </w:tc>
      </w:tr>
      <w:tr w14:paraId="3ACDAE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8777492">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91</w:t>
            </w:r>
          </w:p>
        </w:tc>
        <w:tc>
          <w:tcPr>
            <w:tcW w:w="1526" w:type="dxa"/>
            <w:tcBorders>
              <w:tl2br w:val="nil"/>
              <w:tr2bl w:val="nil"/>
            </w:tcBorders>
            <w:noWrap w:val="0"/>
            <w:tcMar>
              <w:top w:w="15" w:type="dxa"/>
              <w:left w:w="15" w:type="dxa"/>
              <w:right w:w="15" w:type="dxa"/>
            </w:tcMar>
            <w:vAlign w:val="center"/>
          </w:tcPr>
          <w:p w14:paraId="2D6B9CD8">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湖南凌鑫新材料有限公司</w:t>
            </w:r>
          </w:p>
        </w:tc>
        <w:tc>
          <w:tcPr>
            <w:tcW w:w="608" w:type="dxa"/>
            <w:tcBorders>
              <w:tl2br w:val="nil"/>
              <w:tr2bl w:val="nil"/>
            </w:tcBorders>
            <w:noWrap w:val="0"/>
            <w:tcMar>
              <w:top w:w="15" w:type="dxa"/>
              <w:left w:w="15" w:type="dxa"/>
              <w:right w:w="15" w:type="dxa"/>
            </w:tcMar>
            <w:vAlign w:val="center"/>
          </w:tcPr>
          <w:p w14:paraId="19EAC6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8000</w:t>
            </w:r>
          </w:p>
        </w:tc>
        <w:tc>
          <w:tcPr>
            <w:tcW w:w="750" w:type="dxa"/>
            <w:tcBorders>
              <w:tl2br w:val="nil"/>
              <w:tr2bl w:val="nil"/>
            </w:tcBorders>
            <w:noWrap w:val="0"/>
            <w:tcMar>
              <w:top w:w="15" w:type="dxa"/>
              <w:left w:w="15" w:type="dxa"/>
              <w:right w:w="15" w:type="dxa"/>
            </w:tcMar>
            <w:vAlign w:val="center"/>
          </w:tcPr>
          <w:p w14:paraId="25A93808">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1.039</w:t>
            </w:r>
          </w:p>
        </w:tc>
        <w:tc>
          <w:tcPr>
            <w:tcW w:w="990" w:type="dxa"/>
            <w:tcBorders>
              <w:tl2br w:val="nil"/>
              <w:tr2bl w:val="nil"/>
            </w:tcBorders>
            <w:noWrap w:val="0"/>
            <w:tcMar>
              <w:top w:w="15" w:type="dxa"/>
              <w:left w:w="15" w:type="dxa"/>
              <w:right w:w="15" w:type="dxa"/>
            </w:tcMar>
            <w:vAlign w:val="center"/>
          </w:tcPr>
          <w:p w14:paraId="2F961D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0.303</w:t>
            </w:r>
          </w:p>
        </w:tc>
        <w:tc>
          <w:tcPr>
            <w:tcW w:w="901" w:type="dxa"/>
            <w:tcBorders>
              <w:tl2br w:val="nil"/>
              <w:tr2bl w:val="nil"/>
            </w:tcBorders>
            <w:noWrap w:val="0"/>
            <w:tcMar>
              <w:top w:w="15" w:type="dxa"/>
              <w:left w:w="15" w:type="dxa"/>
              <w:right w:w="15" w:type="dxa"/>
            </w:tcMar>
            <w:vAlign w:val="center"/>
          </w:tcPr>
          <w:p w14:paraId="030A71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1.416</w:t>
            </w:r>
          </w:p>
        </w:tc>
        <w:tc>
          <w:tcPr>
            <w:tcW w:w="1250" w:type="dxa"/>
            <w:tcBorders>
              <w:tl2br w:val="nil"/>
              <w:tr2bl w:val="nil"/>
            </w:tcBorders>
            <w:noWrap w:val="0"/>
            <w:tcMar>
              <w:top w:w="15" w:type="dxa"/>
              <w:left w:w="15" w:type="dxa"/>
              <w:right w:w="15" w:type="dxa"/>
            </w:tcMar>
            <w:vAlign w:val="center"/>
          </w:tcPr>
          <w:p w14:paraId="35AE37F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0.322</w:t>
            </w:r>
          </w:p>
        </w:tc>
        <w:tc>
          <w:tcPr>
            <w:tcW w:w="2367" w:type="dxa"/>
            <w:tcBorders>
              <w:tl2br w:val="nil"/>
              <w:tr2bl w:val="nil"/>
            </w:tcBorders>
            <w:noWrap w:val="0"/>
            <w:tcMar>
              <w:top w:w="15" w:type="dxa"/>
              <w:left w:w="15" w:type="dxa"/>
              <w:right w:w="15" w:type="dxa"/>
            </w:tcMar>
            <w:vAlign w:val="center"/>
          </w:tcPr>
          <w:p w14:paraId="390134A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0EA42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2212.985</w:t>
            </w:r>
          </w:p>
        </w:tc>
        <w:tc>
          <w:tcPr>
            <w:tcW w:w="1061" w:type="dxa"/>
            <w:tcBorders>
              <w:tl2br w:val="nil"/>
              <w:tr2bl w:val="nil"/>
            </w:tcBorders>
            <w:noWrap w:val="0"/>
            <w:tcMar>
              <w:top w:w="15" w:type="dxa"/>
              <w:left w:w="15" w:type="dxa"/>
              <w:right w:w="15" w:type="dxa"/>
            </w:tcMar>
            <w:vAlign w:val="center"/>
          </w:tcPr>
          <w:p w14:paraId="64BC448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0.06639</w:t>
            </w:r>
          </w:p>
        </w:tc>
        <w:tc>
          <w:tcPr>
            <w:tcW w:w="953" w:type="dxa"/>
            <w:tcBorders>
              <w:tl2br w:val="nil"/>
              <w:tr2bl w:val="nil"/>
            </w:tcBorders>
            <w:noWrap w:val="0"/>
            <w:tcMar>
              <w:top w:w="15" w:type="dxa"/>
              <w:left w:w="15" w:type="dxa"/>
              <w:right w:w="15" w:type="dxa"/>
            </w:tcMar>
            <w:vAlign w:val="center"/>
          </w:tcPr>
          <w:p w14:paraId="2FC03C8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0.00332</w:t>
            </w:r>
          </w:p>
        </w:tc>
        <w:tc>
          <w:tcPr>
            <w:tcW w:w="1861" w:type="dxa"/>
            <w:tcBorders>
              <w:tl2br w:val="nil"/>
              <w:tr2bl w:val="nil"/>
            </w:tcBorders>
            <w:noWrap w:val="0"/>
            <w:tcMar>
              <w:top w:w="15" w:type="dxa"/>
              <w:left w:w="15" w:type="dxa"/>
              <w:right w:w="15" w:type="dxa"/>
            </w:tcMar>
            <w:vAlign w:val="center"/>
          </w:tcPr>
          <w:p w14:paraId="3F76B07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1D02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2CC100E2">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92</w:t>
            </w:r>
          </w:p>
        </w:tc>
        <w:tc>
          <w:tcPr>
            <w:tcW w:w="1526" w:type="dxa"/>
            <w:tcBorders>
              <w:tl2br w:val="nil"/>
              <w:tr2bl w:val="nil"/>
            </w:tcBorders>
            <w:noWrap w:val="0"/>
            <w:tcMar>
              <w:top w:w="15" w:type="dxa"/>
              <w:left w:w="15" w:type="dxa"/>
              <w:right w:w="15" w:type="dxa"/>
            </w:tcMar>
            <w:vAlign w:val="center"/>
          </w:tcPr>
          <w:p w14:paraId="1E79B14D">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湖南厚海环保科技有限公司</w:t>
            </w:r>
          </w:p>
        </w:tc>
        <w:tc>
          <w:tcPr>
            <w:tcW w:w="608" w:type="dxa"/>
            <w:tcBorders>
              <w:tl2br w:val="nil"/>
              <w:tr2bl w:val="nil"/>
            </w:tcBorders>
            <w:noWrap w:val="0"/>
            <w:tcMar>
              <w:top w:w="15" w:type="dxa"/>
              <w:left w:w="15" w:type="dxa"/>
              <w:right w:w="15" w:type="dxa"/>
            </w:tcMar>
            <w:vAlign w:val="center"/>
          </w:tcPr>
          <w:p w14:paraId="0B75CE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4983.88</w:t>
            </w:r>
          </w:p>
        </w:tc>
        <w:tc>
          <w:tcPr>
            <w:tcW w:w="750" w:type="dxa"/>
            <w:tcBorders>
              <w:tl2br w:val="nil"/>
              <w:tr2bl w:val="nil"/>
            </w:tcBorders>
            <w:noWrap w:val="0"/>
            <w:tcMar>
              <w:top w:w="15" w:type="dxa"/>
              <w:left w:w="15" w:type="dxa"/>
              <w:right w:w="15" w:type="dxa"/>
            </w:tcMar>
            <w:vAlign w:val="center"/>
          </w:tcPr>
          <w:p w14:paraId="02D4A0D7">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1.67</w:t>
            </w:r>
          </w:p>
        </w:tc>
        <w:tc>
          <w:tcPr>
            <w:tcW w:w="990" w:type="dxa"/>
            <w:tcBorders>
              <w:tl2br w:val="nil"/>
              <w:tr2bl w:val="nil"/>
            </w:tcBorders>
            <w:noWrap w:val="0"/>
            <w:tcMar>
              <w:top w:w="15" w:type="dxa"/>
              <w:left w:w="15" w:type="dxa"/>
              <w:right w:w="15" w:type="dxa"/>
            </w:tcMar>
            <w:vAlign w:val="center"/>
          </w:tcPr>
          <w:p w14:paraId="7D338A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0.054</w:t>
            </w:r>
          </w:p>
        </w:tc>
        <w:tc>
          <w:tcPr>
            <w:tcW w:w="901" w:type="dxa"/>
            <w:tcBorders>
              <w:tl2br w:val="nil"/>
              <w:tr2bl w:val="nil"/>
            </w:tcBorders>
            <w:noWrap w:val="0"/>
            <w:tcMar>
              <w:top w:w="15" w:type="dxa"/>
              <w:left w:w="15" w:type="dxa"/>
              <w:right w:w="15" w:type="dxa"/>
            </w:tcMar>
            <w:vAlign w:val="center"/>
          </w:tcPr>
          <w:p w14:paraId="3C8518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1.01</w:t>
            </w:r>
          </w:p>
        </w:tc>
        <w:tc>
          <w:tcPr>
            <w:tcW w:w="1250" w:type="dxa"/>
            <w:tcBorders>
              <w:tl2br w:val="nil"/>
              <w:tr2bl w:val="nil"/>
            </w:tcBorders>
            <w:noWrap w:val="0"/>
            <w:tcMar>
              <w:top w:w="15" w:type="dxa"/>
              <w:left w:w="15" w:type="dxa"/>
              <w:right w:w="15" w:type="dxa"/>
            </w:tcMar>
            <w:vAlign w:val="center"/>
          </w:tcPr>
          <w:p w14:paraId="48F4EE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3.927</w:t>
            </w:r>
          </w:p>
        </w:tc>
        <w:tc>
          <w:tcPr>
            <w:tcW w:w="2367" w:type="dxa"/>
            <w:tcBorders>
              <w:tl2br w:val="nil"/>
              <w:tr2bl w:val="nil"/>
            </w:tcBorders>
            <w:noWrap w:val="0"/>
            <w:tcMar>
              <w:top w:w="15" w:type="dxa"/>
              <w:left w:w="15" w:type="dxa"/>
              <w:right w:w="15" w:type="dxa"/>
            </w:tcMar>
            <w:vAlign w:val="center"/>
          </w:tcPr>
          <w:p w14:paraId="0A72B3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氟化物0.308，</w:t>
            </w:r>
            <w:r>
              <w:rPr>
                <w:rFonts w:hint="eastAsia"/>
                <w:lang w:val="en-US" w:eastAsia="zh-CN"/>
              </w:rPr>
              <w:t>二噁英</w:t>
            </w:r>
            <w:r>
              <w:rPr>
                <w:rFonts w:hint="eastAsia" w:ascii="Times New Roman" w:hAnsi="Times New Roman" w:eastAsia="宋体" w:cs="Times New Roman"/>
                <w:i w:val="0"/>
                <w:iCs w:val="0"/>
                <w:color w:val="auto"/>
                <w:sz w:val="21"/>
                <w:szCs w:val="21"/>
                <w:u w:val="none"/>
                <w:lang w:val="en-US" w:eastAsia="zh-CN"/>
              </w:rPr>
              <w:t>1.138mgTEQ/a</w:t>
            </w:r>
          </w:p>
        </w:tc>
        <w:tc>
          <w:tcPr>
            <w:tcW w:w="1170" w:type="dxa"/>
            <w:tcBorders>
              <w:tl2br w:val="nil"/>
              <w:tr2bl w:val="nil"/>
            </w:tcBorders>
            <w:noWrap w:val="0"/>
            <w:tcMar>
              <w:top w:w="15" w:type="dxa"/>
              <w:left w:w="15" w:type="dxa"/>
              <w:right w:w="15" w:type="dxa"/>
            </w:tcMar>
            <w:vAlign w:val="center"/>
          </w:tcPr>
          <w:p w14:paraId="2BB01DB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240</w:t>
            </w:r>
          </w:p>
        </w:tc>
        <w:tc>
          <w:tcPr>
            <w:tcW w:w="1061" w:type="dxa"/>
            <w:tcBorders>
              <w:tl2br w:val="nil"/>
              <w:tr2bl w:val="nil"/>
            </w:tcBorders>
            <w:noWrap w:val="0"/>
            <w:tcMar>
              <w:top w:w="15" w:type="dxa"/>
              <w:left w:w="15" w:type="dxa"/>
              <w:right w:w="15" w:type="dxa"/>
            </w:tcMar>
            <w:vAlign w:val="center"/>
          </w:tcPr>
          <w:p w14:paraId="64DAE31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0.0072</w:t>
            </w:r>
          </w:p>
        </w:tc>
        <w:tc>
          <w:tcPr>
            <w:tcW w:w="953" w:type="dxa"/>
            <w:tcBorders>
              <w:tl2br w:val="nil"/>
              <w:tr2bl w:val="nil"/>
            </w:tcBorders>
            <w:noWrap w:val="0"/>
            <w:tcMar>
              <w:top w:w="15" w:type="dxa"/>
              <w:left w:w="15" w:type="dxa"/>
              <w:right w:w="15" w:type="dxa"/>
            </w:tcMar>
            <w:vAlign w:val="center"/>
          </w:tcPr>
          <w:p w14:paraId="3F59960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0.0004</w:t>
            </w:r>
          </w:p>
        </w:tc>
        <w:tc>
          <w:tcPr>
            <w:tcW w:w="1861" w:type="dxa"/>
            <w:tcBorders>
              <w:tl2br w:val="nil"/>
              <w:tr2bl w:val="nil"/>
            </w:tcBorders>
            <w:noWrap w:val="0"/>
            <w:tcMar>
              <w:top w:w="15" w:type="dxa"/>
              <w:left w:w="15" w:type="dxa"/>
              <w:right w:w="15" w:type="dxa"/>
            </w:tcMar>
            <w:vAlign w:val="center"/>
          </w:tcPr>
          <w:p w14:paraId="5B3707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4DF0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006B87D">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93</w:t>
            </w:r>
          </w:p>
        </w:tc>
        <w:tc>
          <w:tcPr>
            <w:tcW w:w="1526" w:type="dxa"/>
            <w:tcBorders>
              <w:tl2br w:val="nil"/>
              <w:tr2bl w:val="nil"/>
            </w:tcBorders>
            <w:noWrap w:val="0"/>
            <w:tcMar>
              <w:top w:w="15" w:type="dxa"/>
              <w:left w:w="15" w:type="dxa"/>
              <w:right w:w="15" w:type="dxa"/>
            </w:tcMar>
            <w:vAlign w:val="center"/>
          </w:tcPr>
          <w:p w14:paraId="62C68CC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汨罗市辉翔新材料有限公司</w:t>
            </w:r>
          </w:p>
        </w:tc>
        <w:tc>
          <w:tcPr>
            <w:tcW w:w="608" w:type="dxa"/>
            <w:tcBorders>
              <w:tl2br w:val="nil"/>
              <w:tr2bl w:val="nil"/>
            </w:tcBorders>
            <w:noWrap w:val="0"/>
            <w:tcMar>
              <w:top w:w="15" w:type="dxa"/>
              <w:left w:w="15" w:type="dxa"/>
              <w:right w:w="15" w:type="dxa"/>
            </w:tcMar>
            <w:vAlign w:val="center"/>
          </w:tcPr>
          <w:p w14:paraId="1559FA4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3652.25</w:t>
            </w:r>
          </w:p>
        </w:tc>
        <w:tc>
          <w:tcPr>
            <w:tcW w:w="750" w:type="dxa"/>
            <w:tcBorders>
              <w:tl2br w:val="nil"/>
              <w:tr2bl w:val="nil"/>
            </w:tcBorders>
            <w:noWrap w:val="0"/>
            <w:tcMar>
              <w:top w:w="15" w:type="dxa"/>
              <w:left w:w="15" w:type="dxa"/>
              <w:right w:w="15" w:type="dxa"/>
            </w:tcMar>
            <w:vAlign w:val="center"/>
          </w:tcPr>
          <w:p w14:paraId="1CBE7A4F">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990" w:type="dxa"/>
            <w:tcBorders>
              <w:tl2br w:val="nil"/>
              <w:tr2bl w:val="nil"/>
            </w:tcBorders>
            <w:noWrap w:val="0"/>
            <w:tcMar>
              <w:top w:w="15" w:type="dxa"/>
              <w:left w:w="15" w:type="dxa"/>
              <w:right w:w="15" w:type="dxa"/>
            </w:tcMar>
            <w:vAlign w:val="center"/>
          </w:tcPr>
          <w:p w14:paraId="09B759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1633F13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258AA5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2.579</w:t>
            </w:r>
          </w:p>
        </w:tc>
        <w:tc>
          <w:tcPr>
            <w:tcW w:w="2367" w:type="dxa"/>
            <w:tcBorders>
              <w:tl2br w:val="nil"/>
              <w:tr2bl w:val="nil"/>
            </w:tcBorders>
            <w:noWrap w:val="0"/>
            <w:tcMar>
              <w:top w:w="15" w:type="dxa"/>
              <w:left w:w="15" w:type="dxa"/>
              <w:right w:w="15" w:type="dxa"/>
            </w:tcMar>
            <w:vAlign w:val="center"/>
          </w:tcPr>
          <w:p w14:paraId="3E324A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08322BE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608</w:t>
            </w:r>
          </w:p>
        </w:tc>
        <w:tc>
          <w:tcPr>
            <w:tcW w:w="1061" w:type="dxa"/>
            <w:tcBorders>
              <w:tl2br w:val="nil"/>
              <w:tr2bl w:val="nil"/>
            </w:tcBorders>
            <w:noWrap w:val="0"/>
            <w:tcMar>
              <w:top w:w="15" w:type="dxa"/>
              <w:left w:w="15" w:type="dxa"/>
              <w:right w:w="15" w:type="dxa"/>
            </w:tcMar>
            <w:vAlign w:val="center"/>
          </w:tcPr>
          <w:p w14:paraId="7D2544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0.152</w:t>
            </w:r>
          </w:p>
        </w:tc>
        <w:tc>
          <w:tcPr>
            <w:tcW w:w="953" w:type="dxa"/>
            <w:tcBorders>
              <w:tl2br w:val="nil"/>
              <w:tr2bl w:val="nil"/>
            </w:tcBorders>
            <w:noWrap w:val="0"/>
            <w:tcMar>
              <w:top w:w="15" w:type="dxa"/>
              <w:left w:w="15" w:type="dxa"/>
              <w:right w:w="15" w:type="dxa"/>
            </w:tcMar>
            <w:vAlign w:val="center"/>
          </w:tcPr>
          <w:p w14:paraId="00F26C1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0.015</w:t>
            </w:r>
          </w:p>
        </w:tc>
        <w:tc>
          <w:tcPr>
            <w:tcW w:w="1861" w:type="dxa"/>
            <w:tcBorders>
              <w:tl2br w:val="nil"/>
              <w:tr2bl w:val="nil"/>
            </w:tcBorders>
            <w:noWrap w:val="0"/>
            <w:tcMar>
              <w:top w:w="15" w:type="dxa"/>
              <w:left w:w="15" w:type="dxa"/>
              <w:right w:w="15" w:type="dxa"/>
            </w:tcMar>
            <w:vAlign w:val="center"/>
          </w:tcPr>
          <w:p w14:paraId="4FEA4C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5E5351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0F8CFDE9">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94</w:t>
            </w:r>
          </w:p>
        </w:tc>
        <w:tc>
          <w:tcPr>
            <w:tcW w:w="1526" w:type="dxa"/>
            <w:tcBorders>
              <w:tl2br w:val="nil"/>
              <w:tr2bl w:val="nil"/>
            </w:tcBorders>
            <w:noWrap w:val="0"/>
            <w:tcMar>
              <w:top w:w="15" w:type="dxa"/>
              <w:left w:w="15" w:type="dxa"/>
              <w:right w:w="15" w:type="dxa"/>
            </w:tcMar>
            <w:vAlign w:val="center"/>
          </w:tcPr>
          <w:p w14:paraId="2F06484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snapToGrid w:val="0"/>
                <w:color w:val="auto"/>
                <w:kern w:val="0"/>
                <w:sz w:val="21"/>
                <w:szCs w:val="21"/>
                <w:u w:val="none" w:color="auto"/>
                <w:lang w:val="en-US" w:eastAsia="zh-CN" w:bidi="ar"/>
              </w:rPr>
            </w:pPr>
            <w:r>
              <w:rPr>
                <w:rFonts w:hint="eastAsia" w:ascii="Times New Roman" w:hAnsi="Times New Roman" w:eastAsia="宋体" w:cs="Times New Roman"/>
                <w:i w:val="0"/>
                <w:snapToGrid w:val="0"/>
                <w:color w:val="auto"/>
                <w:kern w:val="0"/>
                <w:sz w:val="21"/>
                <w:szCs w:val="21"/>
                <w:u w:val="none" w:color="auto"/>
                <w:lang w:val="en-US" w:eastAsia="zh-CN" w:bidi="ar"/>
              </w:rPr>
              <w:t>湖南国耳生物科技有限公司</w:t>
            </w:r>
          </w:p>
        </w:tc>
        <w:tc>
          <w:tcPr>
            <w:tcW w:w="608" w:type="dxa"/>
            <w:tcBorders>
              <w:tl2br w:val="nil"/>
              <w:tr2bl w:val="nil"/>
            </w:tcBorders>
            <w:noWrap w:val="0"/>
            <w:tcMar>
              <w:top w:w="15" w:type="dxa"/>
              <w:left w:w="15" w:type="dxa"/>
              <w:right w:w="15" w:type="dxa"/>
            </w:tcMar>
            <w:vAlign w:val="center"/>
          </w:tcPr>
          <w:p w14:paraId="10EC3AA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46667</w:t>
            </w:r>
          </w:p>
        </w:tc>
        <w:tc>
          <w:tcPr>
            <w:tcW w:w="750" w:type="dxa"/>
            <w:tcBorders>
              <w:tl2br w:val="nil"/>
              <w:tr2bl w:val="nil"/>
            </w:tcBorders>
            <w:noWrap w:val="0"/>
            <w:tcMar>
              <w:top w:w="15" w:type="dxa"/>
              <w:left w:w="15" w:type="dxa"/>
              <w:right w:w="15" w:type="dxa"/>
            </w:tcMar>
            <w:vAlign w:val="center"/>
          </w:tcPr>
          <w:p w14:paraId="43C55903">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1.564</w:t>
            </w:r>
          </w:p>
        </w:tc>
        <w:tc>
          <w:tcPr>
            <w:tcW w:w="990" w:type="dxa"/>
            <w:tcBorders>
              <w:tl2br w:val="nil"/>
              <w:tr2bl w:val="nil"/>
            </w:tcBorders>
            <w:noWrap w:val="0"/>
            <w:tcMar>
              <w:top w:w="15" w:type="dxa"/>
              <w:left w:w="15" w:type="dxa"/>
              <w:right w:w="15" w:type="dxa"/>
            </w:tcMar>
            <w:vAlign w:val="center"/>
          </w:tcPr>
          <w:p w14:paraId="6C5ACB1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0.3345</w:t>
            </w:r>
          </w:p>
        </w:tc>
        <w:tc>
          <w:tcPr>
            <w:tcW w:w="901" w:type="dxa"/>
            <w:tcBorders>
              <w:tl2br w:val="nil"/>
              <w:tr2bl w:val="nil"/>
            </w:tcBorders>
            <w:noWrap w:val="0"/>
            <w:tcMar>
              <w:top w:w="15" w:type="dxa"/>
              <w:left w:w="15" w:type="dxa"/>
              <w:right w:w="15" w:type="dxa"/>
            </w:tcMar>
            <w:vAlign w:val="center"/>
          </w:tcPr>
          <w:p w14:paraId="2EE20B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5.777</w:t>
            </w:r>
          </w:p>
        </w:tc>
        <w:tc>
          <w:tcPr>
            <w:tcW w:w="1250" w:type="dxa"/>
            <w:tcBorders>
              <w:tl2br w:val="nil"/>
              <w:tr2bl w:val="nil"/>
            </w:tcBorders>
            <w:noWrap w:val="0"/>
            <w:tcMar>
              <w:top w:w="15" w:type="dxa"/>
              <w:left w:w="15" w:type="dxa"/>
              <w:right w:w="15" w:type="dxa"/>
            </w:tcMar>
            <w:vAlign w:val="center"/>
          </w:tcPr>
          <w:p w14:paraId="35B88A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w:t>
            </w:r>
          </w:p>
        </w:tc>
        <w:tc>
          <w:tcPr>
            <w:tcW w:w="2367" w:type="dxa"/>
            <w:tcBorders>
              <w:tl2br w:val="nil"/>
              <w:tr2bl w:val="nil"/>
            </w:tcBorders>
            <w:noWrap w:val="0"/>
            <w:tcMar>
              <w:top w:w="15" w:type="dxa"/>
              <w:left w:w="15" w:type="dxa"/>
              <w:right w:w="15" w:type="dxa"/>
            </w:tcMar>
            <w:vAlign w:val="center"/>
          </w:tcPr>
          <w:p w14:paraId="02A77DC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04EB207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3860.26</w:t>
            </w:r>
          </w:p>
        </w:tc>
        <w:tc>
          <w:tcPr>
            <w:tcW w:w="1061" w:type="dxa"/>
            <w:tcBorders>
              <w:tl2br w:val="nil"/>
              <w:tr2bl w:val="nil"/>
            </w:tcBorders>
            <w:noWrap w:val="0"/>
            <w:tcMar>
              <w:top w:w="15" w:type="dxa"/>
              <w:left w:w="15" w:type="dxa"/>
              <w:right w:w="15" w:type="dxa"/>
            </w:tcMar>
            <w:vAlign w:val="center"/>
          </w:tcPr>
          <w:p w14:paraId="6E64B93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0.202</w:t>
            </w:r>
          </w:p>
        </w:tc>
        <w:tc>
          <w:tcPr>
            <w:tcW w:w="953" w:type="dxa"/>
            <w:tcBorders>
              <w:tl2br w:val="nil"/>
              <w:tr2bl w:val="nil"/>
            </w:tcBorders>
            <w:noWrap w:val="0"/>
            <w:tcMar>
              <w:top w:w="15" w:type="dxa"/>
              <w:left w:w="15" w:type="dxa"/>
              <w:right w:w="15" w:type="dxa"/>
            </w:tcMar>
            <w:vAlign w:val="center"/>
          </w:tcPr>
          <w:p w14:paraId="08F40CE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0.0205</w:t>
            </w:r>
          </w:p>
        </w:tc>
        <w:tc>
          <w:tcPr>
            <w:tcW w:w="1861" w:type="dxa"/>
            <w:tcBorders>
              <w:tl2br w:val="nil"/>
              <w:tr2bl w:val="nil"/>
            </w:tcBorders>
            <w:noWrap w:val="0"/>
            <w:tcMar>
              <w:top w:w="15" w:type="dxa"/>
              <w:left w:w="15" w:type="dxa"/>
              <w:right w:w="15" w:type="dxa"/>
            </w:tcMar>
            <w:vAlign w:val="center"/>
          </w:tcPr>
          <w:p w14:paraId="51D9E6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AD102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7697A88">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95</w:t>
            </w:r>
          </w:p>
        </w:tc>
        <w:tc>
          <w:tcPr>
            <w:tcW w:w="1526" w:type="dxa"/>
            <w:tcBorders>
              <w:tl2br w:val="nil"/>
              <w:tr2bl w:val="nil"/>
            </w:tcBorders>
            <w:noWrap w:val="0"/>
            <w:tcMar>
              <w:top w:w="15" w:type="dxa"/>
              <w:left w:w="15" w:type="dxa"/>
              <w:right w:w="15" w:type="dxa"/>
            </w:tcMar>
            <w:vAlign w:val="center"/>
          </w:tcPr>
          <w:p w14:paraId="26A109CA">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ar-SA"/>
              </w:rPr>
            </w:pPr>
            <w:r>
              <w:rPr>
                <w:rFonts w:hint="eastAsia"/>
              </w:rPr>
              <w:t>湖南省广盛新材料有限公司</w:t>
            </w:r>
          </w:p>
        </w:tc>
        <w:tc>
          <w:tcPr>
            <w:tcW w:w="608" w:type="dxa"/>
            <w:tcBorders>
              <w:tl2br w:val="nil"/>
              <w:tr2bl w:val="nil"/>
            </w:tcBorders>
            <w:noWrap w:val="0"/>
            <w:tcMar>
              <w:top w:w="15" w:type="dxa"/>
              <w:left w:w="15" w:type="dxa"/>
              <w:right w:w="15" w:type="dxa"/>
            </w:tcMar>
            <w:vAlign w:val="center"/>
          </w:tcPr>
          <w:p w14:paraId="21B3B2C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4500</w:t>
            </w:r>
          </w:p>
        </w:tc>
        <w:tc>
          <w:tcPr>
            <w:tcW w:w="750" w:type="dxa"/>
            <w:tcBorders>
              <w:tl2br w:val="nil"/>
              <w:tr2bl w:val="nil"/>
            </w:tcBorders>
            <w:noWrap w:val="0"/>
            <w:tcMar>
              <w:top w:w="15" w:type="dxa"/>
              <w:left w:w="15" w:type="dxa"/>
              <w:right w:w="15" w:type="dxa"/>
            </w:tcMar>
            <w:vAlign w:val="center"/>
          </w:tcPr>
          <w:p w14:paraId="01C16447">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0.277</w:t>
            </w:r>
          </w:p>
        </w:tc>
        <w:tc>
          <w:tcPr>
            <w:tcW w:w="990" w:type="dxa"/>
            <w:tcBorders>
              <w:tl2br w:val="nil"/>
              <w:tr2bl w:val="nil"/>
            </w:tcBorders>
            <w:noWrap w:val="0"/>
            <w:tcMar>
              <w:top w:w="15" w:type="dxa"/>
              <w:left w:w="15" w:type="dxa"/>
              <w:right w:w="15" w:type="dxa"/>
            </w:tcMar>
            <w:vAlign w:val="center"/>
          </w:tcPr>
          <w:p w14:paraId="6508F72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3071D87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3059B0F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0.3069</w:t>
            </w:r>
          </w:p>
        </w:tc>
        <w:tc>
          <w:tcPr>
            <w:tcW w:w="2367" w:type="dxa"/>
            <w:tcBorders>
              <w:tl2br w:val="nil"/>
              <w:tr2bl w:val="nil"/>
            </w:tcBorders>
            <w:noWrap w:val="0"/>
            <w:tcMar>
              <w:top w:w="15" w:type="dxa"/>
              <w:left w:w="15" w:type="dxa"/>
              <w:right w:w="15" w:type="dxa"/>
            </w:tcMar>
            <w:vAlign w:val="center"/>
          </w:tcPr>
          <w:p w14:paraId="44E612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氯化氢0.02，氯乙烯0.0236</w:t>
            </w:r>
          </w:p>
        </w:tc>
        <w:tc>
          <w:tcPr>
            <w:tcW w:w="1170" w:type="dxa"/>
            <w:tcBorders>
              <w:tl2br w:val="nil"/>
              <w:tr2bl w:val="nil"/>
            </w:tcBorders>
            <w:noWrap w:val="0"/>
            <w:tcMar>
              <w:top w:w="15" w:type="dxa"/>
              <w:left w:w="15" w:type="dxa"/>
              <w:right w:w="15" w:type="dxa"/>
            </w:tcMar>
            <w:vAlign w:val="center"/>
          </w:tcPr>
          <w:p w14:paraId="0B9F767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1034.4</w:t>
            </w:r>
          </w:p>
        </w:tc>
        <w:tc>
          <w:tcPr>
            <w:tcW w:w="1061" w:type="dxa"/>
            <w:tcBorders>
              <w:tl2br w:val="nil"/>
              <w:tr2bl w:val="nil"/>
            </w:tcBorders>
            <w:noWrap w:val="0"/>
            <w:tcMar>
              <w:top w:w="15" w:type="dxa"/>
              <w:left w:w="15" w:type="dxa"/>
              <w:right w:w="15" w:type="dxa"/>
            </w:tcMar>
            <w:vAlign w:val="center"/>
          </w:tcPr>
          <w:p w14:paraId="44E1D5B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0.211</w:t>
            </w:r>
          </w:p>
        </w:tc>
        <w:tc>
          <w:tcPr>
            <w:tcW w:w="953" w:type="dxa"/>
            <w:tcBorders>
              <w:tl2br w:val="nil"/>
              <w:tr2bl w:val="nil"/>
            </w:tcBorders>
            <w:noWrap w:val="0"/>
            <w:tcMar>
              <w:top w:w="15" w:type="dxa"/>
              <w:left w:w="15" w:type="dxa"/>
              <w:right w:w="15" w:type="dxa"/>
            </w:tcMar>
            <w:vAlign w:val="center"/>
          </w:tcPr>
          <w:p w14:paraId="5DEB4CD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0.021</w:t>
            </w:r>
          </w:p>
        </w:tc>
        <w:tc>
          <w:tcPr>
            <w:tcW w:w="1861" w:type="dxa"/>
            <w:tcBorders>
              <w:tl2br w:val="nil"/>
              <w:tr2bl w:val="nil"/>
            </w:tcBorders>
            <w:noWrap w:val="0"/>
            <w:tcMar>
              <w:top w:w="15" w:type="dxa"/>
              <w:left w:w="15" w:type="dxa"/>
              <w:right w:w="15" w:type="dxa"/>
            </w:tcMar>
            <w:vAlign w:val="center"/>
          </w:tcPr>
          <w:p w14:paraId="584877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10CE4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59A0D1E9">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96</w:t>
            </w:r>
          </w:p>
        </w:tc>
        <w:tc>
          <w:tcPr>
            <w:tcW w:w="1526" w:type="dxa"/>
            <w:tcBorders>
              <w:tl2br w:val="nil"/>
              <w:tr2bl w:val="nil"/>
            </w:tcBorders>
            <w:noWrap w:val="0"/>
            <w:tcMar>
              <w:top w:w="15" w:type="dxa"/>
              <w:left w:w="15" w:type="dxa"/>
              <w:right w:w="15" w:type="dxa"/>
            </w:tcMar>
            <w:vAlign w:val="center"/>
          </w:tcPr>
          <w:p w14:paraId="19E3A9BC">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ar-SA"/>
              </w:rPr>
            </w:pPr>
            <w:r>
              <w:rPr>
                <w:rFonts w:hint="eastAsia"/>
              </w:rPr>
              <w:t>湖南纽英其新能源科技有限公司</w:t>
            </w:r>
          </w:p>
        </w:tc>
        <w:tc>
          <w:tcPr>
            <w:tcW w:w="608" w:type="dxa"/>
            <w:tcBorders>
              <w:tl2br w:val="nil"/>
              <w:tr2bl w:val="nil"/>
            </w:tcBorders>
            <w:noWrap w:val="0"/>
            <w:tcMar>
              <w:top w:w="15" w:type="dxa"/>
              <w:left w:w="15" w:type="dxa"/>
              <w:right w:w="15" w:type="dxa"/>
            </w:tcMar>
            <w:vAlign w:val="center"/>
          </w:tcPr>
          <w:p w14:paraId="16E161C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8724</w:t>
            </w:r>
          </w:p>
        </w:tc>
        <w:tc>
          <w:tcPr>
            <w:tcW w:w="750" w:type="dxa"/>
            <w:tcBorders>
              <w:tl2br w:val="nil"/>
              <w:tr2bl w:val="nil"/>
            </w:tcBorders>
            <w:noWrap w:val="0"/>
            <w:tcMar>
              <w:top w:w="15" w:type="dxa"/>
              <w:left w:w="15" w:type="dxa"/>
              <w:right w:w="15" w:type="dxa"/>
            </w:tcMar>
            <w:vAlign w:val="center"/>
          </w:tcPr>
          <w:p w14:paraId="5B76A03D">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0.005148</w:t>
            </w:r>
          </w:p>
        </w:tc>
        <w:tc>
          <w:tcPr>
            <w:tcW w:w="990" w:type="dxa"/>
            <w:tcBorders>
              <w:tl2br w:val="nil"/>
              <w:tr2bl w:val="nil"/>
            </w:tcBorders>
            <w:noWrap w:val="0"/>
            <w:tcMar>
              <w:top w:w="15" w:type="dxa"/>
              <w:left w:w="15" w:type="dxa"/>
              <w:right w:w="15" w:type="dxa"/>
            </w:tcMar>
            <w:vAlign w:val="center"/>
          </w:tcPr>
          <w:p w14:paraId="7859BB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0.0036</w:t>
            </w:r>
          </w:p>
        </w:tc>
        <w:tc>
          <w:tcPr>
            <w:tcW w:w="901" w:type="dxa"/>
            <w:tcBorders>
              <w:tl2br w:val="nil"/>
              <w:tr2bl w:val="nil"/>
            </w:tcBorders>
            <w:noWrap w:val="0"/>
            <w:tcMar>
              <w:top w:w="15" w:type="dxa"/>
              <w:left w:w="15" w:type="dxa"/>
              <w:right w:w="15" w:type="dxa"/>
            </w:tcMar>
            <w:vAlign w:val="center"/>
          </w:tcPr>
          <w:p w14:paraId="0545B0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0.03366</w:t>
            </w:r>
          </w:p>
        </w:tc>
        <w:tc>
          <w:tcPr>
            <w:tcW w:w="1250" w:type="dxa"/>
            <w:tcBorders>
              <w:tl2br w:val="nil"/>
              <w:tr2bl w:val="nil"/>
            </w:tcBorders>
            <w:noWrap w:val="0"/>
            <w:tcMar>
              <w:top w:w="15" w:type="dxa"/>
              <w:left w:w="15" w:type="dxa"/>
              <w:right w:w="15" w:type="dxa"/>
            </w:tcMar>
            <w:vAlign w:val="center"/>
          </w:tcPr>
          <w:p w14:paraId="1117A48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0.5325676</w:t>
            </w:r>
          </w:p>
        </w:tc>
        <w:tc>
          <w:tcPr>
            <w:tcW w:w="2367" w:type="dxa"/>
            <w:tcBorders>
              <w:tl2br w:val="nil"/>
              <w:tr2bl w:val="nil"/>
            </w:tcBorders>
            <w:noWrap w:val="0"/>
            <w:tcMar>
              <w:top w:w="15" w:type="dxa"/>
              <w:left w:w="15" w:type="dxa"/>
              <w:right w:w="15" w:type="dxa"/>
            </w:tcMar>
            <w:vAlign w:val="center"/>
          </w:tcPr>
          <w:p w14:paraId="58F318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27A9E47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900</w:t>
            </w:r>
          </w:p>
        </w:tc>
        <w:tc>
          <w:tcPr>
            <w:tcW w:w="1061" w:type="dxa"/>
            <w:tcBorders>
              <w:tl2br w:val="nil"/>
              <w:tr2bl w:val="nil"/>
            </w:tcBorders>
            <w:noWrap w:val="0"/>
            <w:tcMar>
              <w:top w:w="15" w:type="dxa"/>
              <w:left w:w="15" w:type="dxa"/>
              <w:right w:w="15" w:type="dxa"/>
            </w:tcMar>
            <w:vAlign w:val="center"/>
          </w:tcPr>
          <w:p w14:paraId="24857F4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0.189</w:t>
            </w:r>
          </w:p>
        </w:tc>
        <w:tc>
          <w:tcPr>
            <w:tcW w:w="953" w:type="dxa"/>
            <w:tcBorders>
              <w:tl2br w:val="nil"/>
              <w:tr2bl w:val="nil"/>
            </w:tcBorders>
            <w:noWrap w:val="0"/>
            <w:tcMar>
              <w:top w:w="15" w:type="dxa"/>
              <w:left w:w="15" w:type="dxa"/>
              <w:right w:w="15" w:type="dxa"/>
            </w:tcMar>
            <w:vAlign w:val="center"/>
          </w:tcPr>
          <w:p w14:paraId="4FE5EB2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0.0216</w:t>
            </w:r>
          </w:p>
        </w:tc>
        <w:tc>
          <w:tcPr>
            <w:tcW w:w="1861" w:type="dxa"/>
            <w:tcBorders>
              <w:tl2br w:val="nil"/>
              <w:tr2bl w:val="nil"/>
            </w:tcBorders>
            <w:noWrap w:val="0"/>
            <w:tcMar>
              <w:top w:w="15" w:type="dxa"/>
              <w:left w:w="15" w:type="dxa"/>
              <w:right w:w="15" w:type="dxa"/>
            </w:tcMar>
            <w:vAlign w:val="center"/>
          </w:tcPr>
          <w:p w14:paraId="50D4EC2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249D6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7B65088F">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97</w:t>
            </w:r>
          </w:p>
        </w:tc>
        <w:tc>
          <w:tcPr>
            <w:tcW w:w="1526" w:type="dxa"/>
            <w:tcBorders>
              <w:tl2br w:val="nil"/>
              <w:tr2bl w:val="nil"/>
            </w:tcBorders>
            <w:noWrap w:val="0"/>
            <w:tcMar>
              <w:top w:w="15" w:type="dxa"/>
              <w:left w:w="15" w:type="dxa"/>
              <w:right w:w="15" w:type="dxa"/>
            </w:tcMar>
            <w:vAlign w:val="center"/>
          </w:tcPr>
          <w:p w14:paraId="7F76D476">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ar-SA"/>
              </w:rPr>
            </w:pPr>
            <w:r>
              <w:rPr>
                <w:rFonts w:hint="eastAsia"/>
              </w:rPr>
              <w:t>湖南海德朗电力设备有限公司</w:t>
            </w:r>
          </w:p>
        </w:tc>
        <w:tc>
          <w:tcPr>
            <w:tcW w:w="608" w:type="dxa"/>
            <w:tcBorders>
              <w:tl2br w:val="nil"/>
              <w:tr2bl w:val="nil"/>
            </w:tcBorders>
            <w:noWrap w:val="0"/>
            <w:tcMar>
              <w:top w:w="15" w:type="dxa"/>
              <w:left w:w="15" w:type="dxa"/>
              <w:right w:w="15" w:type="dxa"/>
            </w:tcMar>
            <w:vAlign w:val="center"/>
          </w:tcPr>
          <w:p w14:paraId="3581AED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9560</w:t>
            </w:r>
          </w:p>
        </w:tc>
        <w:tc>
          <w:tcPr>
            <w:tcW w:w="750" w:type="dxa"/>
            <w:tcBorders>
              <w:tl2br w:val="nil"/>
              <w:tr2bl w:val="nil"/>
            </w:tcBorders>
            <w:noWrap w:val="0"/>
            <w:tcMar>
              <w:top w:w="15" w:type="dxa"/>
              <w:left w:w="15" w:type="dxa"/>
              <w:right w:w="15" w:type="dxa"/>
            </w:tcMar>
            <w:vAlign w:val="center"/>
          </w:tcPr>
          <w:p w14:paraId="4CA02882">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0.018</w:t>
            </w:r>
          </w:p>
        </w:tc>
        <w:tc>
          <w:tcPr>
            <w:tcW w:w="990" w:type="dxa"/>
            <w:tcBorders>
              <w:tl2br w:val="nil"/>
              <w:tr2bl w:val="nil"/>
            </w:tcBorders>
            <w:noWrap w:val="0"/>
            <w:tcMar>
              <w:top w:w="15" w:type="dxa"/>
              <w:left w:w="15" w:type="dxa"/>
              <w:right w:w="15" w:type="dxa"/>
            </w:tcMar>
            <w:vAlign w:val="center"/>
          </w:tcPr>
          <w:p w14:paraId="292212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0.00013</w:t>
            </w:r>
          </w:p>
        </w:tc>
        <w:tc>
          <w:tcPr>
            <w:tcW w:w="901" w:type="dxa"/>
            <w:tcBorders>
              <w:tl2br w:val="nil"/>
              <w:tr2bl w:val="nil"/>
            </w:tcBorders>
            <w:noWrap w:val="0"/>
            <w:tcMar>
              <w:top w:w="15" w:type="dxa"/>
              <w:left w:w="15" w:type="dxa"/>
              <w:right w:w="15" w:type="dxa"/>
            </w:tcMar>
            <w:vAlign w:val="center"/>
          </w:tcPr>
          <w:p w14:paraId="1EF35DD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0.118</w:t>
            </w:r>
          </w:p>
        </w:tc>
        <w:tc>
          <w:tcPr>
            <w:tcW w:w="1250" w:type="dxa"/>
            <w:tcBorders>
              <w:tl2br w:val="nil"/>
              <w:tr2bl w:val="nil"/>
            </w:tcBorders>
            <w:noWrap w:val="0"/>
            <w:tcMar>
              <w:top w:w="15" w:type="dxa"/>
              <w:left w:w="15" w:type="dxa"/>
              <w:right w:w="15" w:type="dxa"/>
            </w:tcMar>
            <w:vAlign w:val="center"/>
          </w:tcPr>
          <w:p w14:paraId="3F8E9EB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0.0022</w:t>
            </w:r>
          </w:p>
        </w:tc>
        <w:tc>
          <w:tcPr>
            <w:tcW w:w="2367" w:type="dxa"/>
            <w:tcBorders>
              <w:tl2br w:val="nil"/>
              <w:tr2bl w:val="nil"/>
            </w:tcBorders>
            <w:noWrap w:val="0"/>
            <w:tcMar>
              <w:top w:w="15" w:type="dxa"/>
              <w:left w:w="15" w:type="dxa"/>
              <w:right w:w="15" w:type="dxa"/>
            </w:tcMar>
            <w:vAlign w:val="center"/>
          </w:tcPr>
          <w:p w14:paraId="073EC9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170" w:type="dxa"/>
            <w:tcBorders>
              <w:tl2br w:val="nil"/>
              <w:tr2bl w:val="nil"/>
            </w:tcBorders>
            <w:noWrap w:val="0"/>
            <w:tcMar>
              <w:top w:w="15" w:type="dxa"/>
              <w:left w:w="15" w:type="dxa"/>
              <w:right w:w="15" w:type="dxa"/>
            </w:tcMar>
            <w:vAlign w:val="center"/>
          </w:tcPr>
          <w:p w14:paraId="0DEC1E0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216</w:t>
            </w:r>
          </w:p>
        </w:tc>
        <w:tc>
          <w:tcPr>
            <w:tcW w:w="1061" w:type="dxa"/>
            <w:tcBorders>
              <w:tl2br w:val="nil"/>
              <w:tr2bl w:val="nil"/>
            </w:tcBorders>
            <w:noWrap w:val="0"/>
            <w:tcMar>
              <w:top w:w="15" w:type="dxa"/>
              <w:left w:w="15" w:type="dxa"/>
              <w:right w:w="15" w:type="dxa"/>
            </w:tcMar>
            <w:vAlign w:val="center"/>
          </w:tcPr>
          <w:p w14:paraId="0653117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0.0432</w:t>
            </w:r>
          </w:p>
        </w:tc>
        <w:tc>
          <w:tcPr>
            <w:tcW w:w="953" w:type="dxa"/>
            <w:tcBorders>
              <w:tl2br w:val="nil"/>
              <w:tr2bl w:val="nil"/>
            </w:tcBorders>
            <w:noWrap w:val="0"/>
            <w:tcMar>
              <w:top w:w="15" w:type="dxa"/>
              <w:left w:w="15" w:type="dxa"/>
              <w:right w:w="15" w:type="dxa"/>
            </w:tcMar>
            <w:vAlign w:val="center"/>
          </w:tcPr>
          <w:p w14:paraId="2346E69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0.0043</w:t>
            </w:r>
          </w:p>
        </w:tc>
        <w:tc>
          <w:tcPr>
            <w:tcW w:w="1861" w:type="dxa"/>
            <w:tcBorders>
              <w:tl2br w:val="nil"/>
              <w:tr2bl w:val="nil"/>
            </w:tcBorders>
            <w:noWrap w:val="0"/>
            <w:tcMar>
              <w:top w:w="15" w:type="dxa"/>
              <w:left w:w="15" w:type="dxa"/>
              <w:right w:w="15" w:type="dxa"/>
            </w:tcMar>
            <w:vAlign w:val="center"/>
          </w:tcPr>
          <w:p w14:paraId="749572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6E74E6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34287ABA">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98</w:t>
            </w:r>
          </w:p>
        </w:tc>
        <w:tc>
          <w:tcPr>
            <w:tcW w:w="1526" w:type="dxa"/>
            <w:tcBorders>
              <w:tl2br w:val="nil"/>
              <w:tr2bl w:val="nil"/>
            </w:tcBorders>
            <w:noWrap w:val="0"/>
            <w:tcMar>
              <w:top w:w="15" w:type="dxa"/>
              <w:left w:w="15" w:type="dxa"/>
              <w:right w:w="15" w:type="dxa"/>
            </w:tcMar>
            <w:vAlign w:val="center"/>
          </w:tcPr>
          <w:p w14:paraId="46FD70C3">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ar-SA"/>
              </w:rPr>
            </w:pPr>
            <w:r>
              <w:rPr>
                <w:rFonts w:hint="eastAsia"/>
              </w:rPr>
              <w:t>湖南创科电线电缆有限公司</w:t>
            </w:r>
          </w:p>
        </w:tc>
        <w:tc>
          <w:tcPr>
            <w:tcW w:w="608" w:type="dxa"/>
            <w:tcBorders>
              <w:tl2br w:val="nil"/>
              <w:tr2bl w:val="nil"/>
            </w:tcBorders>
            <w:noWrap w:val="0"/>
            <w:tcMar>
              <w:top w:w="15" w:type="dxa"/>
              <w:left w:w="15" w:type="dxa"/>
              <w:right w:w="15" w:type="dxa"/>
            </w:tcMar>
            <w:vAlign w:val="center"/>
          </w:tcPr>
          <w:p w14:paraId="710B26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6100</w:t>
            </w:r>
          </w:p>
        </w:tc>
        <w:tc>
          <w:tcPr>
            <w:tcW w:w="750" w:type="dxa"/>
            <w:tcBorders>
              <w:tl2br w:val="nil"/>
              <w:tr2bl w:val="nil"/>
            </w:tcBorders>
            <w:noWrap w:val="0"/>
            <w:tcMar>
              <w:top w:w="15" w:type="dxa"/>
              <w:left w:w="15" w:type="dxa"/>
              <w:right w:w="15" w:type="dxa"/>
            </w:tcMar>
            <w:vAlign w:val="center"/>
          </w:tcPr>
          <w:p w14:paraId="01492F1F">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0.0677</w:t>
            </w:r>
          </w:p>
        </w:tc>
        <w:tc>
          <w:tcPr>
            <w:tcW w:w="990" w:type="dxa"/>
            <w:tcBorders>
              <w:tl2br w:val="nil"/>
              <w:tr2bl w:val="nil"/>
            </w:tcBorders>
            <w:noWrap w:val="0"/>
            <w:tcMar>
              <w:top w:w="15" w:type="dxa"/>
              <w:left w:w="15" w:type="dxa"/>
              <w:right w:w="15" w:type="dxa"/>
            </w:tcMar>
            <w:vAlign w:val="center"/>
          </w:tcPr>
          <w:p w14:paraId="00496C2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901" w:type="dxa"/>
            <w:tcBorders>
              <w:tl2br w:val="nil"/>
              <w:tr2bl w:val="nil"/>
            </w:tcBorders>
            <w:noWrap w:val="0"/>
            <w:tcMar>
              <w:top w:w="15" w:type="dxa"/>
              <w:left w:w="15" w:type="dxa"/>
              <w:right w:w="15" w:type="dxa"/>
            </w:tcMar>
            <w:vAlign w:val="center"/>
          </w:tcPr>
          <w:p w14:paraId="6C13C0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c>
          <w:tcPr>
            <w:tcW w:w="1250" w:type="dxa"/>
            <w:tcBorders>
              <w:tl2br w:val="nil"/>
              <w:tr2bl w:val="nil"/>
            </w:tcBorders>
            <w:noWrap w:val="0"/>
            <w:tcMar>
              <w:top w:w="15" w:type="dxa"/>
              <w:left w:w="15" w:type="dxa"/>
              <w:right w:w="15" w:type="dxa"/>
            </w:tcMar>
            <w:vAlign w:val="center"/>
          </w:tcPr>
          <w:p w14:paraId="0DD8F7A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2.4272</w:t>
            </w:r>
          </w:p>
        </w:tc>
        <w:tc>
          <w:tcPr>
            <w:tcW w:w="2367" w:type="dxa"/>
            <w:tcBorders>
              <w:tl2br w:val="nil"/>
              <w:tr2bl w:val="nil"/>
            </w:tcBorders>
            <w:noWrap w:val="0"/>
            <w:tcMar>
              <w:top w:w="15" w:type="dxa"/>
              <w:left w:w="15" w:type="dxa"/>
              <w:right w:w="15" w:type="dxa"/>
            </w:tcMar>
            <w:vAlign w:val="center"/>
          </w:tcPr>
          <w:p w14:paraId="20C0B23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氯化氢0.002304，氯乙烯0.01906</w:t>
            </w:r>
          </w:p>
        </w:tc>
        <w:tc>
          <w:tcPr>
            <w:tcW w:w="1170" w:type="dxa"/>
            <w:tcBorders>
              <w:tl2br w:val="nil"/>
              <w:tr2bl w:val="nil"/>
            </w:tcBorders>
            <w:noWrap w:val="0"/>
            <w:tcMar>
              <w:top w:w="15" w:type="dxa"/>
              <w:left w:w="15" w:type="dxa"/>
              <w:right w:w="15" w:type="dxa"/>
            </w:tcMar>
            <w:vAlign w:val="center"/>
          </w:tcPr>
          <w:p w14:paraId="562DE7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432</w:t>
            </w:r>
          </w:p>
        </w:tc>
        <w:tc>
          <w:tcPr>
            <w:tcW w:w="1061" w:type="dxa"/>
            <w:tcBorders>
              <w:tl2br w:val="nil"/>
              <w:tr2bl w:val="nil"/>
            </w:tcBorders>
            <w:noWrap w:val="0"/>
            <w:tcMar>
              <w:top w:w="15" w:type="dxa"/>
              <w:left w:w="15" w:type="dxa"/>
              <w:right w:w="15" w:type="dxa"/>
            </w:tcMar>
            <w:vAlign w:val="center"/>
          </w:tcPr>
          <w:p w14:paraId="7B2440C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0.0864</w:t>
            </w:r>
          </w:p>
        </w:tc>
        <w:tc>
          <w:tcPr>
            <w:tcW w:w="953" w:type="dxa"/>
            <w:tcBorders>
              <w:tl2br w:val="nil"/>
              <w:tr2bl w:val="nil"/>
            </w:tcBorders>
            <w:noWrap w:val="0"/>
            <w:tcMar>
              <w:top w:w="15" w:type="dxa"/>
              <w:left w:w="15" w:type="dxa"/>
              <w:right w:w="15" w:type="dxa"/>
            </w:tcMar>
            <w:vAlign w:val="center"/>
          </w:tcPr>
          <w:p w14:paraId="79F36C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0.0086</w:t>
            </w:r>
          </w:p>
        </w:tc>
        <w:tc>
          <w:tcPr>
            <w:tcW w:w="1861" w:type="dxa"/>
            <w:tcBorders>
              <w:tl2br w:val="nil"/>
              <w:tr2bl w:val="nil"/>
            </w:tcBorders>
            <w:noWrap w:val="0"/>
            <w:tcMar>
              <w:top w:w="15" w:type="dxa"/>
              <w:left w:w="15" w:type="dxa"/>
              <w:right w:w="15" w:type="dxa"/>
            </w:tcMar>
            <w:vAlign w:val="center"/>
          </w:tcPr>
          <w:p w14:paraId="001CB3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r w14:paraId="724E13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551" w:type="dxa"/>
            <w:tcBorders>
              <w:tl2br w:val="nil"/>
              <w:tr2bl w:val="nil"/>
            </w:tcBorders>
            <w:noWrap w:val="0"/>
            <w:tcMar>
              <w:top w:w="15" w:type="dxa"/>
              <w:left w:w="15" w:type="dxa"/>
              <w:right w:w="15" w:type="dxa"/>
            </w:tcMar>
            <w:vAlign w:val="center"/>
          </w:tcPr>
          <w:p w14:paraId="603D8E07">
            <w:pPr>
              <w:pStyle w:val="36"/>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99</w:t>
            </w:r>
          </w:p>
        </w:tc>
        <w:tc>
          <w:tcPr>
            <w:tcW w:w="1526" w:type="dxa"/>
            <w:tcBorders>
              <w:tl2br w:val="nil"/>
              <w:tr2bl w:val="nil"/>
            </w:tcBorders>
            <w:noWrap w:val="0"/>
            <w:tcMar>
              <w:top w:w="15" w:type="dxa"/>
              <w:left w:w="15" w:type="dxa"/>
              <w:right w:w="15" w:type="dxa"/>
            </w:tcMar>
            <w:vAlign w:val="center"/>
          </w:tcPr>
          <w:p w14:paraId="7DF687A5">
            <w:pPr>
              <w:keepNext w:val="0"/>
              <w:keepLines w:val="0"/>
              <w:pageBreakBefore w:val="0"/>
              <w:widowControl/>
              <w:suppressLineNumbers w:val="0"/>
              <w:kinsoku/>
              <w:wordWrap/>
              <w:overflowPunct/>
              <w:topLinePunct w:val="0"/>
              <w:autoSpaceDE/>
              <w:autoSpaceDN/>
              <w:bidi w:val="0"/>
              <w:adjustRightInd/>
              <w:snapToGrid w:val="0"/>
              <w:spacing w:line="240" w:lineRule="auto"/>
              <w:ind w:firstLine="0" w:firstLineChars="0"/>
              <w:jc w:val="center"/>
              <w:textAlignment w:val="center"/>
              <w:rPr>
                <w:rFonts w:hint="eastAsia" w:ascii="Times New Roman" w:hAnsi="Times New Roman" w:eastAsia="宋体" w:cs="Times New Roman"/>
                <w:kern w:val="2"/>
                <w:sz w:val="21"/>
                <w:szCs w:val="21"/>
                <w:lang w:val="en-US" w:eastAsia="zh-CN" w:bidi="ar-SA"/>
              </w:rPr>
            </w:pPr>
            <w:r>
              <w:rPr>
                <w:rFonts w:hint="eastAsia"/>
              </w:rPr>
              <w:t>湖南新合纵智能装备有限公司</w:t>
            </w:r>
          </w:p>
        </w:tc>
        <w:tc>
          <w:tcPr>
            <w:tcW w:w="608" w:type="dxa"/>
            <w:tcBorders>
              <w:tl2br w:val="nil"/>
              <w:tr2bl w:val="nil"/>
            </w:tcBorders>
            <w:noWrap w:val="0"/>
            <w:tcMar>
              <w:top w:w="15" w:type="dxa"/>
              <w:left w:w="15" w:type="dxa"/>
              <w:right w:w="15" w:type="dxa"/>
            </w:tcMar>
            <w:vAlign w:val="center"/>
          </w:tcPr>
          <w:p w14:paraId="062ACB4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14364</w:t>
            </w:r>
          </w:p>
        </w:tc>
        <w:tc>
          <w:tcPr>
            <w:tcW w:w="750" w:type="dxa"/>
            <w:tcBorders>
              <w:tl2br w:val="nil"/>
              <w:tr2bl w:val="nil"/>
            </w:tcBorders>
            <w:noWrap w:val="0"/>
            <w:tcMar>
              <w:top w:w="15" w:type="dxa"/>
              <w:left w:w="15" w:type="dxa"/>
              <w:right w:w="15" w:type="dxa"/>
            </w:tcMar>
            <w:vAlign w:val="center"/>
          </w:tcPr>
          <w:p w14:paraId="7D63B6C7">
            <w:pPr>
              <w:keepNext w:val="0"/>
              <w:keepLines w:val="0"/>
              <w:pageBreakBefore w:val="0"/>
              <w:widowControl/>
              <w:suppressLineNumbers w:val="0"/>
              <w:tabs>
                <w:tab w:val="left" w:pos="576"/>
              </w:tabs>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0.26</w:t>
            </w:r>
          </w:p>
        </w:tc>
        <w:tc>
          <w:tcPr>
            <w:tcW w:w="990" w:type="dxa"/>
            <w:tcBorders>
              <w:tl2br w:val="nil"/>
              <w:tr2bl w:val="nil"/>
            </w:tcBorders>
            <w:noWrap w:val="0"/>
            <w:tcMar>
              <w:top w:w="15" w:type="dxa"/>
              <w:left w:w="15" w:type="dxa"/>
              <w:right w:w="15" w:type="dxa"/>
            </w:tcMar>
            <w:vAlign w:val="center"/>
          </w:tcPr>
          <w:p w14:paraId="3C5EF6C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0.008</w:t>
            </w:r>
          </w:p>
        </w:tc>
        <w:tc>
          <w:tcPr>
            <w:tcW w:w="901" w:type="dxa"/>
            <w:tcBorders>
              <w:tl2br w:val="nil"/>
              <w:tr2bl w:val="nil"/>
            </w:tcBorders>
            <w:noWrap w:val="0"/>
            <w:tcMar>
              <w:top w:w="15" w:type="dxa"/>
              <w:left w:w="15" w:type="dxa"/>
              <w:right w:w="15" w:type="dxa"/>
            </w:tcMar>
            <w:vAlign w:val="center"/>
          </w:tcPr>
          <w:p w14:paraId="32E6BEB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0.075</w:t>
            </w:r>
          </w:p>
        </w:tc>
        <w:tc>
          <w:tcPr>
            <w:tcW w:w="1250" w:type="dxa"/>
            <w:tcBorders>
              <w:tl2br w:val="nil"/>
              <w:tr2bl w:val="nil"/>
            </w:tcBorders>
            <w:noWrap w:val="0"/>
            <w:tcMar>
              <w:top w:w="15" w:type="dxa"/>
              <w:left w:w="15" w:type="dxa"/>
              <w:right w:w="15" w:type="dxa"/>
            </w:tcMar>
            <w:vAlign w:val="center"/>
          </w:tcPr>
          <w:p w14:paraId="5A8F74C3">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0.235</w:t>
            </w:r>
          </w:p>
        </w:tc>
        <w:tc>
          <w:tcPr>
            <w:tcW w:w="2367" w:type="dxa"/>
            <w:tcBorders>
              <w:tl2br w:val="nil"/>
              <w:tr2bl w:val="nil"/>
            </w:tcBorders>
            <w:noWrap w:val="0"/>
            <w:tcMar>
              <w:top w:w="15" w:type="dxa"/>
              <w:left w:w="15" w:type="dxa"/>
              <w:right w:w="15" w:type="dxa"/>
            </w:tcMar>
            <w:vAlign w:val="center"/>
          </w:tcPr>
          <w:p w14:paraId="1D8446F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甲苯0.005，二甲苯0.114</w:t>
            </w:r>
          </w:p>
        </w:tc>
        <w:tc>
          <w:tcPr>
            <w:tcW w:w="1170" w:type="dxa"/>
            <w:tcBorders>
              <w:tl2br w:val="nil"/>
              <w:tr2bl w:val="nil"/>
            </w:tcBorders>
            <w:noWrap w:val="0"/>
            <w:tcMar>
              <w:top w:w="15" w:type="dxa"/>
              <w:left w:w="15" w:type="dxa"/>
              <w:right w:w="15" w:type="dxa"/>
            </w:tcMar>
            <w:vAlign w:val="center"/>
          </w:tcPr>
          <w:p w14:paraId="22631E9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2432</w:t>
            </w:r>
          </w:p>
        </w:tc>
        <w:tc>
          <w:tcPr>
            <w:tcW w:w="1061" w:type="dxa"/>
            <w:tcBorders>
              <w:tl2br w:val="nil"/>
              <w:tr2bl w:val="nil"/>
            </w:tcBorders>
            <w:noWrap w:val="0"/>
            <w:tcMar>
              <w:top w:w="15" w:type="dxa"/>
              <w:left w:w="15" w:type="dxa"/>
              <w:right w:w="15" w:type="dxa"/>
            </w:tcMar>
            <w:vAlign w:val="center"/>
          </w:tcPr>
          <w:p w14:paraId="74FBF60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0.62</w:t>
            </w:r>
          </w:p>
        </w:tc>
        <w:tc>
          <w:tcPr>
            <w:tcW w:w="953" w:type="dxa"/>
            <w:tcBorders>
              <w:tl2br w:val="nil"/>
              <w:tr2bl w:val="nil"/>
            </w:tcBorders>
            <w:noWrap w:val="0"/>
            <w:tcMar>
              <w:top w:w="15" w:type="dxa"/>
              <w:left w:w="15" w:type="dxa"/>
              <w:right w:w="15" w:type="dxa"/>
            </w:tcMar>
            <w:vAlign w:val="center"/>
          </w:tcPr>
          <w:p w14:paraId="297EC30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snapToGrid w:val="0"/>
                <w:color w:val="auto"/>
                <w:kern w:val="0"/>
                <w:sz w:val="21"/>
                <w:szCs w:val="21"/>
                <w:u w:val="none"/>
                <w:lang w:val="en-US" w:eastAsia="zh-CN" w:bidi="ar"/>
              </w:rPr>
            </w:pPr>
            <w:r>
              <w:rPr>
                <w:rFonts w:hint="eastAsia" w:ascii="Times New Roman" w:hAnsi="Times New Roman" w:eastAsia="宋体" w:cs="Times New Roman"/>
                <w:i w:val="0"/>
                <w:snapToGrid w:val="0"/>
                <w:color w:val="auto"/>
                <w:kern w:val="0"/>
                <w:sz w:val="21"/>
                <w:szCs w:val="21"/>
                <w:u w:val="none"/>
                <w:lang w:val="en-US" w:eastAsia="zh-CN" w:bidi="ar"/>
              </w:rPr>
              <w:t>0.06</w:t>
            </w:r>
          </w:p>
        </w:tc>
        <w:tc>
          <w:tcPr>
            <w:tcW w:w="1861" w:type="dxa"/>
            <w:tcBorders>
              <w:tl2br w:val="nil"/>
              <w:tr2bl w:val="nil"/>
            </w:tcBorders>
            <w:noWrap w:val="0"/>
            <w:tcMar>
              <w:top w:w="15" w:type="dxa"/>
              <w:left w:w="15" w:type="dxa"/>
              <w:right w:w="15" w:type="dxa"/>
            </w:tcMar>
            <w:vAlign w:val="center"/>
          </w:tcPr>
          <w:p w14:paraId="066699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i w:val="0"/>
                <w:color w:val="auto"/>
                <w:sz w:val="21"/>
                <w:szCs w:val="21"/>
                <w:u w:val="none"/>
                <w:lang w:val="en-US" w:eastAsia="zh-CN"/>
              </w:rPr>
            </w:pPr>
            <w:r>
              <w:rPr>
                <w:rFonts w:hint="eastAsia" w:ascii="Times New Roman" w:hAnsi="Times New Roman" w:eastAsia="宋体" w:cs="Times New Roman"/>
                <w:i w:val="0"/>
                <w:color w:val="auto"/>
                <w:sz w:val="21"/>
                <w:szCs w:val="21"/>
                <w:u w:val="none"/>
                <w:lang w:val="en-US" w:eastAsia="zh-CN"/>
              </w:rPr>
              <w:t>/</w:t>
            </w:r>
          </w:p>
        </w:tc>
      </w:tr>
    </w:tbl>
    <w:p w14:paraId="165A817E">
      <w:pPr>
        <w:pStyle w:val="30"/>
        <w:bidi w:val="0"/>
        <w:rPr>
          <w:rFonts w:hint="default"/>
          <w:color w:val="auto"/>
          <w:u w:val="none" w:color="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663865A0">
      <w:pPr>
        <w:pStyle w:val="2"/>
        <w:bidi w:val="0"/>
        <w:rPr>
          <w:rFonts w:hint="default" w:ascii="Times New Roman" w:hAnsi="Times New Roman" w:cs="Times New Roman"/>
          <w:color w:val="auto"/>
          <w:szCs w:val="20"/>
          <w:u w:val="none" w:color="auto"/>
        </w:rPr>
      </w:pPr>
      <w:bookmarkStart w:id="977" w:name="_Toc21072"/>
      <w:bookmarkStart w:id="978" w:name="_Toc12162_WPSOffice_Level2"/>
      <w:bookmarkStart w:id="979" w:name="_Toc14142"/>
      <w:bookmarkStart w:id="980" w:name="_Toc7611"/>
      <w:bookmarkStart w:id="981" w:name="_Toc16725"/>
      <w:r>
        <w:rPr>
          <w:rStyle w:val="49"/>
          <w:rFonts w:hint="eastAsia" w:ascii="Times New Roman" w:hAnsi="Times New Roman" w:cs="Times New Roman"/>
          <w:b/>
          <w:color w:val="auto"/>
          <w:u w:val="none" w:color="auto"/>
          <w:lang w:val="en-US" w:eastAsia="zh-CN"/>
        </w:rPr>
        <w:t>6</w:t>
      </w:r>
      <w:r>
        <w:rPr>
          <w:rStyle w:val="49"/>
          <w:rFonts w:hint="default" w:ascii="Times New Roman" w:hAnsi="Times New Roman" w:cs="Times New Roman"/>
          <w:b/>
          <w:color w:val="auto"/>
          <w:u w:val="none" w:color="auto"/>
        </w:rPr>
        <w:t>、环境影响预测与评价</w:t>
      </w:r>
      <w:bookmarkEnd w:id="662"/>
      <w:bookmarkEnd w:id="663"/>
      <w:bookmarkEnd w:id="975"/>
      <w:bookmarkEnd w:id="977"/>
      <w:bookmarkEnd w:id="978"/>
      <w:bookmarkEnd w:id="979"/>
      <w:bookmarkEnd w:id="980"/>
      <w:bookmarkEnd w:id="981"/>
    </w:p>
    <w:p w14:paraId="7CE7F86D">
      <w:pPr>
        <w:pStyle w:val="3"/>
        <w:bidi w:val="0"/>
        <w:rPr>
          <w:rFonts w:hint="default"/>
          <w:color w:val="auto"/>
          <w:u w:val="none" w:color="auto"/>
        </w:rPr>
      </w:pPr>
      <w:bookmarkStart w:id="982" w:name="_Toc20080"/>
      <w:bookmarkStart w:id="983" w:name="_Toc6781"/>
      <w:bookmarkStart w:id="984" w:name="_Toc372124953"/>
      <w:bookmarkStart w:id="985" w:name="_Toc6858"/>
      <w:bookmarkStart w:id="986" w:name="_Toc9001"/>
      <w:bookmarkStart w:id="987" w:name="_Toc8443"/>
      <w:bookmarkStart w:id="988" w:name="_Toc20012"/>
      <w:bookmarkStart w:id="989" w:name="_Toc31513"/>
      <w:r>
        <w:rPr>
          <w:rFonts w:hint="eastAsia"/>
          <w:color w:val="auto"/>
          <w:u w:val="none" w:color="auto"/>
          <w:lang w:val="en-US" w:eastAsia="zh-CN"/>
        </w:rPr>
        <w:t>6</w:t>
      </w:r>
      <w:r>
        <w:rPr>
          <w:rFonts w:hint="default"/>
          <w:color w:val="auto"/>
          <w:u w:val="none" w:color="auto"/>
          <w:lang w:val="en-US" w:eastAsia="zh-CN"/>
        </w:rPr>
        <w:t>.1</w:t>
      </w:r>
      <w:r>
        <w:rPr>
          <w:rFonts w:hint="default"/>
          <w:color w:val="auto"/>
          <w:u w:val="none" w:color="auto"/>
        </w:rPr>
        <w:t>施工期环境影响分析</w:t>
      </w:r>
      <w:bookmarkEnd w:id="982"/>
      <w:bookmarkEnd w:id="983"/>
      <w:bookmarkEnd w:id="984"/>
      <w:bookmarkEnd w:id="985"/>
      <w:bookmarkEnd w:id="986"/>
      <w:bookmarkEnd w:id="987"/>
      <w:bookmarkEnd w:id="988"/>
      <w:bookmarkEnd w:id="989"/>
    </w:p>
    <w:p w14:paraId="2FDF53E7">
      <w:pPr>
        <w:pStyle w:val="4"/>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u w:val="none" w:color="auto"/>
          <w:lang w:eastAsia="zh-CN"/>
        </w:rPr>
      </w:pPr>
      <w:bookmarkStart w:id="990" w:name="_Toc872"/>
      <w:bookmarkStart w:id="991" w:name="_Toc18558"/>
      <w:bookmarkStart w:id="992" w:name="_Toc28391"/>
      <w:bookmarkStart w:id="993" w:name="_Toc1216"/>
      <w:bookmarkStart w:id="994" w:name="_Toc11222"/>
      <w:bookmarkStart w:id="995" w:name="_Toc1915"/>
      <w:bookmarkStart w:id="996" w:name="_Toc372124954"/>
      <w:bookmarkStart w:id="997" w:name="_Toc3816"/>
      <w:bookmarkStart w:id="998" w:name="_Toc23660"/>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lang w:val="en-US" w:eastAsia="zh-CN"/>
        </w:rPr>
        <w:t>.1.1</w:t>
      </w:r>
      <w:r>
        <w:rPr>
          <w:rFonts w:hint="default" w:ascii="Times New Roman" w:hAnsi="Times New Roman" w:eastAsia="宋体" w:cs="Times New Roman"/>
          <w:color w:val="auto"/>
          <w:u w:val="none" w:color="auto"/>
          <w:lang w:eastAsia="zh-CN"/>
        </w:rPr>
        <w:t>水环境影响评价</w:t>
      </w:r>
      <w:bookmarkEnd w:id="990"/>
      <w:bookmarkEnd w:id="991"/>
      <w:bookmarkEnd w:id="992"/>
      <w:bookmarkEnd w:id="993"/>
    </w:p>
    <w:p w14:paraId="70D17475">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施工期的水污染源主要包括施工废水和生活污水两大部分，施工废水主要产生于少量混凝土工艺中；另外，施工机械</w:t>
      </w:r>
      <w:r>
        <w:rPr>
          <w:rFonts w:hint="default" w:ascii="Times New Roman" w:hAnsi="Times New Roman" w:eastAsia="宋体" w:cs="Times New Roman"/>
          <w:color w:val="auto"/>
          <w:u w:val="none" w:color="auto"/>
          <w:lang w:eastAsia="zh-CN"/>
        </w:rPr>
        <w:t>、车辆冲洗</w:t>
      </w:r>
      <w:r>
        <w:rPr>
          <w:rFonts w:hint="default" w:ascii="Times New Roman" w:hAnsi="Times New Roman" w:eastAsia="宋体" w:cs="Times New Roman"/>
          <w:color w:val="auto"/>
          <w:u w:val="none" w:color="auto"/>
        </w:rPr>
        <w:t>会有一定的含油废水产生；生活污水主要来源于施工人员的生活及粪便污水排放。</w:t>
      </w:r>
    </w:p>
    <w:p w14:paraId="51143B75">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混凝土浇注废水中悬浮物浓度比较高，废水污染物浓度超过了《污水综合排放标准》（GB8978-1996）表4一级标准，废水具有悬浮物浓度高、水量较小，间歇集中排放的特点。</w:t>
      </w:r>
    </w:p>
    <w:p w14:paraId="0F47B423">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本项目使用一定量的机械作业，机械的使用及</w:t>
      </w:r>
      <w:r>
        <w:rPr>
          <w:rFonts w:hint="default" w:ascii="Times New Roman" w:hAnsi="Times New Roman" w:eastAsia="宋体" w:cs="Times New Roman"/>
          <w:color w:val="auto"/>
          <w:u w:val="none" w:color="auto"/>
          <w:lang w:eastAsia="zh-CN"/>
        </w:rPr>
        <w:t>冲洗</w:t>
      </w:r>
      <w:r>
        <w:rPr>
          <w:rFonts w:hint="default" w:ascii="Times New Roman" w:hAnsi="Times New Roman" w:eastAsia="宋体" w:cs="Times New Roman"/>
          <w:color w:val="auto"/>
          <w:u w:val="none" w:color="auto"/>
        </w:rPr>
        <w:t>都会有一定量的含油废水的产生，由于作业面较小，机械设备较少，且分布较为集中，含油废水的产生量很小，对周围环境不会造成影响。</w:t>
      </w:r>
    </w:p>
    <w:p w14:paraId="727C7094">
      <w:pPr>
        <w:pStyle w:val="20"/>
        <w:rPr>
          <w:rFonts w:hint="default" w:ascii="Times New Roman" w:hAnsi="Times New Roman" w:eastAsia="宋体" w:cs="Times New Roman"/>
          <w:color w:val="auto"/>
        </w:rPr>
      </w:pPr>
      <w:r>
        <w:rPr>
          <w:rFonts w:hint="default" w:ascii="Times New Roman" w:hAnsi="Times New Roman" w:eastAsia="宋体" w:cs="Times New Roman"/>
          <w:color w:val="auto"/>
          <w:u w:val="none" w:color="auto"/>
        </w:rPr>
        <w:t>施工期工地上平均人数按</w:t>
      </w:r>
      <w:r>
        <w:rPr>
          <w:rFonts w:hint="eastAsia" w:cs="Times New Roman"/>
          <w:color w:val="auto"/>
          <w:u w:val="none" w:color="auto"/>
          <w:lang w:val="en-US" w:eastAsia="zh-CN"/>
        </w:rPr>
        <w:t>6</w:t>
      </w:r>
      <w:r>
        <w:rPr>
          <w:rFonts w:hint="default" w:ascii="Times New Roman" w:hAnsi="Times New Roman" w:eastAsia="宋体" w:cs="Times New Roman"/>
          <w:color w:val="auto"/>
          <w:u w:val="none" w:color="auto"/>
        </w:rPr>
        <w:t>0人计，生活污水产生量为</w:t>
      </w:r>
      <w:r>
        <w:rPr>
          <w:rFonts w:hint="eastAsia" w:cs="Times New Roman"/>
          <w:color w:val="auto"/>
          <w:u w:val="none" w:color="auto"/>
          <w:lang w:val="en-US" w:eastAsia="zh-CN"/>
        </w:rPr>
        <w:t>4.8</w:t>
      </w:r>
      <w:r>
        <w:rPr>
          <w:rFonts w:hint="default" w:ascii="Times New Roman" w:hAnsi="Times New Roman" w:eastAsia="宋体" w:cs="Times New Roman"/>
          <w:color w:val="auto"/>
          <w:u w:val="none" w:color="auto"/>
        </w:rPr>
        <w:t>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/d，随着施工期的结束，这部分污水也将不再产生，项目施工期设置临时施工营地</w:t>
      </w:r>
      <w:r>
        <w:rPr>
          <w:rFonts w:hint="eastAsia" w:cs="Times New Roman"/>
          <w:color w:val="auto"/>
          <w:u w:val="none" w:color="auto"/>
          <w:lang w:eastAsia="zh-CN"/>
        </w:rPr>
        <w:t>，</w:t>
      </w:r>
      <w:r>
        <w:rPr>
          <w:rFonts w:hint="eastAsia" w:cs="Times New Roman"/>
          <w:color w:val="auto"/>
          <w:u w:val="none" w:color="auto"/>
          <w:lang w:val="en-US" w:eastAsia="zh-CN"/>
        </w:rPr>
        <w:t>建设临时化粪池</w:t>
      </w:r>
      <w:r>
        <w:rPr>
          <w:rFonts w:hint="default" w:ascii="Times New Roman" w:hAnsi="Times New Roman" w:eastAsia="宋体" w:cs="Times New Roman"/>
          <w:color w:val="auto"/>
          <w:u w:val="none" w:color="auto"/>
        </w:rPr>
        <w:t>，</w:t>
      </w:r>
      <w:r>
        <w:rPr>
          <w:rFonts w:hint="default" w:ascii="Times New Roman" w:hAnsi="Times New Roman" w:eastAsia="宋体" w:cs="Times New Roman"/>
          <w:color w:val="auto"/>
          <w:u w:val="none" w:color="auto"/>
          <w:lang w:eastAsia="zh-CN"/>
        </w:rPr>
        <w:t>施工期生活</w:t>
      </w:r>
      <w:r>
        <w:rPr>
          <w:rFonts w:hint="default" w:ascii="Times New Roman" w:hAnsi="Times New Roman" w:eastAsia="宋体" w:cs="Times New Roman"/>
          <w:color w:val="auto"/>
          <w:u w:val="none" w:color="auto"/>
        </w:rPr>
        <w:t>污水</w:t>
      </w:r>
      <w:r>
        <w:rPr>
          <w:rFonts w:hint="eastAsia" w:cs="Times New Roman"/>
          <w:color w:val="auto"/>
          <w:u w:val="none" w:color="auto"/>
          <w:lang w:val="en-US" w:eastAsia="zh-CN"/>
        </w:rPr>
        <w:t>经</w:t>
      </w:r>
      <w:r>
        <w:rPr>
          <w:rFonts w:hint="default" w:ascii="Times New Roman" w:hAnsi="Times New Roman" w:eastAsia="宋体" w:cs="Times New Roman"/>
          <w:color w:val="auto"/>
          <w:u w:val="none" w:color="auto"/>
          <w:lang w:eastAsia="zh-CN"/>
        </w:rPr>
        <w:t>化粪池处理后进入</w:t>
      </w:r>
      <w:r>
        <w:rPr>
          <w:rFonts w:hint="eastAsia"/>
          <w:color w:val="auto"/>
          <w:u w:val="none" w:color="auto"/>
          <w:lang w:val="en-US" w:eastAsia="zh-CN"/>
        </w:rPr>
        <w:t>湖南</w:t>
      </w:r>
      <w:r>
        <w:rPr>
          <w:rFonts w:hint="default" w:ascii="Times New Roman" w:hAnsi="Times New Roman" w:eastAsia="宋体" w:cs="Times New Roman"/>
          <w:color w:val="auto"/>
          <w:u w:val="none" w:color="auto"/>
        </w:rPr>
        <w:t>汨罗高新技术产业开发区（循环园区）污水处理厂</w:t>
      </w:r>
      <w:r>
        <w:rPr>
          <w:rFonts w:hint="eastAsia" w:cs="Times New Roman"/>
          <w:color w:val="auto"/>
          <w:u w:val="none" w:color="auto"/>
          <w:lang w:val="en-US" w:eastAsia="zh-CN"/>
        </w:rPr>
        <w:t>处理</w:t>
      </w:r>
      <w:r>
        <w:rPr>
          <w:rFonts w:hint="default" w:ascii="Times New Roman" w:hAnsi="Times New Roman" w:eastAsia="宋体" w:cs="Times New Roman"/>
          <w:color w:val="auto"/>
          <w:u w:val="none" w:color="auto"/>
        </w:rPr>
        <w:t>。</w:t>
      </w:r>
    </w:p>
    <w:p w14:paraId="7BC50E4A">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对有施工废水集中</w:t>
      </w:r>
      <w:r>
        <w:rPr>
          <w:rFonts w:hint="default" w:ascii="Times New Roman" w:hAnsi="Times New Roman" w:eastAsia="宋体" w:cs="Times New Roman"/>
          <w:color w:val="auto"/>
          <w:u w:val="none" w:color="auto"/>
          <w:lang w:eastAsia="zh-CN"/>
        </w:rPr>
        <w:t>产生</w:t>
      </w:r>
      <w:r>
        <w:rPr>
          <w:rFonts w:hint="default" w:ascii="Times New Roman" w:hAnsi="Times New Roman" w:eastAsia="宋体" w:cs="Times New Roman"/>
          <w:color w:val="auto"/>
          <w:u w:val="none" w:color="auto"/>
        </w:rPr>
        <w:t>区域建议在施工地修建沉淀池，进行沉淀处理，处理后的上清液可回用，对沉积的底泥可根据其特征进行处理，如是以泥土为主的，可填埋处理，若以建筑泥浆为主的可在建设中循环利用。</w:t>
      </w:r>
    </w:p>
    <w:p w14:paraId="2D93324A">
      <w:pPr>
        <w:pStyle w:val="4"/>
        <w:keepNext/>
        <w:keepLines/>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u w:val="none" w:color="auto"/>
          <w:lang w:eastAsia="zh-CN"/>
        </w:rPr>
      </w:pPr>
      <w:bookmarkStart w:id="999" w:name="_Toc18485"/>
      <w:bookmarkStart w:id="1000" w:name="_Toc15969"/>
      <w:bookmarkStart w:id="1001" w:name="_Toc4943"/>
      <w:bookmarkStart w:id="1002" w:name="_Toc8483"/>
      <w:bookmarkStart w:id="1003" w:name="_Toc31822"/>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lang w:val="en-US" w:eastAsia="zh-CN"/>
        </w:rPr>
        <w:t>.1.2</w:t>
      </w:r>
      <w:r>
        <w:rPr>
          <w:rFonts w:hint="default" w:ascii="Times New Roman" w:hAnsi="Times New Roman" w:eastAsia="宋体" w:cs="Times New Roman"/>
          <w:color w:val="auto"/>
          <w:u w:val="none" w:color="auto"/>
          <w:lang w:eastAsia="zh-CN"/>
        </w:rPr>
        <w:t>大气环境影响评价</w:t>
      </w:r>
      <w:bookmarkEnd w:id="999"/>
      <w:bookmarkEnd w:id="1000"/>
      <w:bookmarkEnd w:id="1001"/>
      <w:bookmarkEnd w:id="1002"/>
    </w:p>
    <w:p w14:paraId="46ED0ED3">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本项目施工期间区域内的大气污染主要来源于建筑材料装卸堆放、施工车辆行驶所生产的扬尘，施工运输机械、汽柴油燃烧等。由于施工区比较空旷，气体易扩散，一般不会对作业面附近环境产生大的影响。随着施工期结束，此类污染对环境的影响将会消失。施工产生的扬尘按起尘的原因可分为风力起尘和动力起尘，其中风力起尘主要是由于露天堆放的建材（如沙、水泥等）区表层浮尘由于天气干燥及大风，产生风力扬尘；而动力起尘，主要是在建材的装卸过程中，由于外力而产生的尘粒再悬浮而造成，其中施工及装卸车辆造成的扬尘最为严重。在施工高峰期时大气中的总悬浮微粒TSP浓度会超过</w:t>
      </w:r>
      <w:r>
        <w:rPr>
          <w:rFonts w:hint="default" w:ascii="Times New Roman" w:hAnsi="Times New Roman" w:eastAsia="宋体" w:cs="Times New Roman"/>
          <w:color w:val="auto"/>
          <w:u w:val="none" w:color="auto"/>
          <w:lang w:eastAsia="zh-CN"/>
        </w:rPr>
        <w:t>《环境空气质量标准》（GB3095-2012）及其修改单中的二级标准</w:t>
      </w:r>
      <w:r>
        <w:rPr>
          <w:rFonts w:hint="default" w:ascii="Times New Roman" w:hAnsi="Times New Roman" w:eastAsia="宋体" w:cs="Times New Roman"/>
          <w:color w:val="auto"/>
          <w:u w:val="none" w:color="auto"/>
        </w:rPr>
        <w:t>，对施工区大气环境会造成一定程度的影响，需对施工人员采取相应的劳动保护措施。</w:t>
      </w:r>
    </w:p>
    <w:p w14:paraId="106B6E93">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限速行驶及保持路面的清洁是减少汽车扬尘的有效手段。堆场的扬尘包括料堆的风吹扬尘、装卸扬尘和经过车辆引起的路面积尘再扬起等，这将产生较大的尘污染，会对周围环境带来一定的影响，但通过洒水可有效地抑制扬尘量，可使扬尘量减少70%。类比相关类似企业施工场地勘察，建筑场地周围扬尘量不大，且项目</w:t>
      </w:r>
      <w:r>
        <w:rPr>
          <w:rFonts w:hint="default" w:ascii="Times New Roman" w:hAnsi="Times New Roman" w:eastAsia="宋体" w:cs="Times New Roman"/>
          <w:color w:val="auto"/>
          <w:u w:val="none" w:color="auto"/>
          <w:lang w:eastAsia="zh-CN"/>
        </w:rPr>
        <w:t>位置</w:t>
      </w:r>
      <w:r>
        <w:rPr>
          <w:rFonts w:hint="default" w:ascii="Times New Roman" w:hAnsi="Times New Roman" w:eastAsia="宋体" w:cs="Times New Roman"/>
          <w:color w:val="auto"/>
          <w:u w:val="none" w:color="auto"/>
        </w:rPr>
        <w:t>与周边环境敏感点有一定的距离，项目扬尘不会对周围居民产生明显影响。</w:t>
      </w:r>
    </w:p>
    <w:p w14:paraId="0EFD510F">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对汽车、装载机应进行尾气处理，对排烟量较大的施工机械，安装消烟装置和尾气净化器。同时在施工过程中需落实洒水</w:t>
      </w:r>
      <w:r>
        <w:rPr>
          <w:rFonts w:hint="eastAsia" w:cs="Times New Roman"/>
          <w:color w:val="auto"/>
          <w:u w:val="none" w:color="auto"/>
          <w:lang w:val="en-US" w:eastAsia="zh-CN"/>
        </w:rPr>
        <w:t>抑尘</w:t>
      </w:r>
      <w:r>
        <w:rPr>
          <w:rFonts w:hint="default" w:ascii="Times New Roman" w:hAnsi="Times New Roman" w:eastAsia="宋体" w:cs="Times New Roman"/>
          <w:color w:val="auto"/>
          <w:u w:val="none" w:color="auto"/>
        </w:rPr>
        <w:t>措施，达到《大气污染物综合排放标准》（GB16297-1996）二级排放标准。</w:t>
      </w:r>
    </w:p>
    <w:p w14:paraId="6DCA5779">
      <w:pPr>
        <w:pStyle w:val="4"/>
        <w:rPr>
          <w:rFonts w:hint="default" w:ascii="Times New Roman" w:hAnsi="Times New Roman" w:eastAsia="宋体" w:cs="Times New Roman"/>
          <w:color w:val="auto"/>
          <w:u w:val="none" w:color="auto"/>
          <w:lang w:eastAsia="zh-CN"/>
        </w:rPr>
      </w:pPr>
      <w:bookmarkStart w:id="1004" w:name="_Toc21027"/>
      <w:bookmarkStart w:id="1005" w:name="_Toc19870"/>
      <w:bookmarkStart w:id="1006" w:name="_Toc12081"/>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lang w:val="en-US" w:eastAsia="zh-CN"/>
        </w:rPr>
        <w:t>.1.3</w:t>
      </w:r>
      <w:r>
        <w:rPr>
          <w:rFonts w:hint="default" w:ascii="Times New Roman" w:hAnsi="Times New Roman" w:eastAsia="宋体" w:cs="Times New Roman"/>
          <w:color w:val="auto"/>
          <w:u w:val="none" w:color="auto"/>
          <w:lang w:eastAsia="zh-CN"/>
        </w:rPr>
        <w:t>声环境影响评价</w:t>
      </w:r>
      <w:bookmarkEnd w:id="1003"/>
      <w:bookmarkEnd w:id="1004"/>
      <w:bookmarkEnd w:id="1005"/>
      <w:bookmarkEnd w:id="1006"/>
    </w:p>
    <w:p w14:paraId="43D795F3">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施工噪声主要来自施工钻孔、混凝土浇筑等施工活动中的施工机械运行、车辆运输等，均为间歇性噪声源。根据同类型施工的噪声监测数据，上述噪声源大多数在</w:t>
      </w:r>
      <w:r>
        <w:rPr>
          <w:rFonts w:hint="eastAsia" w:cs="Times New Roman"/>
          <w:color w:val="auto"/>
          <w:u w:val="none" w:color="auto"/>
          <w:lang w:val="en-US" w:eastAsia="zh-CN"/>
        </w:rPr>
        <w:t>8</w:t>
      </w:r>
      <w:r>
        <w:rPr>
          <w:rFonts w:hint="default" w:ascii="Times New Roman" w:hAnsi="Times New Roman" w:eastAsia="宋体" w:cs="Times New Roman"/>
          <w:color w:val="auto"/>
          <w:u w:val="none" w:color="auto"/>
        </w:rPr>
        <w:t>0～10</w:t>
      </w:r>
      <w:r>
        <w:rPr>
          <w:rFonts w:hint="eastAsia" w:cs="Times New Roman"/>
          <w:color w:val="auto"/>
          <w:u w:val="none" w:color="auto"/>
          <w:lang w:val="en-US" w:eastAsia="zh-CN"/>
        </w:rPr>
        <w:t>1</w:t>
      </w:r>
      <w:r>
        <w:rPr>
          <w:rFonts w:hint="default" w:ascii="Times New Roman" w:hAnsi="Times New Roman" w:eastAsia="宋体" w:cs="Times New Roman"/>
          <w:color w:val="auto"/>
          <w:u w:val="none" w:color="auto"/>
        </w:rPr>
        <w:t>dB（A）之间；施工时受噪声影响的主要是施工人员。工程施工区的噪声主要来自于施工机械、交通运输等，多为间隙声源和流动声源，这些噪声对其周围环境均有一定的影响。</w:t>
      </w:r>
    </w:p>
    <w:p w14:paraId="69BB3AF6">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施工单位应尽量选用符合国家有关标准的先进低噪声施工设备，以减少噪声对</w:t>
      </w:r>
      <w:r>
        <w:rPr>
          <w:rFonts w:hint="eastAsia" w:cs="Times New Roman"/>
          <w:color w:val="auto"/>
          <w:u w:val="none" w:color="auto"/>
          <w:lang w:val="en-US" w:eastAsia="zh-CN"/>
        </w:rPr>
        <w:t>周边居民和</w:t>
      </w:r>
      <w:r>
        <w:rPr>
          <w:rFonts w:hint="default" w:ascii="Times New Roman" w:hAnsi="Times New Roman" w:eastAsia="宋体" w:cs="Times New Roman"/>
          <w:color w:val="auto"/>
          <w:u w:val="none" w:color="auto"/>
        </w:rPr>
        <w:t>现场施工人员的影响；此外，施工中应加强机械的维修保养，避免由于设备性能差而增大机械噪声。通过合理的施工布置和作业时段来减少噪声对施工人员和周围</w:t>
      </w:r>
      <w:r>
        <w:rPr>
          <w:rFonts w:hint="default" w:ascii="Times New Roman" w:hAnsi="Times New Roman" w:eastAsia="宋体" w:cs="Times New Roman"/>
          <w:color w:val="auto"/>
          <w:u w:val="none" w:color="auto"/>
          <w:lang w:eastAsia="zh-CN"/>
        </w:rPr>
        <w:t>居民</w:t>
      </w:r>
      <w:r>
        <w:rPr>
          <w:rFonts w:hint="default" w:ascii="Times New Roman" w:hAnsi="Times New Roman" w:eastAsia="宋体" w:cs="Times New Roman"/>
          <w:color w:val="auto"/>
          <w:u w:val="none" w:color="auto"/>
        </w:rPr>
        <w:t>的影响，如对固定的主要噪声源设置屏障或隔断，对流动噪声源在经过敏感区时应减速、禁鸣。</w:t>
      </w:r>
    </w:p>
    <w:p w14:paraId="2D6DFECD">
      <w:pPr>
        <w:pStyle w:val="4"/>
        <w:rPr>
          <w:rFonts w:hint="default" w:ascii="Times New Roman" w:hAnsi="Times New Roman" w:eastAsia="宋体" w:cs="Times New Roman"/>
          <w:color w:val="auto"/>
          <w:u w:val="none" w:color="auto"/>
          <w:lang w:eastAsia="zh-CN"/>
        </w:rPr>
      </w:pPr>
      <w:bookmarkStart w:id="1007" w:name="_Toc14735"/>
      <w:bookmarkStart w:id="1008" w:name="_Toc14074"/>
      <w:bookmarkStart w:id="1009" w:name="_Toc4373"/>
      <w:r>
        <w:rPr>
          <w:rFonts w:hint="eastAsia" w:ascii="Times New Roman" w:hAnsi="Times New Roman" w:eastAsia="宋体" w:cs="Times New Roman"/>
          <w:color w:val="auto"/>
          <w:u w:val="none" w:color="auto"/>
          <w:lang w:val="en-US" w:eastAsia="zh-CN"/>
        </w:rPr>
        <w:t>6</w:t>
      </w:r>
      <w:r>
        <w:rPr>
          <w:rFonts w:hint="default" w:ascii="Times New Roman" w:hAnsi="Times New Roman" w:eastAsia="宋体" w:cs="Times New Roman"/>
          <w:color w:val="auto"/>
          <w:u w:val="none" w:color="auto"/>
          <w:lang w:val="en-US" w:eastAsia="zh-CN"/>
        </w:rPr>
        <w:t>.1.4</w:t>
      </w:r>
      <w:r>
        <w:rPr>
          <w:rFonts w:hint="default" w:ascii="Times New Roman" w:hAnsi="Times New Roman" w:eastAsia="宋体" w:cs="Times New Roman"/>
          <w:color w:val="auto"/>
          <w:u w:val="none" w:color="auto"/>
          <w:lang w:eastAsia="zh-CN"/>
        </w:rPr>
        <w:t>固废环境影响评价</w:t>
      </w:r>
      <w:bookmarkEnd w:id="1007"/>
      <w:bookmarkEnd w:id="1008"/>
      <w:bookmarkEnd w:id="1009"/>
    </w:p>
    <w:p w14:paraId="1648558F">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highlight w:val="none"/>
          <w:u w:val="none" w:color="auto"/>
        </w:rPr>
        <w:t>整个项目</w:t>
      </w:r>
      <w:r>
        <w:rPr>
          <w:rFonts w:hint="eastAsia" w:ascii="Times New Roman" w:hAnsi="Times New Roman" w:eastAsia="宋体" w:cs="Times New Roman"/>
          <w:color w:val="auto"/>
          <w:highlight w:val="none"/>
          <w:u w:val="none" w:color="auto"/>
          <w:lang w:val="en-US" w:eastAsia="zh-CN"/>
        </w:rPr>
        <w:t>施工过程</w:t>
      </w:r>
      <w:r>
        <w:rPr>
          <w:rFonts w:hint="default" w:ascii="Times New Roman" w:hAnsi="Times New Roman" w:eastAsia="宋体" w:cs="Times New Roman"/>
          <w:color w:val="auto"/>
          <w:highlight w:val="none"/>
          <w:u w:val="none" w:color="auto"/>
        </w:rPr>
        <w:t>基本保持土石方平衡</w:t>
      </w:r>
      <w:r>
        <w:rPr>
          <w:rFonts w:hint="eastAsia" w:ascii="Times New Roman" w:hAnsi="Times New Roman" w:eastAsia="宋体" w:cs="Times New Roman"/>
          <w:color w:val="auto"/>
          <w:highlight w:val="none"/>
          <w:u w:val="none" w:color="auto"/>
          <w:lang w:eastAsia="zh-CN"/>
        </w:rPr>
        <w:t>，</w:t>
      </w:r>
      <w:r>
        <w:rPr>
          <w:rFonts w:hint="eastAsia" w:ascii="Times New Roman" w:hAnsi="Times New Roman" w:eastAsia="宋体" w:cs="Times New Roman"/>
          <w:color w:val="auto"/>
          <w:highlight w:val="none"/>
          <w:u w:val="none" w:color="auto"/>
          <w:lang w:val="en-US" w:eastAsia="zh-CN"/>
        </w:rPr>
        <w:t>不会产生废弃土石方。</w:t>
      </w:r>
      <w:r>
        <w:rPr>
          <w:rFonts w:hint="default" w:ascii="Times New Roman" w:hAnsi="Times New Roman" w:eastAsia="宋体" w:cs="Times New Roman"/>
          <w:color w:val="auto"/>
          <w:u w:val="none" w:color="auto"/>
        </w:rPr>
        <w:t>施工过程中会产生一些建筑垃圾，主要是一些</w:t>
      </w:r>
      <w:r>
        <w:rPr>
          <w:rFonts w:hint="default" w:ascii="Times New Roman" w:hAnsi="Times New Roman" w:eastAsia="宋体" w:cs="Times New Roman"/>
          <w:color w:val="auto"/>
          <w:u w:val="none"/>
        </w:rPr>
        <w:t>砂石、石块、碎砖、混凝土碎块等</w:t>
      </w:r>
      <w:r>
        <w:rPr>
          <w:rFonts w:hint="default" w:ascii="Times New Roman" w:hAnsi="Times New Roman" w:eastAsia="宋体" w:cs="Times New Roman"/>
          <w:color w:val="auto"/>
          <w:u w:val="none" w:color="auto"/>
        </w:rPr>
        <w:t>，这类物品若处置不当，也可能对周围环境产生一定的影响。因此必须做好这些建筑垃圾的处理工作，首先要对其中可回收利用部分进行回收，其次对建筑垃圾要定点堆放，在堆放到一定量后，由专业建筑垃圾回收公司清运统一处理，严禁擅自堆放和倾倒到附近的水</w:t>
      </w:r>
      <w:r>
        <w:rPr>
          <w:rFonts w:hint="default" w:ascii="Times New Roman" w:hAnsi="Times New Roman" w:eastAsia="宋体" w:cs="Times New Roman"/>
          <w:color w:val="auto"/>
          <w:u w:val="none" w:color="auto"/>
          <w:lang w:eastAsia="zh-CN"/>
        </w:rPr>
        <w:t>体</w:t>
      </w:r>
      <w:r>
        <w:rPr>
          <w:rFonts w:hint="default" w:ascii="Times New Roman" w:hAnsi="Times New Roman" w:eastAsia="宋体" w:cs="Times New Roman"/>
          <w:color w:val="auto"/>
          <w:u w:val="none" w:color="auto"/>
        </w:rPr>
        <w:t>。对于施工</w:t>
      </w:r>
      <w:r>
        <w:rPr>
          <w:rFonts w:hint="eastAsia" w:cs="Times New Roman"/>
          <w:color w:val="auto"/>
          <w:u w:val="none" w:color="auto"/>
          <w:lang w:val="en-US" w:eastAsia="zh-CN"/>
        </w:rPr>
        <w:t>人员</w:t>
      </w:r>
      <w:r>
        <w:rPr>
          <w:rFonts w:hint="default" w:ascii="Times New Roman" w:hAnsi="Times New Roman" w:eastAsia="宋体" w:cs="Times New Roman"/>
          <w:color w:val="auto"/>
          <w:u w:val="none" w:color="auto"/>
        </w:rPr>
        <w:t>的生活垃圾要及时组织清运，交当地环卫</w:t>
      </w:r>
      <w:r>
        <w:rPr>
          <w:rFonts w:hint="eastAsia" w:cs="Times New Roman"/>
          <w:color w:val="auto"/>
          <w:u w:val="none" w:color="auto"/>
          <w:lang w:val="en-US" w:eastAsia="zh-CN"/>
        </w:rPr>
        <w:t>部门</w:t>
      </w:r>
      <w:r>
        <w:rPr>
          <w:rFonts w:hint="default" w:ascii="Times New Roman" w:hAnsi="Times New Roman" w:eastAsia="宋体" w:cs="Times New Roman"/>
          <w:color w:val="auto"/>
          <w:u w:val="none" w:color="auto"/>
        </w:rPr>
        <w:t>处理</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禁止随地堆放。采用有效措施后</w:t>
      </w:r>
      <w:r>
        <w:rPr>
          <w:rFonts w:hint="default" w:ascii="Times New Roman" w:hAnsi="Times New Roman" w:eastAsia="宋体" w:cs="Times New Roman"/>
          <w:color w:val="auto"/>
          <w:u w:val="none" w:color="auto"/>
          <w:lang w:eastAsia="zh-CN"/>
        </w:rPr>
        <w:t>固体废物能得到合理处置，</w:t>
      </w:r>
      <w:r>
        <w:rPr>
          <w:rFonts w:hint="default" w:ascii="Times New Roman" w:hAnsi="Times New Roman" w:eastAsia="宋体" w:cs="Times New Roman"/>
          <w:color w:val="auto"/>
          <w:u w:val="none" w:color="auto"/>
        </w:rPr>
        <w:t>其环境影响不大。</w:t>
      </w:r>
    </w:p>
    <w:bookmarkEnd w:id="994"/>
    <w:bookmarkEnd w:id="995"/>
    <w:bookmarkEnd w:id="996"/>
    <w:bookmarkEnd w:id="997"/>
    <w:bookmarkEnd w:id="998"/>
    <w:p w14:paraId="3B478F57">
      <w:pPr>
        <w:pStyle w:val="3"/>
        <w:bidi w:val="0"/>
        <w:rPr>
          <w:rFonts w:hint="default"/>
          <w:color w:val="auto"/>
          <w:u w:val="none" w:color="auto"/>
        </w:rPr>
      </w:pPr>
      <w:bookmarkStart w:id="1010" w:name="_Toc13230"/>
      <w:bookmarkStart w:id="1011" w:name="_Toc18727"/>
      <w:bookmarkStart w:id="1012" w:name="_Toc22853"/>
      <w:bookmarkStart w:id="1013" w:name="_Toc26918"/>
      <w:r>
        <w:rPr>
          <w:rFonts w:hint="eastAsia"/>
          <w:color w:val="auto"/>
          <w:u w:val="none" w:color="auto"/>
          <w:lang w:val="en-US" w:eastAsia="zh-CN"/>
        </w:rPr>
        <w:t>6</w:t>
      </w:r>
      <w:r>
        <w:rPr>
          <w:rFonts w:hint="default"/>
          <w:color w:val="auto"/>
          <w:u w:val="none" w:color="auto"/>
          <w:lang w:val="en-US" w:eastAsia="zh-CN"/>
        </w:rPr>
        <w:t>.2</w:t>
      </w:r>
      <w:r>
        <w:rPr>
          <w:rFonts w:hint="default"/>
          <w:color w:val="auto"/>
          <w:u w:val="none" w:color="auto"/>
        </w:rPr>
        <w:t>营运期环境影响</w:t>
      </w:r>
      <w:bookmarkEnd w:id="1010"/>
      <w:r>
        <w:rPr>
          <w:rFonts w:hint="default"/>
          <w:color w:val="auto"/>
          <w:u w:val="none" w:color="auto"/>
        </w:rPr>
        <w:t>预测与评价</w:t>
      </w:r>
      <w:bookmarkEnd w:id="1011"/>
      <w:bookmarkEnd w:id="1012"/>
      <w:bookmarkEnd w:id="1013"/>
    </w:p>
    <w:p w14:paraId="78EBE21C">
      <w:pPr>
        <w:pStyle w:val="4"/>
        <w:rPr>
          <w:rFonts w:hint="default" w:ascii="Times New Roman" w:hAnsi="Times New Roman" w:cs="Times New Roman"/>
          <w:color w:val="auto"/>
          <w:u w:val="none" w:color="auto"/>
        </w:rPr>
      </w:pPr>
      <w:bookmarkStart w:id="1014" w:name="_Toc10697"/>
      <w:bookmarkStart w:id="1015" w:name="_Toc29577"/>
      <w:bookmarkStart w:id="1016" w:name="_Toc29503"/>
      <w:bookmarkStart w:id="1017" w:name="_Toc12002"/>
      <w:bookmarkStart w:id="1018" w:name="_Toc5491"/>
      <w:bookmarkStart w:id="1019" w:name="_Toc11667"/>
      <w:bookmarkStart w:id="1020" w:name="_Toc10381"/>
      <w:bookmarkStart w:id="1021" w:name="_Toc30317"/>
      <w:bookmarkStart w:id="1022" w:name="_Toc7874"/>
      <w:bookmarkStart w:id="1023" w:name="_Toc28912"/>
      <w:bookmarkStart w:id="1024" w:name="_Toc32496"/>
      <w:bookmarkStart w:id="1025" w:name="_Toc24135"/>
      <w:bookmarkStart w:id="1026" w:name="_Toc6746"/>
      <w:bookmarkStart w:id="1027" w:name="_Toc21760"/>
      <w:bookmarkStart w:id="1028" w:name="_Toc12541"/>
      <w:bookmarkStart w:id="1029" w:name="_Toc12595"/>
      <w:bookmarkStart w:id="1030" w:name="_Toc12577"/>
      <w:bookmarkStart w:id="1031" w:name="_Toc11645"/>
      <w:bookmarkStart w:id="1032" w:name="_Toc1765"/>
      <w:bookmarkStart w:id="1033" w:name="_Toc1395"/>
      <w:bookmarkStart w:id="1034" w:name="_Toc467"/>
      <w:bookmarkStart w:id="1035" w:name="_Toc6330"/>
      <w:bookmarkStart w:id="1036" w:name="_Toc21755"/>
      <w:bookmarkStart w:id="1037" w:name="_Toc6572"/>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.1大气环境影响预测与评价</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p>
    <w:p w14:paraId="4B59F369">
      <w:pPr>
        <w:pStyle w:val="20"/>
        <w:bidi w:val="0"/>
        <w:jc w:val="left"/>
        <w:rPr>
          <w:rFonts w:hint="default" w:ascii="Times New Roman" w:hAnsi="Times New Roman" w:cs="Times New Roman"/>
          <w:b/>
          <w:bCs/>
          <w:color w:val="auto"/>
          <w:u w:val="none" w:color="auto"/>
        </w:rPr>
      </w:pPr>
      <w:r>
        <w:rPr>
          <w:rFonts w:hint="eastAsia" w:ascii="Times New Roman" w:hAnsi="Times New Roman" w:cs="Times New Roman"/>
          <w:b/>
          <w:bCs/>
          <w:color w:val="auto"/>
          <w:u w:val="none" w:color="auto"/>
          <w:lang w:val="en-US" w:eastAsia="zh-CN"/>
        </w:rPr>
        <w:t>1、</w:t>
      </w:r>
      <w:r>
        <w:rPr>
          <w:rFonts w:hint="default" w:ascii="Times New Roman" w:hAnsi="Times New Roman" w:cs="Times New Roman"/>
          <w:b/>
          <w:bCs/>
          <w:color w:val="auto"/>
          <w:u w:val="none" w:color="auto"/>
        </w:rPr>
        <w:t>预测区域地形与高程图</w:t>
      </w:r>
    </w:p>
    <w:p w14:paraId="21CCE9E2">
      <w:pPr>
        <w:pStyle w:val="20"/>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本项目位于</w:t>
      </w:r>
      <w:r>
        <w:rPr>
          <w:rFonts w:hint="eastAsia"/>
          <w:color w:val="auto"/>
          <w:u w:val="none" w:color="auto"/>
          <w:lang w:val="en-US" w:eastAsia="zh-CN"/>
        </w:rPr>
        <w:t>湖南省岳阳市汨罗市汨罗高新技术产业开发区新市片区西片区龙舟路东侧合心路北侧</w:t>
      </w:r>
      <w:r>
        <w:rPr>
          <w:rFonts w:hint="default" w:ascii="Times New Roman" w:hAnsi="Times New Roman" w:cs="Times New Roman"/>
          <w:color w:val="auto"/>
          <w:u w:val="none" w:color="auto"/>
          <w:lang w:val="en-US" w:eastAsia="zh-CN"/>
        </w:rPr>
        <w:t>，评价范围内的地形数据采用外部DEM文件，数据来源为http：//srtm.csi.cgiar.org/，分辨率为90m。采用Aermap运行计算得出评价范围内各网格及敏感点的地形等高线数据。</w:t>
      </w:r>
    </w:p>
    <w:p w14:paraId="47C52DDE">
      <w:pPr>
        <w:pStyle w:val="20"/>
        <w:ind w:firstLine="480"/>
        <w:rPr>
          <w:rFonts w:hint="default" w:ascii="Times New Roman" w:hAnsi="Times New Roman" w:cs="Times New Roman"/>
          <w:color w:val="auto"/>
          <w:u w:val="none" w:color="auto"/>
        </w:rPr>
      </w:pPr>
      <w:r>
        <w:rPr>
          <w:rFonts w:hint="default" w:ascii="Times New Roman" w:hAnsi="Times New Roman" w:cs="Times New Roman"/>
          <w:b/>
          <w:bCs/>
          <w:color w:val="auto"/>
          <w:u w:val="none" w:color="auto"/>
        </w:rPr>
        <w:t>2、项目预测源强</w:t>
      </w:r>
    </w:p>
    <w:p w14:paraId="694D35E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①评价因子和评价标准表见</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REF _Ref488155507 \h  \* MERGEFORMAT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表</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w:t>
      </w:r>
    </w:p>
    <w:p w14:paraId="6FD84B5F">
      <w:pPr>
        <w:pStyle w:val="22"/>
        <w:bidi w:val="0"/>
        <w:rPr>
          <w:rFonts w:hint="default"/>
          <w:color w:val="auto"/>
          <w:u w:val="none" w:color="auto"/>
        </w:rPr>
      </w:pPr>
      <w:bookmarkStart w:id="1038" w:name="_Ref488155507"/>
      <w:r>
        <w:rPr>
          <w:rFonts w:hint="default"/>
          <w:color w:val="auto"/>
          <w:u w:val="none" w:color="auto"/>
        </w:rPr>
        <w:t>表</w:t>
      </w:r>
      <w:bookmarkEnd w:id="1038"/>
      <w:r>
        <w:rPr>
          <w:rFonts w:hint="eastAsia"/>
          <w:color w:val="auto"/>
          <w:u w:val="none" w:color="auto"/>
          <w:lang w:val="en-US" w:eastAsia="zh-CN"/>
        </w:rPr>
        <w:t>6</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1</w:t>
      </w:r>
      <w:r>
        <w:rPr>
          <w:rFonts w:hint="default"/>
          <w:color w:val="auto"/>
          <w:u w:val="none" w:color="auto"/>
        </w:rPr>
        <w:t xml:space="preserve">  评价因子和评价标准表</w:t>
      </w:r>
    </w:p>
    <w:tbl>
      <w:tblPr>
        <w:tblStyle w:val="16"/>
        <w:tblW w:w="850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1246"/>
        <w:gridCol w:w="1233"/>
        <w:gridCol w:w="1335"/>
        <w:gridCol w:w="1640"/>
        <w:gridCol w:w="3048"/>
      </w:tblGrid>
      <w:tr w14:paraId="513969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c>
          <w:tcPr>
            <w:tcW w:w="1246" w:type="dxa"/>
            <w:noWrap w:val="0"/>
            <w:vAlign w:val="center"/>
          </w:tcPr>
          <w:p w14:paraId="64C1B812">
            <w:pPr>
              <w:pStyle w:val="23"/>
              <w:bidi w:val="0"/>
              <w:rPr>
                <w:color w:val="auto"/>
                <w:u w:val="none" w:color="auto"/>
              </w:rPr>
            </w:pPr>
            <w:r>
              <w:rPr>
                <w:color w:val="auto"/>
                <w:u w:val="none" w:color="auto"/>
              </w:rPr>
              <w:t>污染物名称</w:t>
            </w:r>
          </w:p>
        </w:tc>
        <w:tc>
          <w:tcPr>
            <w:tcW w:w="1233" w:type="dxa"/>
            <w:noWrap w:val="0"/>
            <w:vAlign w:val="center"/>
          </w:tcPr>
          <w:p w14:paraId="4C419231">
            <w:pPr>
              <w:pStyle w:val="23"/>
              <w:bidi w:val="0"/>
              <w:rPr>
                <w:color w:val="auto"/>
                <w:u w:val="none" w:color="auto"/>
              </w:rPr>
            </w:pPr>
            <w:r>
              <w:rPr>
                <w:color w:val="auto"/>
                <w:u w:val="none" w:color="auto"/>
              </w:rPr>
              <w:t>功能区</w:t>
            </w:r>
          </w:p>
        </w:tc>
        <w:tc>
          <w:tcPr>
            <w:tcW w:w="1335" w:type="dxa"/>
            <w:noWrap w:val="0"/>
            <w:vAlign w:val="center"/>
          </w:tcPr>
          <w:p w14:paraId="223C388A">
            <w:pPr>
              <w:pStyle w:val="23"/>
              <w:bidi w:val="0"/>
              <w:rPr>
                <w:color w:val="auto"/>
                <w:u w:val="none" w:color="auto"/>
              </w:rPr>
            </w:pPr>
            <w:r>
              <w:rPr>
                <w:color w:val="auto"/>
                <w:u w:val="none" w:color="auto"/>
              </w:rPr>
              <w:t>取值时间</w:t>
            </w:r>
          </w:p>
        </w:tc>
        <w:tc>
          <w:tcPr>
            <w:tcW w:w="1640" w:type="dxa"/>
            <w:noWrap w:val="0"/>
            <w:vAlign w:val="center"/>
          </w:tcPr>
          <w:p w14:paraId="01F1634A">
            <w:pPr>
              <w:pStyle w:val="23"/>
              <w:bidi w:val="0"/>
              <w:rPr>
                <w:color w:val="auto"/>
                <w:u w:val="none" w:color="auto"/>
              </w:rPr>
            </w:pPr>
            <w:bookmarkStart w:id="1039" w:name="OLE_LINK5"/>
            <w:bookmarkStart w:id="1040" w:name="OLE_LINK4"/>
            <w:r>
              <w:rPr>
                <w:color w:val="auto"/>
                <w:u w:val="none" w:color="auto"/>
              </w:rPr>
              <w:t>标准值</w:t>
            </w:r>
            <w:bookmarkEnd w:id="1039"/>
            <w:bookmarkEnd w:id="1040"/>
            <w:bookmarkStart w:id="1041" w:name="OLE_LINK14"/>
            <w:r>
              <w:rPr>
                <w:color w:val="auto"/>
                <w:u w:val="none" w:color="auto"/>
              </w:rPr>
              <w:t>（μg/m</w:t>
            </w:r>
            <w:r>
              <w:rPr>
                <w:color w:val="auto"/>
                <w:u w:val="none" w:color="auto"/>
                <w:vertAlign w:val="superscript"/>
              </w:rPr>
              <w:t>3</w:t>
            </w:r>
            <w:bookmarkEnd w:id="1041"/>
            <w:r>
              <w:rPr>
                <w:color w:val="auto"/>
                <w:u w:val="none" w:color="auto"/>
              </w:rPr>
              <w:t>）</w:t>
            </w:r>
          </w:p>
        </w:tc>
        <w:tc>
          <w:tcPr>
            <w:tcW w:w="3048" w:type="dxa"/>
            <w:noWrap w:val="0"/>
            <w:vAlign w:val="center"/>
          </w:tcPr>
          <w:p w14:paraId="747EEB4D">
            <w:pPr>
              <w:pStyle w:val="23"/>
              <w:bidi w:val="0"/>
              <w:rPr>
                <w:color w:val="auto"/>
                <w:u w:val="none" w:color="auto"/>
              </w:rPr>
            </w:pPr>
            <w:r>
              <w:rPr>
                <w:color w:val="auto"/>
                <w:u w:val="none" w:color="auto"/>
              </w:rPr>
              <w:t>标准来源</w:t>
            </w:r>
          </w:p>
        </w:tc>
      </w:tr>
      <w:tr w14:paraId="121176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1" w:hRule="atLeast"/>
        </w:trPr>
        <w:tc>
          <w:tcPr>
            <w:tcW w:w="1246" w:type="dxa"/>
            <w:noWrap w:val="0"/>
            <w:vAlign w:val="center"/>
          </w:tcPr>
          <w:p w14:paraId="73357CD6">
            <w:pPr>
              <w:pStyle w:val="23"/>
              <w:bidi w:val="0"/>
              <w:rPr>
                <w:rFonts w:hint="eastAsia"/>
                <w:color w:val="auto"/>
                <w:u w:val="none" w:color="auto"/>
                <w:lang w:val="en-US" w:eastAsia="zh-CN"/>
              </w:rPr>
            </w:pPr>
            <w:r>
              <w:rPr>
                <w:color w:val="auto"/>
                <w:u w:val="none" w:color="auto"/>
              </w:rPr>
              <w:t>TSP</w:t>
            </w:r>
          </w:p>
        </w:tc>
        <w:tc>
          <w:tcPr>
            <w:tcW w:w="1233" w:type="dxa"/>
            <w:noWrap w:val="0"/>
            <w:vAlign w:val="center"/>
          </w:tcPr>
          <w:p w14:paraId="0C7E239A">
            <w:pPr>
              <w:pStyle w:val="23"/>
              <w:bidi w:val="0"/>
              <w:rPr>
                <w:color w:val="auto"/>
                <w:u w:val="none" w:color="auto"/>
                <w:lang w:val="en-US" w:eastAsia="zh-CN"/>
              </w:rPr>
            </w:pPr>
            <w:r>
              <w:rPr>
                <w:color w:val="auto"/>
                <w:u w:val="none" w:color="auto"/>
              </w:rPr>
              <w:t>二类区</w:t>
            </w:r>
          </w:p>
        </w:tc>
        <w:tc>
          <w:tcPr>
            <w:tcW w:w="1335" w:type="dxa"/>
            <w:noWrap w:val="0"/>
            <w:vAlign w:val="center"/>
          </w:tcPr>
          <w:p w14:paraId="602A9F8D">
            <w:pPr>
              <w:pStyle w:val="23"/>
              <w:bidi w:val="0"/>
              <w:rPr>
                <w:rFonts w:hint="eastAsia"/>
                <w:color w:val="auto"/>
                <w:u w:val="none" w:color="auto"/>
                <w:lang w:val="en-US" w:eastAsia="zh-CN"/>
              </w:rPr>
            </w:pPr>
            <w:r>
              <w:rPr>
                <w:color w:val="auto"/>
                <w:u w:val="none" w:color="auto"/>
              </w:rPr>
              <w:t>1小时</w:t>
            </w:r>
            <w:r>
              <w:rPr>
                <w:rFonts w:hint="eastAsia"/>
                <w:color w:val="auto"/>
                <w:u w:val="none" w:color="auto"/>
                <w:lang w:eastAsia="zh-CN"/>
              </w:rPr>
              <w:t>（</w:t>
            </w:r>
            <w:r>
              <w:rPr>
                <w:rFonts w:hint="eastAsia"/>
                <w:color w:val="auto"/>
                <w:u w:val="none" w:color="auto"/>
                <w:lang w:val="en-US" w:eastAsia="zh-CN"/>
              </w:rPr>
              <w:t>折算</w:t>
            </w:r>
            <w:r>
              <w:rPr>
                <w:rFonts w:hint="eastAsia"/>
                <w:color w:val="auto"/>
                <w:u w:val="none" w:color="auto"/>
                <w:lang w:eastAsia="zh-CN"/>
              </w:rPr>
              <w:t>）</w:t>
            </w:r>
          </w:p>
        </w:tc>
        <w:tc>
          <w:tcPr>
            <w:tcW w:w="1640" w:type="dxa"/>
            <w:noWrap w:val="0"/>
            <w:vAlign w:val="center"/>
          </w:tcPr>
          <w:p w14:paraId="17F0D50F">
            <w:pPr>
              <w:pStyle w:val="23"/>
              <w:bidi w:val="0"/>
              <w:rPr>
                <w:color w:val="auto"/>
                <w:u w:val="none" w:color="auto"/>
                <w:lang w:val="en-US" w:eastAsia="zh-CN"/>
              </w:rPr>
            </w:pPr>
            <w:r>
              <w:rPr>
                <w:color w:val="auto"/>
                <w:u w:val="none" w:color="auto"/>
              </w:rPr>
              <w:t>900</w:t>
            </w:r>
          </w:p>
        </w:tc>
        <w:tc>
          <w:tcPr>
            <w:tcW w:w="3048" w:type="dxa"/>
            <w:vMerge w:val="restart"/>
            <w:noWrap w:val="0"/>
            <w:vAlign w:val="center"/>
          </w:tcPr>
          <w:p w14:paraId="690A8310">
            <w:pPr>
              <w:pStyle w:val="23"/>
              <w:bidi w:val="0"/>
              <w:rPr>
                <w:color w:val="auto"/>
                <w:u w:val="none" w:color="auto"/>
                <w:lang w:val="en-US" w:eastAsia="zh-CN"/>
              </w:rPr>
            </w:pPr>
            <w:r>
              <w:rPr>
                <w:color w:val="auto"/>
                <w:u w:val="none" w:color="auto"/>
              </w:rPr>
              <w:t>《环境空气质量标准》（GB3095-2012）中的二级标准</w:t>
            </w:r>
          </w:p>
        </w:tc>
      </w:tr>
      <w:tr w14:paraId="0C44EB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1" w:hRule="atLeast"/>
        </w:trPr>
        <w:tc>
          <w:tcPr>
            <w:tcW w:w="1246" w:type="dxa"/>
            <w:noWrap w:val="0"/>
            <w:vAlign w:val="center"/>
          </w:tcPr>
          <w:p w14:paraId="136A70BB">
            <w:pPr>
              <w:pStyle w:val="23"/>
              <w:bidi w:val="0"/>
              <w:rPr>
                <w:rFonts w:hint="default"/>
                <w:color w:val="auto"/>
                <w:u w:val="none" w:color="auto"/>
                <w:lang w:val="en-US" w:eastAsia="zh-CN"/>
              </w:rPr>
            </w:pPr>
            <w:r>
              <w:rPr>
                <w:rFonts w:hint="eastAsia"/>
                <w:color w:val="auto"/>
                <w:u w:val="none" w:color="auto"/>
                <w:lang w:val="en-US" w:eastAsia="zh-CN"/>
              </w:rPr>
              <w:t>PM</w:t>
            </w:r>
            <w:r>
              <w:rPr>
                <w:rFonts w:hint="eastAsia"/>
                <w:color w:val="auto"/>
                <w:u w:val="none" w:color="auto"/>
                <w:vertAlign w:val="subscript"/>
                <w:lang w:val="en-US" w:eastAsia="zh-CN"/>
              </w:rPr>
              <w:t>10</w:t>
            </w:r>
          </w:p>
        </w:tc>
        <w:tc>
          <w:tcPr>
            <w:tcW w:w="1233" w:type="dxa"/>
            <w:noWrap w:val="0"/>
            <w:vAlign w:val="center"/>
          </w:tcPr>
          <w:p w14:paraId="677B728F">
            <w:pPr>
              <w:pStyle w:val="23"/>
              <w:bidi w:val="0"/>
              <w:rPr>
                <w:color w:val="auto"/>
                <w:u w:val="none" w:color="auto"/>
              </w:rPr>
            </w:pPr>
            <w:r>
              <w:rPr>
                <w:color w:val="auto"/>
                <w:u w:val="none" w:color="auto"/>
              </w:rPr>
              <w:t>二类区</w:t>
            </w:r>
          </w:p>
        </w:tc>
        <w:tc>
          <w:tcPr>
            <w:tcW w:w="1335" w:type="dxa"/>
            <w:noWrap w:val="0"/>
            <w:vAlign w:val="center"/>
          </w:tcPr>
          <w:p w14:paraId="1753F059">
            <w:pPr>
              <w:pStyle w:val="23"/>
              <w:bidi w:val="0"/>
              <w:rPr>
                <w:rFonts w:hint="default"/>
                <w:color w:val="auto"/>
                <w:u w:val="none" w:color="auto"/>
                <w:lang w:val="en-US" w:eastAsia="zh-CN"/>
              </w:rPr>
            </w:pPr>
            <w:r>
              <w:rPr>
                <w:rFonts w:hint="eastAsia"/>
                <w:color w:val="auto"/>
                <w:u w:val="none" w:color="auto"/>
                <w:lang w:val="en-US" w:eastAsia="zh-CN"/>
              </w:rPr>
              <w:t>1小时（折算）</w:t>
            </w:r>
          </w:p>
        </w:tc>
        <w:tc>
          <w:tcPr>
            <w:tcW w:w="1640" w:type="dxa"/>
            <w:noWrap w:val="0"/>
            <w:vAlign w:val="center"/>
          </w:tcPr>
          <w:p w14:paraId="348D1D9E">
            <w:pPr>
              <w:pStyle w:val="23"/>
              <w:bidi w:val="0"/>
              <w:rPr>
                <w:rFonts w:hint="default"/>
                <w:color w:val="auto"/>
                <w:u w:val="none" w:color="auto"/>
                <w:lang w:val="en-US" w:eastAsia="zh-CN"/>
              </w:rPr>
            </w:pPr>
            <w:r>
              <w:rPr>
                <w:rFonts w:hint="eastAsia"/>
                <w:color w:val="auto"/>
                <w:u w:val="none" w:color="auto"/>
                <w:lang w:val="en-US" w:eastAsia="zh-CN"/>
              </w:rPr>
              <w:t>450</w:t>
            </w:r>
          </w:p>
        </w:tc>
        <w:tc>
          <w:tcPr>
            <w:tcW w:w="3048" w:type="dxa"/>
            <w:vMerge w:val="continue"/>
            <w:noWrap w:val="0"/>
            <w:vAlign w:val="center"/>
          </w:tcPr>
          <w:p w14:paraId="0A99A78F">
            <w:pPr>
              <w:pStyle w:val="23"/>
              <w:bidi w:val="0"/>
              <w:rPr>
                <w:color w:val="auto"/>
                <w:u w:val="none" w:color="auto"/>
              </w:rPr>
            </w:pPr>
          </w:p>
        </w:tc>
      </w:tr>
      <w:tr w14:paraId="54D32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12" w:hRule="atLeast"/>
        </w:trPr>
        <w:tc>
          <w:tcPr>
            <w:tcW w:w="1246" w:type="dxa"/>
            <w:noWrap w:val="0"/>
            <w:vAlign w:val="center"/>
          </w:tcPr>
          <w:p w14:paraId="0F1E9FCD">
            <w:pPr>
              <w:pStyle w:val="23"/>
              <w:bidi w:val="0"/>
              <w:rPr>
                <w:rFonts w:hint="eastAsia"/>
                <w:color w:val="auto"/>
                <w:u w:val="none" w:color="auto"/>
                <w:lang w:val="en-US" w:eastAsia="zh-CN"/>
              </w:rPr>
            </w:pPr>
            <w:r>
              <w:rPr>
                <w:color w:val="auto"/>
                <w:u w:val="none" w:color="auto"/>
              </w:rPr>
              <w:t>TVOC</w:t>
            </w:r>
          </w:p>
        </w:tc>
        <w:tc>
          <w:tcPr>
            <w:tcW w:w="1233" w:type="dxa"/>
            <w:noWrap w:val="0"/>
            <w:vAlign w:val="center"/>
          </w:tcPr>
          <w:p w14:paraId="2409042B">
            <w:pPr>
              <w:pStyle w:val="23"/>
              <w:bidi w:val="0"/>
              <w:rPr>
                <w:color w:val="auto"/>
                <w:u w:val="none" w:color="auto"/>
                <w:lang w:val="en-US" w:eastAsia="zh-CN"/>
              </w:rPr>
            </w:pPr>
            <w:r>
              <w:rPr>
                <w:color w:val="auto"/>
                <w:u w:val="none" w:color="auto"/>
              </w:rPr>
              <w:t>二类区</w:t>
            </w:r>
          </w:p>
        </w:tc>
        <w:tc>
          <w:tcPr>
            <w:tcW w:w="1335" w:type="dxa"/>
            <w:noWrap w:val="0"/>
            <w:vAlign w:val="center"/>
          </w:tcPr>
          <w:p w14:paraId="172BE043">
            <w:pPr>
              <w:pStyle w:val="23"/>
              <w:bidi w:val="0"/>
              <w:rPr>
                <w:rFonts w:hint="eastAsia"/>
                <w:color w:val="auto"/>
                <w:u w:val="none" w:color="auto"/>
                <w:lang w:val="en-US" w:eastAsia="zh-CN"/>
              </w:rPr>
            </w:pPr>
            <w:r>
              <w:rPr>
                <w:color w:val="auto"/>
                <w:u w:val="none" w:color="auto"/>
              </w:rPr>
              <w:t>1小时</w:t>
            </w:r>
            <w:r>
              <w:rPr>
                <w:rFonts w:hint="eastAsia"/>
                <w:color w:val="auto"/>
                <w:u w:val="none" w:color="auto"/>
                <w:lang w:eastAsia="zh-CN"/>
              </w:rPr>
              <w:t>（</w:t>
            </w:r>
            <w:r>
              <w:rPr>
                <w:rFonts w:hint="eastAsia"/>
                <w:color w:val="auto"/>
                <w:u w:val="none" w:color="auto"/>
                <w:lang w:val="en-US" w:eastAsia="zh-CN"/>
              </w:rPr>
              <w:t>折算</w:t>
            </w:r>
            <w:r>
              <w:rPr>
                <w:rFonts w:hint="eastAsia"/>
                <w:color w:val="auto"/>
                <w:u w:val="none" w:color="auto"/>
                <w:lang w:eastAsia="zh-CN"/>
              </w:rPr>
              <w:t>）</w:t>
            </w:r>
          </w:p>
        </w:tc>
        <w:tc>
          <w:tcPr>
            <w:tcW w:w="1640" w:type="dxa"/>
            <w:noWrap w:val="0"/>
            <w:vAlign w:val="center"/>
          </w:tcPr>
          <w:p w14:paraId="25C4A25F">
            <w:pPr>
              <w:pStyle w:val="23"/>
              <w:bidi w:val="0"/>
              <w:rPr>
                <w:rFonts w:hint="default" w:eastAsia="宋体"/>
                <w:color w:val="auto"/>
                <w:u w:val="none" w:color="auto"/>
                <w:lang w:val="en-US" w:eastAsia="zh-CN"/>
              </w:rPr>
            </w:pPr>
            <w:r>
              <w:rPr>
                <w:color w:val="auto"/>
                <w:u w:val="none" w:color="auto"/>
              </w:rPr>
              <w:t>1200</w:t>
            </w:r>
          </w:p>
        </w:tc>
        <w:tc>
          <w:tcPr>
            <w:tcW w:w="3048" w:type="dxa"/>
            <w:vMerge w:val="restart"/>
            <w:noWrap w:val="0"/>
            <w:vAlign w:val="center"/>
          </w:tcPr>
          <w:p w14:paraId="0A75B7EA">
            <w:pPr>
              <w:pStyle w:val="23"/>
              <w:bidi w:val="0"/>
              <w:rPr>
                <w:color w:val="auto"/>
                <w:u w:val="none" w:color="auto"/>
                <w:lang w:val="en-US" w:eastAsia="zh-CN"/>
              </w:rPr>
            </w:pPr>
            <w:r>
              <w:rPr>
                <w:color w:val="auto"/>
                <w:u w:val="none" w:color="auto"/>
              </w:rPr>
              <w:t>《环境影响评价技术导则 大气环境》（HJ2.2-2018）附录D</w:t>
            </w:r>
          </w:p>
        </w:tc>
      </w:tr>
      <w:tr w14:paraId="07FE5C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12" w:hRule="atLeast"/>
        </w:trPr>
        <w:tc>
          <w:tcPr>
            <w:tcW w:w="1246" w:type="dxa"/>
            <w:noWrap w:val="0"/>
            <w:vAlign w:val="center"/>
          </w:tcPr>
          <w:p w14:paraId="5A5FD89C">
            <w:pPr>
              <w:pStyle w:val="23"/>
              <w:bidi w:val="0"/>
              <w:rPr>
                <w:rFonts w:hint="default" w:eastAsia="宋体"/>
                <w:color w:val="auto"/>
                <w:u w:val="none" w:color="auto"/>
                <w:lang w:val="en-US" w:eastAsia="zh-CN"/>
              </w:rPr>
            </w:pPr>
            <w:r>
              <w:rPr>
                <w:rFonts w:hint="eastAsia"/>
                <w:color w:val="auto"/>
                <w:u w:val="none" w:color="auto"/>
                <w:lang w:val="en-US" w:eastAsia="zh-CN"/>
              </w:rPr>
              <w:t>氯化氢</w:t>
            </w:r>
          </w:p>
        </w:tc>
        <w:tc>
          <w:tcPr>
            <w:tcW w:w="1233" w:type="dxa"/>
            <w:noWrap w:val="0"/>
            <w:vAlign w:val="center"/>
          </w:tcPr>
          <w:p w14:paraId="033F8ED6">
            <w:pPr>
              <w:pStyle w:val="23"/>
              <w:bidi w:val="0"/>
              <w:rPr>
                <w:color w:val="auto"/>
                <w:u w:val="none" w:color="auto"/>
              </w:rPr>
            </w:pPr>
            <w:r>
              <w:rPr>
                <w:color w:val="auto"/>
                <w:u w:val="none" w:color="auto"/>
              </w:rPr>
              <w:t>二类区</w:t>
            </w:r>
          </w:p>
        </w:tc>
        <w:tc>
          <w:tcPr>
            <w:tcW w:w="1335" w:type="dxa"/>
            <w:noWrap w:val="0"/>
            <w:vAlign w:val="center"/>
          </w:tcPr>
          <w:p w14:paraId="63532482">
            <w:pPr>
              <w:pStyle w:val="23"/>
              <w:bidi w:val="0"/>
              <w:rPr>
                <w:color w:val="auto"/>
                <w:u w:val="none" w:color="auto"/>
              </w:rPr>
            </w:pPr>
            <w:r>
              <w:rPr>
                <w:color w:val="auto"/>
                <w:u w:val="none" w:color="auto"/>
              </w:rPr>
              <w:t>1小时</w:t>
            </w:r>
          </w:p>
        </w:tc>
        <w:tc>
          <w:tcPr>
            <w:tcW w:w="1640" w:type="dxa"/>
            <w:noWrap w:val="0"/>
            <w:vAlign w:val="center"/>
          </w:tcPr>
          <w:p w14:paraId="4A92D054">
            <w:pPr>
              <w:pStyle w:val="23"/>
              <w:bidi w:val="0"/>
              <w:rPr>
                <w:rFonts w:hint="default" w:eastAsia="宋体"/>
                <w:color w:val="auto"/>
                <w:u w:val="none" w:color="auto"/>
                <w:lang w:val="en-US" w:eastAsia="zh-CN"/>
              </w:rPr>
            </w:pPr>
            <w:r>
              <w:rPr>
                <w:rFonts w:hint="eastAsia"/>
                <w:color w:val="auto"/>
                <w:u w:val="none" w:color="auto"/>
                <w:lang w:val="en-US" w:eastAsia="zh-CN"/>
              </w:rPr>
              <w:t>50</w:t>
            </w:r>
          </w:p>
        </w:tc>
        <w:tc>
          <w:tcPr>
            <w:tcW w:w="3048" w:type="dxa"/>
            <w:vMerge w:val="continue"/>
            <w:noWrap w:val="0"/>
            <w:vAlign w:val="center"/>
          </w:tcPr>
          <w:p w14:paraId="7B10AE68">
            <w:pPr>
              <w:pStyle w:val="23"/>
              <w:bidi w:val="0"/>
              <w:rPr>
                <w:color w:val="auto"/>
                <w:u w:val="none" w:color="auto"/>
              </w:rPr>
            </w:pPr>
          </w:p>
        </w:tc>
      </w:tr>
      <w:tr w14:paraId="6A4E84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12" w:hRule="atLeast"/>
        </w:trPr>
        <w:tc>
          <w:tcPr>
            <w:tcW w:w="1246" w:type="dxa"/>
            <w:noWrap w:val="0"/>
            <w:vAlign w:val="center"/>
          </w:tcPr>
          <w:p w14:paraId="5B853984">
            <w:pPr>
              <w:pStyle w:val="23"/>
              <w:bidi w:val="0"/>
              <w:rPr>
                <w:rFonts w:hint="default"/>
                <w:color w:val="auto"/>
                <w:u w:val="none" w:color="auto"/>
                <w:lang w:val="en-US" w:eastAsia="zh-CN"/>
              </w:rPr>
            </w:pPr>
            <w:r>
              <w:rPr>
                <w:rFonts w:hint="eastAsia"/>
                <w:color w:val="auto"/>
                <w:u w:val="none" w:color="auto"/>
                <w:lang w:val="en-US" w:eastAsia="zh-CN"/>
              </w:rPr>
              <w:t>二甲苯</w:t>
            </w:r>
          </w:p>
        </w:tc>
        <w:tc>
          <w:tcPr>
            <w:tcW w:w="1233" w:type="dxa"/>
            <w:noWrap w:val="0"/>
            <w:vAlign w:val="center"/>
          </w:tcPr>
          <w:p w14:paraId="0C67C941">
            <w:pPr>
              <w:pStyle w:val="23"/>
              <w:bidi w:val="0"/>
              <w:rPr>
                <w:rFonts w:ascii="Times New Roman" w:hAnsi="Times New Roman" w:eastAsia="宋体" w:cs="Times New Roman"/>
                <w:b w:val="0"/>
                <w:bCs/>
                <w:color w:val="auto"/>
                <w:kern w:val="0"/>
                <w:sz w:val="21"/>
                <w:szCs w:val="21"/>
                <w:u w:val="none" w:color="auto"/>
                <w:lang w:val="en-US" w:eastAsia="zh-CN" w:bidi="ar-SA"/>
              </w:rPr>
            </w:pPr>
            <w:r>
              <w:rPr>
                <w:color w:val="auto"/>
                <w:u w:val="none" w:color="auto"/>
              </w:rPr>
              <w:t>二类区</w:t>
            </w:r>
          </w:p>
        </w:tc>
        <w:tc>
          <w:tcPr>
            <w:tcW w:w="1335" w:type="dxa"/>
            <w:noWrap w:val="0"/>
            <w:vAlign w:val="center"/>
          </w:tcPr>
          <w:p w14:paraId="06D27365">
            <w:pPr>
              <w:pStyle w:val="23"/>
              <w:bidi w:val="0"/>
              <w:rPr>
                <w:rFonts w:ascii="Times New Roman" w:hAnsi="Times New Roman" w:eastAsia="宋体" w:cs="Times New Roman"/>
                <w:b w:val="0"/>
                <w:bCs/>
                <w:color w:val="auto"/>
                <w:kern w:val="0"/>
                <w:sz w:val="21"/>
                <w:szCs w:val="21"/>
                <w:u w:val="none" w:color="auto"/>
                <w:lang w:val="en-US" w:eastAsia="zh-CN" w:bidi="ar-SA"/>
              </w:rPr>
            </w:pPr>
            <w:r>
              <w:rPr>
                <w:color w:val="auto"/>
                <w:u w:val="none" w:color="auto"/>
              </w:rPr>
              <w:t>1小时</w:t>
            </w:r>
          </w:p>
        </w:tc>
        <w:tc>
          <w:tcPr>
            <w:tcW w:w="1640" w:type="dxa"/>
            <w:noWrap w:val="0"/>
            <w:vAlign w:val="center"/>
          </w:tcPr>
          <w:p w14:paraId="782F3EB6">
            <w:pPr>
              <w:pStyle w:val="23"/>
              <w:bidi w:val="0"/>
              <w:rPr>
                <w:rFonts w:hint="default"/>
                <w:color w:val="auto"/>
                <w:u w:val="none" w:color="auto"/>
                <w:lang w:val="en-US" w:eastAsia="zh-CN"/>
              </w:rPr>
            </w:pPr>
            <w:r>
              <w:rPr>
                <w:rFonts w:hint="eastAsia"/>
                <w:color w:val="auto"/>
                <w:u w:val="none" w:color="auto"/>
                <w:lang w:val="en-US" w:eastAsia="zh-CN"/>
              </w:rPr>
              <w:t>200</w:t>
            </w:r>
          </w:p>
        </w:tc>
        <w:tc>
          <w:tcPr>
            <w:tcW w:w="3048" w:type="dxa"/>
            <w:vMerge w:val="continue"/>
            <w:noWrap w:val="0"/>
            <w:vAlign w:val="center"/>
          </w:tcPr>
          <w:p w14:paraId="3397627D">
            <w:pPr>
              <w:pStyle w:val="23"/>
              <w:bidi w:val="0"/>
              <w:rPr>
                <w:color w:val="auto"/>
                <w:u w:val="none" w:color="auto"/>
              </w:rPr>
            </w:pPr>
          </w:p>
        </w:tc>
      </w:tr>
    </w:tbl>
    <w:p w14:paraId="31FEFB1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②估算模型参数表见</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REF _Ref488155516 \h  \* MERGEFORMAT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表</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w:t>
      </w:r>
    </w:p>
    <w:p w14:paraId="11288163">
      <w:pPr>
        <w:pStyle w:val="22"/>
        <w:bidi w:val="0"/>
        <w:rPr>
          <w:rFonts w:hint="default"/>
          <w:color w:val="auto"/>
          <w:u w:val="none" w:color="auto"/>
        </w:rPr>
      </w:pPr>
      <w:bookmarkStart w:id="1042" w:name="_Ref488155516"/>
      <w:r>
        <w:rPr>
          <w:rFonts w:hint="default"/>
          <w:color w:val="auto"/>
          <w:u w:val="none" w:color="auto"/>
        </w:rPr>
        <w:t>表</w:t>
      </w:r>
      <w:bookmarkEnd w:id="1042"/>
      <w:r>
        <w:rPr>
          <w:rFonts w:hint="eastAsia"/>
          <w:color w:val="auto"/>
          <w:u w:val="none" w:color="auto"/>
          <w:lang w:val="en-US" w:eastAsia="zh-CN"/>
        </w:rPr>
        <w:t>6</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2</w:t>
      </w:r>
      <w:r>
        <w:rPr>
          <w:rFonts w:hint="default"/>
          <w:color w:val="auto"/>
          <w:u w:val="none" w:color="auto"/>
        </w:rPr>
        <w:t xml:space="preserve">    估算模型参数表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Layout w:type="fixed"/>
        <w:tblCellMar>
          <w:top w:w="0" w:type="dxa"/>
          <w:left w:w="108" w:type="dxa"/>
          <w:bottom w:w="0" w:type="dxa"/>
          <w:right w:w="108" w:type="dxa"/>
        </w:tblCellMar>
      </w:tblPr>
      <w:tblGrid>
        <w:gridCol w:w="1842"/>
        <w:gridCol w:w="4243"/>
        <w:gridCol w:w="2419"/>
      </w:tblGrid>
      <w:tr w14:paraId="2C8ED058">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96" w:hRule="atLeast"/>
          <w:tblHeader/>
          <w:jc w:val="center"/>
        </w:trPr>
        <w:tc>
          <w:tcPr>
            <w:tcW w:w="6085" w:type="dxa"/>
            <w:gridSpan w:val="2"/>
            <w:tcBorders>
              <w:top w:val="single" w:color="000000" w:sz="12" w:space="0"/>
              <w:left w:val="single" w:color="000000" w:sz="12" w:space="0"/>
              <w:bottom w:val="single" w:color="000000" w:sz="6" w:space="0"/>
            </w:tcBorders>
            <w:noWrap w:val="0"/>
            <w:vAlign w:val="center"/>
          </w:tcPr>
          <w:p w14:paraId="5AA8131C">
            <w:pPr>
              <w:pStyle w:val="23"/>
              <w:bidi w:val="0"/>
              <w:rPr>
                <w:color w:val="auto"/>
                <w:u w:val="none" w:color="auto"/>
              </w:rPr>
            </w:pPr>
            <w:r>
              <w:rPr>
                <w:color w:val="auto"/>
                <w:u w:val="none" w:color="auto"/>
              </w:rPr>
              <w:t>参数</w:t>
            </w:r>
          </w:p>
        </w:tc>
        <w:tc>
          <w:tcPr>
            <w:tcW w:w="2419" w:type="dxa"/>
            <w:tcBorders>
              <w:top w:val="single" w:color="000000" w:sz="12" w:space="0"/>
              <w:bottom w:val="single" w:color="000000" w:sz="6" w:space="0"/>
              <w:right w:val="single" w:color="000000" w:sz="12" w:space="0"/>
            </w:tcBorders>
            <w:noWrap/>
            <w:vAlign w:val="center"/>
          </w:tcPr>
          <w:p w14:paraId="34ED6CB9">
            <w:pPr>
              <w:pStyle w:val="23"/>
              <w:bidi w:val="0"/>
              <w:rPr>
                <w:color w:val="auto"/>
                <w:u w:val="none" w:color="auto"/>
              </w:rPr>
            </w:pPr>
            <w:r>
              <w:rPr>
                <w:color w:val="auto"/>
                <w:u w:val="none" w:color="auto"/>
              </w:rPr>
              <w:t>取值</w:t>
            </w:r>
          </w:p>
        </w:tc>
      </w:tr>
      <w:tr w14:paraId="2C68982D">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72" w:hRule="atLeast"/>
          <w:jc w:val="center"/>
        </w:trPr>
        <w:tc>
          <w:tcPr>
            <w:tcW w:w="1842" w:type="dxa"/>
            <w:vMerge w:val="restart"/>
            <w:tcBorders>
              <w:top w:val="single" w:color="000000" w:sz="6" w:space="0"/>
              <w:left w:val="single" w:color="000000" w:sz="12" w:space="0"/>
              <w:bottom w:val="single" w:color="000000" w:sz="6" w:space="0"/>
            </w:tcBorders>
            <w:noWrap w:val="0"/>
            <w:vAlign w:val="center"/>
          </w:tcPr>
          <w:p w14:paraId="7B2CD469">
            <w:pPr>
              <w:pStyle w:val="23"/>
              <w:bidi w:val="0"/>
              <w:rPr>
                <w:color w:val="auto"/>
                <w:u w:val="none" w:color="auto"/>
              </w:rPr>
            </w:pPr>
            <w:r>
              <w:rPr>
                <w:color w:val="auto"/>
                <w:u w:val="none" w:color="auto"/>
              </w:rPr>
              <w:t>城市/农村选项</w:t>
            </w:r>
          </w:p>
        </w:tc>
        <w:tc>
          <w:tcPr>
            <w:tcW w:w="4243" w:type="dxa"/>
            <w:tcBorders>
              <w:top w:val="single" w:color="000000" w:sz="6" w:space="0"/>
              <w:bottom w:val="single" w:color="000000" w:sz="6" w:space="0"/>
            </w:tcBorders>
            <w:noWrap/>
            <w:vAlign w:val="center"/>
          </w:tcPr>
          <w:p w14:paraId="57550633">
            <w:pPr>
              <w:pStyle w:val="23"/>
              <w:bidi w:val="0"/>
              <w:rPr>
                <w:color w:val="auto"/>
                <w:u w:val="none" w:color="auto"/>
              </w:rPr>
            </w:pPr>
            <w:r>
              <w:rPr>
                <w:color w:val="auto"/>
                <w:u w:val="none" w:color="auto"/>
              </w:rPr>
              <w:t>城市/农村</w:t>
            </w:r>
          </w:p>
        </w:tc>
        <w:tc>
          <w:tcPr>
            <w:tcW w:w="2419" w:type="dxa"/>
            <w:tcBorders>
              <w:top w:val="single" w:color="000000" w:sz="6" w:space="0"/>
              <w:bottom w:val="single" w:color="000000" w:sz="6" w:space="0"/>
              <w:right w:val="single" w:color="000000" w:sz="12" w:space="0"/>
            </w:tcBorders>
            <w:noWrap/>
            <w:vAlign w:val="center"/>
          </w:tcPr>
          <w:p w14:paraId="30964003">
            <w:pPr>
              <w:pStyle w:val="23"/>
              <w:bidi w:val="0"/>
              <w:rPr>
                <w:rFonts w:hint="default"/>
                <w:color w:val="auto"/>
                <w:u w:val="none" w:color="auto"/>
                <w:lang w:val="en-US" w:eastAsia="zh-CN"/>
              </w:rPr>
            </w:pPr>
            <w:r>
              <w:rPr>
                <w:rFonts w:hint="eastAsia"/>
                <w:color w:val="auto"/>
                <w:u w:val="none" w:color="auto"/>
                <w:lang w:val="en-US" w:eastAsia="zh-CN"/>
              </w:rPr>
              <w:t>城市</w:t>
            </w:r>
          </w:p>
        </w:tc>
      </w:tr>
      <w:tr w14:paraId="1ABB6A66">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49" w:hRule="atLeast"/>
          <w:jc w:val="center"/>
        </w:trPr>
        <w:tc>
          <w:tcPr>
            <w:tcW w:w="1842" w:type="dxa"/>
            <w:vMerge w:val="continue"/>
            <w:tcBorders>
              <w:top w:val="single" w:color="000000" w:sz="6" w:space="0"/>
              <w:left w:val="single" w:color="000000" w:sz="12" w:space="0"/>
              <w:bottom w:val="single" w:color="000000" w:sz="6" w:space="0"/>
            </w:tcBorders>
            <w:noWrap w:val="0"/>
            <w:vAlign w:val="center"/>
          </w:tcPr>
          <w:p w14:paraId="01C8A926">
            <w:pPr>
              <w:pStyle w:val="23"/>
              <w:bidi w:val="0"/>
              <w:rPr>
                <w:color w:val="auto"/>
                <w:u w:val="none" w:color="auto"/>
              </w:rPr>
            </w:pPr>
          </w:p>
        </w:tc>
        <w:tc>
          <w:tcPr>
            <w:tcW w:w="4243" w:type="dxa"/>
            <w:tcBorders>
              <w:top w:val="single" w:color="000000" w:sz="6" w:space="0"/>
              <w:bottom w:val="single" w:color="000000" w:sz="6" w:space="0"/>
            </w:tcBorders>
            <w:noWrap/>
            <w:vAlign w:val="center"/>
          </w:tcPr>
          <w:p w14:paraId="1F0A4C5A">
            <w:pPr>
              <w:pStyle w:val="23"/>
              <w:bidi w:val="0"/>
              <w:rPr>
                <w:color w:val="auto"/>
                <w:u w:val="none" w:color="auto"/>
              </w:rPr>
            </w:pPr>
            <w:r>
              <w:rPr>
                <w:color w:val="auto"/>
                <w:u w:val="none" w:color="auto"/>
              </w:rPr>
              <w:t>人口数（城市选项时）</w:t>
            </w:r>
          </w:p>
        </w:tc>
        <w:tc>
          <w:tcPr>
            <w:tcW w:w="2419" w:type="dxa"/>
            <w:tcBorders>
              <w:top w:val="single" w:color="000000" w:sz="6" w:space="0"/>
              <w:bottom w:val="single" w:color="000000" w:sz="6" w:space="0"/>
              <w:right w:val="single" w:color="000000" w:sz="12" w:space="0"/>
            </w:tcBorders>
            <w:noWrap/>
            <w:vAlign w:val="center"/>
          </w:tcPr>
          <w:p w14:paraId="64B61192">
            <w:pPr>
              <w:pStyle w:val="23"/>
              <w:bidi w:val="0"/>
              <w:rPr>
                <w:rFonts w:hint="default"/>
                <w:color w:val="auto"/>
                <w:u w:val="none" w:color="auto"/>
                <w:lang w:val="en-US" w:eastAsia="zh-CN"/>
              </w:rPr>
            </w:pPr>
            <w:r>
              <w:rPr>
                <w:color w:val="auto"/>
                <w:u w:val="none" w:color="auto"/>
              </w:rPr>
              <w:t>—</w:t>
            </w:r>
          </w:p>
        </w:tc>
      </w:tr>
      <w:tr w14:paraId="43EF99C5">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24" w:hRule="atLeast"/>
          <w:jc w:val="center"/>
        </w:trPr>
        <w:tc>
          <w:tcPr>
            <w:tcW w:w="6085" w:type="dxa"/>
            <w:gridSpan w:val="2"/>
            <w:tcBorders>
              <w:top w:val="single" w:color="000000" w:sz="6" w:space="0"/>
              <w:left w:val="single" w:color="000000" w:sz="12" w:space="0"/>
              <w:bottom w:val="single" w:color="000000" w:sz="6" w:space="0"/>
            </w:tcBorders>
            <w:noWrap w:val="0"/>
            <w:vAlign w:val="center"/>
          </w:tcPr>
          <w:p w14:paraId="42A0198F">
            <w:pPr>
              <w:pStyle w:val="23"/>
              <w:bidi w:val="0"/>
              <w:rPr>
                <w:color w:val="auto"/>
                <w:u w:val="none" w:color="auto"/>
              </w:rPr>
            </w:pPr>
            <w:r>
              <w:rPr>
                <w:color w:val="auto"/>
                <w:u w:val="none" w:color="auto"/>
              </w:rPr>
              <w:t>最高环境温度/ ℃</w:t>
            </w:r>
          </w:p>
        </w:tc>
        <w:tc>
          <w:tcPr>
            <w:tcW w:w="2419" w:type="dxa"/>
            <w:tcBorders>
              <w:top w:val="single" w:color="000000" w:sz="6" w:space="0"/>
              <w:bottom w:val="single" w:color="000000" w:sz="6" w:space="0"/>
              <w:right w:val="single" w:color="000000" w:sz="12" w:space="0"/>
            </w:tcBorders>
            <w:noWrap/>
            <w:vAlign w:val="center"/>
          </w:tcPr>
          <w:p w14:paraId="125F5F69">
            <w:pPr>
              <w:pStyle w:val="23"/>
              <w:bidi w:val="0"/>
              <w:rPr>
                <w:color w:val="auto"/>
                <w:u w:val="none" w:color="auto"/>
              </w:rPr>
            </w:pPr>
            <w:r>
              <w:rPr>
                <w:color w:val="auto"/>
                <w:u w:val="none" w:color="auto"/>
              </w:rPr>
              <w:t>39.7</w:t>
            </w:r>
          </w:p>
        </w:tc>
      </w:tr>
      <w:tr w14:paraId="276D09BE">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256" w:hRule="atLeast"/>
          <w:jc w:val="center"/>
        </w:trPr>
        <w:tc>
          <w:tcPr>
            <w:tcW w:w="6085" w:type="dxa"/>
            <w:gridSpan w:val="2"/>
            <w:tcBorders>
              <w:top w:val="single" w:color="000000" w:sz="6" w:space="0"/>
              <w:left w:val="single" w:color="000000" w:sz="12" w:space="0"/>
              <w:bottom w:val="single" w:color="000000" w:sz="6" w:space="0"/>
            </w:tcBorders>
            <w:noWrap w:val="0"/>
            <w:vAlign w:val="center"/>
          </w:tcPr>
          <w:p w14:paraId="498EEA8A">
            <w:pPr>
              <w:pStyle w:val="23"/>
              <w:bidi w:val="0"/>
              <w:rPr>
                <w:color w:val="auto"/>
                <w:u w:val="none" w:color="auto"/>
              </w:rPr>
            </w:pPr>
            <w:r>
              <w:rPr>
                <w:color w:val="auto"/>
                <w:u w:val="none" w:color="auto"/>
              </w:rPr>
              <w:t>最低环境温度/ ℃</w:t>
            </w:r>
          </w:p>
        </w:tc>
        <w:tc>
          <w:tcPr>
            <w:tcW w:w="2419" w:type="dxa"/>
            <w:tcBorders>
              <w:top w:val="single" w:color="000000" w:sz="6" w:space="0"/>
              <w:bottom w:val="single" w:color="000000" w:sz="6" w:space="0"/>
              <w:right w:val="single" w:color="000000" w:sz="12" w:space="0"/>
            </w:tcBorders>
            <w:noWrap/>
            <w:vAlign w:val="center"/>
          </w:tcPr>
          <w:p w14:paraId="0BC5D9A2">
            <w:pPr>
              <w:pStyle w:val="23"/>
              <w:bidi w:val="0"/>
              <w:rPr>
                <w:color w:val="auto"/>
                <w:u w:val="none" w:color="auto"/>
              </w:rPr>
            </w:pPr>
            <w:r>
              <w:rPr>
                <w:color w:val="auto"/>
                <w:u w:val="none" w:color="auto"/>
              </w:rPr>
              <w:t>-14.3</w:t>
            </w:r>
          </w:p>
        </w:tc>
      </w:tr>
      <w:tr w14:paraId="09548092">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65" w:hRule="atLeast"/>
          <w:jc w:val="center"/>
        </w:trPr>
        <w:tc>
          <w:tcPr>
            <w:tcW w:w="6085" w:type="dxa"/>
            <w:gridSpan w:val="2"/>
            <w:tcBorders>
              <w:top w:val="single" w:color="000000" w:sz="6" w:space="0"/>
              <w:left w:val="single" w:color="000000" w:sz="12" w:space="0"/>
              <w:bottom w:val="single" w:color="000000" w:sz="6" w:space="0"/>
            </w:tcBorders>
            <w:noWrap w:val="0"/>
            <w:vAlign w:val="center"/>
          </w:tcPr>
          <w:p w14:paraId="2AA31279">
            <w:pPr>
              <w:pStyle w:val="23"/>
              <w:bidi w:val="0"/>
              <w:rPr>
                <w:color w:val="auto"/>
                <w:u w:val="none" w:color="auto"/>
              </w:rPr>
            </w:pPr>
            <w:r>
              <w:rPr>
                <w:color w:val="auto"/>
                <w:u w:val="none" w:color="auto"/>
              </w:rPr>
              <w:t>土地利用类型</w:t>
            </w:r>
          </w:p>
        </w:tc>
        <w:tc>
          <w:tcPr>
            <w:tcW w:w="2419" w:type="dxa"/>
            <w:tcBorders>
              <w:top w:val="single" w:color="000000" w:sz="6" w:space="0"/>
              <w:bottom w:val="single" w:color="000000" w:sz="6" w:space="0"/>
              <w:right w:val="single" w:color="000000" w:sz="12" w:space="0"/>
            </w:tcBorders>
            <w:noWrap/>
            <w:vAlign w:val="center"/>
          </w:tcPr>
          <w:p w14:paraId="6C9678A9">
            <w:pPr>
              <w:pStyle w:val="23"/>
              <w:bidi w:val="0"/>
              <w:rPr>
                <w:rFonts w:hint="eastAsia"/>
                <w:color w:val="auto"/>
                <w:u w:val="none" w:color="auto"/>
                <w:lang w:eastAsia="zh-CN"/>
              </w:rPr>
            </w:pPr>
            <w:r>
              <w:rPr>
                <w:rFonts w:hint="eastAsia"/>
                <w:color w:val="auto"/>
                <w:u w:val="none" w:color="auto"/>
                <w:lang w:val="en-US" w:eastAsia="zh-CN"/>
              </w:rPr>
              <w:t>针</w:t>
            </w:r>
            <w:r>
              <w:rPr>
                <w:rFonts w:hint="eastAsia"/>
                <w:color w:val="auto"/>
                <w:u w:val="none" w:color="auto"/>
                <w:lang w:eastAsia="zh-CN"/>
              </w:rPr>
              <w:t>叶林</w:t>
            </w:r>
          </w:p>
        </w:tc>
      </w:tr>
      <w:tr w14:paraId="46D93C92">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65" w:hRule="atLeast"/>
          <w:jc w:val="center"/>
        </w:trPr>
        <w:tc>
          <w:tcPr>
            <w:tcW w:w="6085" w:type="dxa"/>
            <w:gridSpan w:val="2"/>
            <w:tcBorders>
              <w:top w:val="single" w:color="000000" w:sz="6" w:space="0"/>
              <w:left w:val="single" w:color="000000" w:sz="12" w:space="0"/>
              <w:bottom w:val="single" w:color="000000" w:sz="6" w:space="0"/>
            </w:tcBorders>
            <w:noWrap w:val="0"/>
            <w:vAlign w:val="center"/>
          </w:tcPr>
          <w:p w14:paraId="7B5B6088">
            <w:pPr>
              <w:pStyle w:val="23"/>
              <w:bidi w:val="0"/>
              <w:rPr>
                <w:color w:val="auto"/>
                <w:u w:val="none" w:color="auto"/>
              </w:rPr>
            </w:pPr>
            <w:r>
              <w:rPr>
                <w:color w:val="auto"/>
                <w:u w:val="none" w:color="auto"/>
              </w:rPr>
              <w:t>区域湿度条件</w:t>
            </w:r>
          </w:p>
        </w:tc>
        <w:tc>
          <w:tcPr>
            <w:tcW w:w="2419" w:type="dxa"/>
            <w:tcBorders>
              <w:top w:val="single" w:color="000000" w:sz="6" w:space="0"/>
              <w:bottom w:val="single" w:color="000000" w:sz="6" w:space="0"/>
              <w:right w:val="single" w:color="000000" w:sz="12" w:space="0"/>
            </w:tcBorders>
            <w:noWrap/>
            <w:vAlign w:val="center"/>
          </w:tcPr>
          <w:p w14:paraId="123F22F2">
            <w:pPr>
              <w:pStyle w:val="23"/>
              <w:bidi w:val="0"/>
              <w:rPr>
                <w:color w:val="auto"/>
                <w:u w:val="none" w:color="auto"/>
              </w:rPr>
            </w:pPr>
            <w:r>
              <w:rPr>
                <w:rFonts w:hint="eastAsia"/>
                <w:color w:val="auto"/>
                <w:u w:val="none" w:color="auto"/>
                <w:lang w:val="en-US" w:eastAsia="zh-CN"/>
              </w:rPr>
              <w:t>潮湿</w:t>
            </w:r>
            <w:r>
              <w:rPr>
                <w:color w:val="auto"/>
                <w:u w:val="none" w:color="auto"/>
              </w:rPr>
              <w:t>气候</w:t>
            </w:r>
          </w:p>
        </w:tc>
      </w:tr>
      <w:tr w14:paraId="6DD5653E">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98" w:hRule="atLeast"/>
          <w:jc w:val="center"/>
        </w:trPr>
        <w:tc>
          <w:tcPr>
            <w:tcW w:w="1842" w:type="dxa"/>
            <w:vMerge w:val="restart"/>
            <w:tcBorders>
              <w:top w:val="single" w:color="000000" w:sz="6" w:space="0"/>
              <w:left w:val="single" w:color="000000" w:sz="12" w:space="0"/>
              <w:bottom w:val="single" w:color="000000" w:sz="6" w:space="0"/>
            </w:tcBorders>
            <w:noWrap w:val="0"/>
            <w:vAlign w:val="center"/>
          </w:tcPr>
          <w:p w14:paraId="567ABC4B">
            <w:pPr>
              <w:pStyle w:val="23"/>
              <w:bidi w:val="0"/>
              <w:rPr>
                <w:color w:val="auto"/>
                <w:u w:val="none" w:color="auto"/>
              </w:rPr>
            </w:pPr>
            <w:r>
              <w:rPr>
                <w:color w:val="auto"/>
                <w:u w:val="none" w:color="auto"/>
              </w:rPr>
              <w:t>是否考虑地形</w:t>
            </w:r>
          </w:p>
        </w:tc>
        <w:tc>
          <w:tcPr>
            <w:tcW w:w="4243" w:type="dxa"/>
            <w:tcBorders>
              <w:top w:val="single" w:color="000000" w:sz="6" w:space="0"/>
              <w:bottom w:val="single" w:color="000000" w:sz="6" w:space="0"/>
            </w:tcBorders>
            <w:noWrap/>
            <w:vAlign w:val="center"/>
          </w:tcPr>
          <w:p w14:paraId="63AC59BA">
            <w:pPr>
              <w:pStyle w:val="23"/>
              <w:bidi w:val="0"/>
              <w:rPr>
                <w:color w:val="auto"/>
                <w:u w:val="none" w:color="auto"/>
              </w:rPr>
            </w:pPr>
            <w:r>
              <w:rPr>
                <w:color w:val="auto"/>
                <w:u w:val="none" w:color="auto"/>
              </w:rPr>
              <w:t>考虑地形</w:t>
            </w:r>
          </w:p>
        </w:tc>
        <w:tc>
          <w:tcPr>
            <w:tcW w:w="2419" w:type="dxa"/>
            <w:tcBorders>
              <w:top w:val="single" w:color="000000" w:sz="6" w:space="0"/>
              <w:bottom w:val="single" w:color="000000" w:sz="6" w:space="0"/>
              <w:right w:val="single" w:color="000000" w:sz="12" w:space="0"/>
            </w:tcBorders>
            <w:noWrap/>
            <w:vAlign w:val="center"/>
          </w:tcPr>
          <w:p w14:paraId="1131BE1B">
            <w:pPr>
              <w:pStyle w:val="23"/>
              <w:bidi w:val="0"/>
              <w:rPr>
                <w:color w:val="auto"/>
                <w:u w:val="none" w:color="auto"/>
              </w:rPr>
            </w:pPr>
            <w:r>
              <w:rPr>
                <w:color w:val="auto"/>
                <w:u w:val="none" w:color="auto"/>
              </w:rPr>
              <w:t>是</w:t>
            </w:r>
          </w:p>
        </w:tc>
      </w:tr>
      <w:tr w14:paraId="6D5E50DA">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PrEx>
        <w:trPr>
          <w:trHeight w:val="160" w:hRule="atLeast"/>
          <w:jc w:val="center"/>
        </w:trPr>
        <w:tc>
          <w:tcPr>
            <w:tcW w:w="1842" w:type="dxa"/>
            <w:vMerge w:val="continue"/>
            <w:tcBorders>
              <w:top w:val="single" w:color="000000" w:sz="6" w:space="0"/>
              <w:left w:val="single" w:color="000000" w:sz="12" w:space="0"/>
              <w:bottom w:val="single" w:color="000000" w:sz="6" w:space="0"/>
            </w:tcBorders>
            <w:noWrap w:val="0"/>
            <w:vAlign w:val="center"/>
          </w:tcPr>
          <w:p w14:paraId="0AC6A7BF">
            <w:pPr>
              <w:pStyle w:val="23"/>
              <w:bidi w:val="0"/>
              <w:rPr>
                <w:color w:val="auto"/>
                <w:u w:val="none" w:color="auto"/>
              </w:rPr>
            </w:pPr>
          </w:p>
        </w:tc>
        <w:tc>
          <w:tcPr>
            <w:tcW w:w="4243" w:type="dxa"/>
            <w:tcBorders>
              <w:top w:val="single" w:color="000000" w:sz="6" w:space="0"/>
              <w:bottom w:val="single" w:color="000000" w:sz="6" w:space="0"/>
            </w:tcBorders>
            <w:noWrap/>
            <w:vAlign w:val="center"/>
          </w:tcPr>
          <w:p w14:paraId="57DE7D79">
            <w:pPr>
              <w:pStyle w:val="23"/>
              <w:bidi w:val="0"/>
              <w:rPr>
                <w:color w:val="auto"/>
                <w:u w:val="none" w:color="auto"/>
              </w:rPr>
            </w:pPr>
            <w:r>
              <w:rPr>
                <w:color w:val="auto"/>
                <w:u w:val="none" w:color="auto"/>
              </w:rPr>
              <w:t>地形数据分辨率 / m</w:t>
            </w:r>
          </w:p>
        </w:tc>
        <w:tc>
          <w:tcPr>
            <w:tcW w:w="2419" w:type="dxa"/>
            <w:tcBorders>
              <w:top w:val="single" w:color="000000" w:sz="6" w:space="0"/>
              <w:bottom w:val="single" w:color="000000" w:sz="6" w:space="0"/>
              <w:right w:val="single" w:color="000000" w:sz="12" w:space="0"/>
            </w:tcBorders>
            <w:noWrap/>
            <w:vAlign w:val="center"/>
          </w:tcPr>
          <w:p w14:paraId="50D1B85D">
            <w:pPr>
              <w:pStyle w:val="23"/>
              <w:bidi w:val="0"/>
              <w:rPr>
                <w:color w:val="auto"/>
                <w:u w:val="none" w:color="auto"/>
              </w:rPr>
            </w:pPr>
            <w:r>
              <w:rPr>
                <w:color w:val="auto"/>
                <w:u w:val="none" w:color="auto"/>
              </w:rPr>
              <w:t>90</w:t>
            </w:r>
          </w:p>
        </w:tc>
      </w:tr>
      <w:tr w14:paraId="4F5A554B">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391" w:hRule="atLeast"/>
          <w:jc w:val="center"/>
        </w:trPr>
        <w:tc>
          <w:tcPr>
            <w:tcW w:w="1842" w:type="dxa"/>
            <w:vMerge w:val="restart"/>
            <w:tcBorders>
              <w:top w:val="single" w:color="000000" w:sz="6" w:space="0"/>
              <w:left w:val="single" w:color="000000" w:sz="12" w:space="0"/>
              <w:bottom w:val="single" w:color="000000" w:sz="12" w:space="0"/>
            </w:tcBorders>
            <w:noWrap w:val="0"/>
            <w:vAlign w:val="center"/>
          </w:tcPr>
          <w:p w14:paraId="7A37107F">
            <w:pPr>
              <w:pStyle w:val="23"/>
              <w:bidi w:val="0"/>
              <w:rPr>
                <w:color w:val="auto"/>
                <w:u w:val="none" w:color="auto"/>
              </w:rPr>
            </w:pPr>
            <w:r>
              <w:rPr>
                <w:color w:val="auto"/>
                <w:u w:val="none" w:color="auto"/>
              </w:rPr>
              <w:t>是否考</w:t>
            </w:r>
          </w:p>
          <w:p w14:paraId="68E01833">
            <w:pPr>
              <w:pStyle w:val="23"/>
              <w:bidi w:val="0"/>
              <w:rPr>
                <w:color w:val="auto"/>
                <w:u w:val="none" w:color="auto"/>
              </w:rPr>
            </w:pPr>
            <w:r>
              <w:rPr>
                <w:color w:val="auto"/>
                <w:u w:val="none" w:color="auto"/>
              </w:rPr>
              <w:t>虑岸线熏烟</w:t>
            </w:r>
          </w:p>
        </w:tc>
        <w:tc>
          <w:tcPr>
            <w:tcW w:w="4243" w:type="dxa"/>
            <w:tcBorders>
              <w:top w:val="single" w:color="000000" w:sz="6" w:space="0"/>
              <w:bottom w:val="single" w:color="000000" w:sz="6" w:space="0"/>
            </w:tcBorders>
            <w:noWrap/>
            <w:vAlign w:val="center"/>
          </w:tcPr>
          <w:p w14:paraId="4EC7B07E">
            <w:pPr>
              <w:pStyle w:val="23"/>
              <w:bidi w:val="0"/>
              <w:rPr>
                <w:color w:val="auto"/>
                <w:u w:val="none" w:color="auto"/>
              </w:rPr>
            </w:pPr>
            <w:r>
              <w:rPr>
                <w:color w:val="auto"/>
                <w:u w:val="none" w:color="auto"/>
              </w:rPr>
              <w:t>考虑岸线熏烟</w:t>
            </w:r>
          </w:p>
        </w:tc>
        <w:tc>
          <w:tcPr>
            <w:tcW w:w="2419" w:type="dxa"/>
            <w:tcBorders>
              <w:top w:val="single" w:color="000000" w:sz="6" w:space="0"/>
              <w:bottom w:val="single" w:color="000000" w:sz="6" w:space="0"/>
              <w:right w:val="single" w:color="000000" w:sz="12" w:space="0"/>
            </w:tcBorders>
            <w:noWrap/>
            <w:vAlign w:val="center"/>
          </w:tcPr>
          <w:p w14:paraId="3ED4183F">
            <w:pPr>
              <w:pStyle w:val="23"/>
              <w:bidi w:val="0"/>
              <w:rPr>
                <w:color w:val="auto"/>
                <w:u w:val="none" w:color="auto"/>
              </w:rPr>
            </w:pPr>
            <w:r>
              <w:rPr>
                <w:color w:val="auto"/>
                <w:u w:val="none" w:color="auto"/>
              </w:rPr>
              <w:t>否</w:t>
            </w:r>
          </w:p>
        </w:tc>
      </w:tr>
      <w:tr w14:paraId="4B9B6011">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83" w:hRule="atLeast"/>
          <w:jc w:val="center"/>
        </w:trPr>
        <w:tc>
          <w:tcPr>
            <w:tcW w:w="1842" w:type="dxa"/>
            <w:vMerge w:val="continue"/>
            <w:tcBorders>
              <w:top w:val="single" w:color="000000" w:sz="6" w:space="0"/>
              <w:left w:val="single" w:color="000000" w:sz="12" w:space="0"/>
              <w:bottom w:val="single" w:color="000000" w:sz="12" w:space="0"/>
            </w:tcBorders>
            <w:noWrap w:val="0"/>
            <w:vAlign w:val="center"/>
          </w:tcPr>
          <w:p w14:paraId="79249EA2">
            <w:pPr>
              <w:pStyle w:val="23"/>
              <w:bidi w:val="0"/>
              <w:rPr>
                <w:color w:val="auto"/>
                <w:u w:val="none" w:color="auto"/>
              </w:rPr>
            </w:pPr>
          </w:p>
        </w:tc>
        <w:tc>
          <w:tcPr>
            <w:tcW w:w="4243" w:type="dxa"/>
            <w:tcBorders>
              <w:top w:val="single" w:color="000000" w:sz="6" w:space="0"/>
              <w:bottom w:val="single" w:color="000000" w:sz="6" w:space="0"/>
            </w:tcBorders>
            <w:noWrap/>
            <w:vAlign w:val="center"/>
          </w:tcPr>
          <w:p w14:paraId="4D16F74A">
            <w:pPr>
              <w:pStyle w:val="23"/>
              <w:bidi w:val="0"/>
              <w:rPr>
                <w:color w:val="auto"/>
                <w:u w:val="none" w:color="auto"/>
              </w:rPr>
            </w:pPr>
            <w:r>
              <w:rPr>
                <w:color w:val="auto"/>
                <w:u w:val="none" w:color="auto"/>
              </w:rPr>
              <w:t>岸线距离/ km</w:t>
            </w:r>
          </w:p>
        </w:tc>
        <w:tc>
          <w:tcPr>
            <w:tcW w:w="2419" w:type="dxa"/>
            <w:tcBorders>
              <w:top w:val="single" w:color="000000" w:sz="6" w:space="0"/>
              <w:bottom w:val="single" w:color="000000" w:sz="6" w:space="0"/>
              <w:right w:val="single" w:color="000000" w:sz="12" w:space="0"/>
            </w:tcBorders>
            <w:noWrap/>
            <w:vAlign w:val="center"/>
          </w:tcPr>
          <w:p w14:paraId="22943DFA">
            <w:pPr>
              <w:pStyle w:val="23"/>
              <w:bidi w:val="0"/>
              <w:rPr>
                <w:color w:val="auto"/>
                <w:u w:val="none" w:color="auto"/>
              </w:rPr>
            </w:pPr>
            <w:r>
              <w:rPr>
                <w:color w:val="auto"/>
                <w:u w:val="none" w:color="auto"/>
              </w:rPr>
              <w:t>—</w:t>
            </w:r>
          </w:p>
        </w:tc>
      </w:tr>
      <w:tr w14:paraId="3CD9D146">
        <w:tblPrEx>
          <w:tblBorders>
            <w:top w:val="single" w:color="000000" w:sz="12" w:space="0"/>
            <w:left w:val="single" w:color="000000" w:sz="12" w:space="0"/>
            <w:bottom w:val="single" w:color="000000" w:sz="12" w:space="0"/>
            <w:right w:val="single" w:color="000000" w:sz="12" w:space="0"/>
            <w:insideH w:val="single" w:color="000000" w:sz="6" w:space="0"/>
            <w:insideV w:val="single" w:color="auto" w:sz="4" w:space="0"/>
          </w:tblBorders>
          <w:tblCellMar>
            <w:top w:w="0" w:type="dxa"/>
            <w:left w:w="108" w:type="dxa"/>
            <w:bottom w:w="0" w:type="dxa"/>
            <w:right w:w="108" w:type="dxa"/>
          </w:tblCellMar>
        </w:tblPrEx>
        <w:trPr>
          <w:trHeight w:val="145" w:hRule="atLeast"/>
          <w:jc w:val="center"/>
        </w:trPr>
        <w:tc>
          <w:tcPr>
            <w:tcW w:w="1842" w:type="dxa"/>
            <w:vMerge w:val="continue"/>
            <w:tcBorders>
              <w:top w:val="single" w:color="000000" w:sz="6" w:space="0"/>
              <w:left w:val="single" w:color="000000" w:sz="12" w:space="0"/>
              <w:bottom w:val="single" w:color="000000" w:sz="12" w:space="0"/>
            </w:tcBorders>
            <w:noWrap w:val="0"/>
            <w:vAlign w:val="center"/>
          </w:tcPr>
          <w:p w14:paraId="17C710DF">
            <w:pPr>
              <w:pStyle w:val="23"/>
              <w:bidi w:val="0"/>
              <w:rPr>
                <w:color w:val="auto"/>
                <w:u w:val="none" w:color="auto"/>
              </w:rPr>
            </w:pPr>
          </w:p>
        </w:tc>
        <w:tc>
          <w:tcPr>
            <w:tcW w:w="4243" w:type="dxa"/>
            <w:tcBorders>
              <w:top w:val="single" w:color="000000" w:sz="6" w:space="0"/>
              <w:bottom w:val="single" w:color="000000" w:sz="12" w:space="0"/>
            </w:tcBorders>
            <w:noWrap/>
            <w:vAlign w:val="center"/>
          </w:tcPr>
          <w:p w14:paraId="6A79B138">
            <w:pPr>
              <w:pStyle w:val="23"/>
              <w:bidi w:val="0"/>
              <w:rPr>
                <w:color w:val="auto"/>
                <w:u w:val="none" w:color="auto"/>
              </w:rPr>
            </w:pPr>
            <w:r>
              <w:rPr>
                <w:color w:val="auto"/>
                <w:u w:val="none" w:color="auto"/>
              </w:rPr>
              <w:t>岸线方向/ °</w:t>
            </w:r>
          </w:p>
        </w:tc>
        <w:tc>
          <w:tcPr>
            <w:tcW w:w="2419" w:type="dxa"/>
            <w:tcBorders>
              <w:top w:val="single" w:color="000000" w:sz="6" w:space="0"/>
              <w:bottom w:val="single" w:color="000000" w:sz="12" w:space="0"/>
              <w:right w:val="single" w:color="000000" w:sz="12" w:space="0"/>
            </w:tcBorders>
            <w:noWrap/>
            <w:vAlign w:val="center"/>
          </w:tcPr>
          <w:p w14:paraId="7112EE93">
            <w:pPr>
              <w:pStyle w:val="23"/>
              <w:bidi w:val="0"/>
              <w:rPr>
                <w:color w:val="auto"/>
                <w:u w:val="none" w:color="auto"/>
              </w:rPr>
            </w:pPr>
            <w:r>
              <w:rPr>
                <w:color w:val="auto"/>
                <w:u w:val="none" w:color="auto"/>
              </w:rPr>
              <w:t>—</w:t>
            </w:r>
          </w:p>
        </w:tc>
      </w:tr>
    </w:tbl>
    <w:p w14:paraId="563A9550">
      <w:pPr>
        <w:pStyle w:val="20"/>
        <w:ind w:firstLine="480"/>
        <w:rPr>
          <w:rFonts w:hint="default" w:ascii="Times New Roman" w:hAnsi="Times New Roman" w:cs="Times New Roman"/>
          <w:color w:val="auto"/>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C016A12">
      <w:pPr>
        <w:pStyle w:val="20"/>
        <w:ind w:firstLine="48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rPr>
        <w:t>③污染源参数见表</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.2-</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lang w:eastAsia="zh-CN"/>
        </w:rPr>
        <w:t>。</w:t>
      </w:r>
    </w:p>
    <w:p w14:paraId="3A26501D">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lang w:val="en-US" w:eastAsia="zh-CN"/>
        </w:rPr>
        <w:t>.2-</w:t>
      </w:r>
      <w:r>
        <w:rPr>
          <w:rFonts w:hint="eastAsia"/>
          <w:color w:val="auto"/>
          <w:u w:val="none" w:color="auto"/>
          <w:lang w:val="en-US" w:eastAsia="zh-CN"/>
        </w:rPr>
        <w:t>3</w:t>
      </w:r>
      <w:r>
        <w:rPr>
          <w:rFonts w:hint="default"/>
          <w:color w:val="auto"/>
          <w:u w:val="none" w:color="auto"/>
        </w:rPr>
        <w:t xml:space="preserve">  点源输入参数</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1063"/>
        <w:gridCol w:w="1050"/>
        <w:gridCol w:w="1079"/>
        <w:gridCol w:w="1025"/>
        <w:gridCol w:w="1042"/>
        <w:gridCol w:w="1086"/>
        <w:gridCol w:w="990"/>
        <w:gridCol w:w="1020"/>
        <w:gridCol w:w="930"/>
        <w:gridCol w:w="896"/>
        <w:gridCol w:w="896"/>
        <w:gridCol w:w="983"/>
        <w:gridCol w:w="984"/>
      </w:tblGrid>
      <w:tr w14:paraId="30247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dxa"/>
            <w:vMerge w:val="restart"/>
            <w:noWrap w:val="0"/>
            <w:vAlign w:val="center"/>
          </w:tcPr>
          <w:p w14:paraId="7101D4FA">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名称</w:t>
            </w:r>
          </w:p>
        </w:tc>
        <w:tc>
          <w:tcPr>
            <w:tcW w:w="2113" w:type="dxa"/>
            <w:gridSpan w:val="2"/>
            <w:noWrap w:val="0"/>
            <w:vAlign w:val="center"/>
          </w:tcPr>
          <w:p w14:paraId="613A1969">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排气筒底部中心坐标</w:t>
            </w:r>
          </w:p>
        </w:tc>
        <w:tc>
          <w:tcPr>
            <w:tcW w:w="1079" w:type="dxa"/>
            <w:vMerge w:val="restart"/>
            <w:noWrap w:val="0"/>
            <w:vAlign w:val="center"/>
          </w:tcPr>
          <w:p w14:paraId="6828C395">
            <w:pPr>
              <w:pStyle w:val="24"/>
              <w:jc w:val="center"/>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排气筒底部海拔高度</w:t>
            </w:r>
            <w:r>
              <w:rPr>
                <w:rFonts w:hint="eastAsia" w:cs="Times New Roman"/>
                <w:color w:val="auto"/>
                <w:u w:val="none" w:color="auto"/>
                <w:lang w:val="en-US" w:eastAsia="zh-CN"/>
              </w:rPr>
              <w:t>m</w:t>
            </w:r>
          </w:p>
        </w:tc>
        <w:tc>
          <w:tcPr>
            <w:tcW w:w="1025" w:type="dxa"/>
            <w:vMerge w:val="restart"/>
            <w:noWrap w:val="0"/>
            <w:vAlign w:val="center"/>
          </w:tcPr>
          <w:p w14:paraId="30EC2EAF">
            <w:pPr>
              <w:pStyle w:val="24"/>
              <w:jc w:val="center"/>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排气筒高度</w:t>
            </w:r>
            <w:r>
              <w:rPr>
                <w:rFonts w:hint="eastAsia" w:cs="Times New Roman"/>
                <w:color w:val="auto"/>
                <w:u w:val="none" w:color="auto"/>
                <w:lang w:val="en-US" w:eastAsia="zh-CN"/>
              </w:rPr>
              <w:t>m</w:t>
            </w:r>
          </w:p>
        </w:tc>
        <w:tc>
          <w:tcPr>
            <w:tcW w:w="1042" w:type="dxa"/>
            <w:vMerge w:val="restart"/>
            <w:noWrap w:val="0"/>
            <w:vAlign w:val="center"/>
          </w:tcPr>
          <w:p w14:paraId="221805A0">
            <w:pPr>
              <w:pStyle w:val="24"/>
              <w:jc w:val="center"/>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排气筒出口内径</w:t>
            </w:r>
            <w:r>
              <w:rPr>
                <w:rFonts w:hint="eastAsia" w:cs="Times New Roman"/>
                <w:color w:val="auto"/>
                <w:u w:val="none" w:color="auto"/>
                <w:lang w:val="en-US" w:eastAsia="zh-CN"/>
              </w:rPr>
              <w:t>m</w:t>
            </w:r>
          </w:p>
        </w:tc>
        <w:tc>
          <w:tcPr>
            <w:tcW w:w="1086" w:type="dxa"/>
            <w:vMerge w:val="restart"/>
            <w:noWrap w:val="0"/>
            <w:vAlign w:val="center"/>
          </w:tcPr>
          <w:p w14:paraId="4E75788C">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烟气量Nm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/h</w:t>
            </w:r>
          </w:p>
        </w:tc>
        <w:tc>
          <w:tcPr>
            <w:tcW w:w="990" w:type="dxa"/>
            <w:vMerge w:val="restart"/>
            <w:noWrap w:val="0"/>
            <w:vAlign w:val="center"/>
          </w:tcPr>
          <w:p w14:paraId="1098F7EC">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烟气温度℃</w:t>
            </w:r>
          </w:p>
        </w:tc>
        <w:tc>
          <w:tcPr>
            <w:tcW w:w="1020" w:type="dxa"/>
            <w:vMerge w:val="restart"/>
            <w:noWrap w:val="0"/>
            <w:vAlign w:val="center"/>
          </w:tcPr>
          <w:p w14:paraId="734ED65B">
            <w:pPr>
              <w:pStyle w:val="24"/>
              <w:jc w:val="center"/>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年排放小时数</w:t>
            </w:r>
            <w:r>
              <w:rPr>
                <w:rFonts w:hint="eastAsia" w:cs="Times New Roman"/>
                <w:color w:val="auto"/>
                <w:u w:val="none" w:color="auto"/>
                <w:lang w:val="en-US" w:eastAsia="zh-CN"/>
              </w:rPr>
              <w:t>h</w:t>
            </w:r>
          </w:p>
        </w:tc>
        <w:tc>
          <w:tcPr>
            <w:tcW w:w="930" w:type="dxa"/>
            <w:vMerge w:val="restart"/>
            <w:noWrap w:val="0"/>
            <w:vAlign w:val="center"/>
          </w:tcPr>
          <w:p w14:paraId="454CEF6A">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排放工况</w:t>
            </w:r>
          </w:p>
        </w:tc>
        <w:tc>
          <w:tcPr>
            <w:tcW w:w="3759" w:type="dxa"/>
            <w:gridSpan w:val="4"/>
            <w:vMerge w:val="restart"/>
            <w:noWrap w:val="0"/>
            <w:vAlign w:val="center"/>
          </w:tcPr>
          <w:p w14:paraId="0B0C441E">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污染物排放速率</w:t>
            </w:r>
            <w:r>
              <w:rPr>
                <w:rFonts w:hint="eastAsia" w:cs="Times New Roman"/>
                <w:color w:val="auto"/>
                <w:u w:val="none" w:color="auto"/>
                <w:lang w:eastAsia="zh-CN"/>
              </w:rPr>
              <w:t>（</w:t>
            </w:r>
            <w:r>
              <w:rPr>
                <w:rFonts w:hint="default" w:ascii="Times New Roman" w:hAnsi="Times New Roman" w:cs="Times New Roman"/>
                <w:color w:val="auto"/>
                <w:u w:val="none" w:color="auto"/>
              </w:rPr>
              <w:t>kg/h</w:t>
            </w:r>
            <w:r>
              <w:rPr>
                <w:rFonts w:hint="eastAsia" w:cs="Times New Roman"/>
                <w:color w:val="auto"/>
                <w:u w:val="none" w:color="auto"/>
                <w:lang w:eastAsia="zh-CN"/>
              </w:rPr>
              <w:t>）</w:t>
            </w:r>
          </w:p>
        </w:tc>
      </w:tr>
      <w:tr w14:paraId="550837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30" w:type="dxa"/>
            <w:vMerge w:val="continue"/>
            <w:noWrap w:val="0"/>
            <w:vAlign w:val="center"/>
          </w:tcPr>
          <w:p w14:paraId="5E94218F">
            <w:pPr>
              <w:pStyle w:val="24"/>
              <w:jc w:val="center"/>
              <w:rPr>
                <w:rFonts w:hint="default" w:ascii="Times New Roman" w:hAnsi="Times New Roman" w:cs="Times New Roman"/>
                <w:color w:val="auto"/>
                <w:u w:val="none" w:color="auto"/>
              </w:rPr>
            </w:pPr>
          </w:p>
        </w:tc>
        <w:tc>
          <w:tcPr>
            <w:tcW w:w="1063" w:type="dxa"/>
            <w:vMerge w:val="restart"/>
            <w:noWrap w:val="0"/>
            <w:vAlign w:val="center"/>
          </w:tcPr>
          <w:p w14:paraId="16CB1648">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X</w:t>
            </w:r>
          </w:p>
        </w:tc>
        <w:tc>
          <w:tcPr>
            <w:tcW w:w="1050" w:type="dxa"/>
            <w:vMerge w:val="restart"/>
            <w:noWrap w:val="0"/>
            <w:vAlign w:val="center"/>
          </w:tcPr>
          <w:p w14:paraId="52B238B7">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Y</w:t>
            </w:r>
          </w:p>
        </w:tc>
        <w:tc>
          <w:tcPr>
            <w:tcW w:w="1079" w:type="dxa"/>
            <w:vMerge w:val="continue"/>
            <w:noWrap w:val="0"/>
            <w:vAlign w:val="center"/>
          </w:tcPr>
          <w:p w14:paraId="7ED93C70">
            <w:pPr>
              <w:pStyle w:val="24"/>
              <w:jc w:val="center"/>
              <w:rPr>
                <w:rFonts w:hint="default" w:ascii="Times New Roman" w:hAnsi="Times New Roman" w:cs="Times New Roman"/>
                <w:color w:val="auto"/>
                <w:u w:val="none" w:color="auto"/>
              </w:rPr>
            </w:pPr>
          </w:p>
        </w:tc>
        <w:tc>
          <w:tcPr>
            <w:tcW w:w="1025" w:type="dxa"/>
            <w:vMerge w:val="continue"/>
            <w:noWrap w:val="0"/>
            <w:vAlign w:val="center"/>
          </w:tcPr>
          <w:p w14:paraId="123B4AD6">
            <w:pPr>
              <w:pStyle w:val="24"/>
              <w:jc w:val="center"/>
              <w:rPr>
                <w:rFonts w:hint="default" w:ascii="Times New Roman" w:hAnsi="Times New Roman" w:cs="Times New Roman"/>
                <w:color w:val="auto"/>
                <w:u w:val="none" w:color="auto"/>
              </w:rPr>
            </w:pPr>
          </w:p>
        </w:tc>
        <w:tc>
          <w:tcPr>
            <w:tcW w:w="1042" w:type="dxa"/>
            <w:vMerge w:val="continue"/>
            <w:noWrap w:val="0"/>
            <w:vAlign w:val="center"/>
          </w:tcPr>
          <w:p w14:paraId="0655E7B1">
            <w:pPr>
              <w:pStyle w:val="24"/>
              <w:jc w:val="center"/>
              <w:rPr>
                <w:rFonts w:hint="default" w:ascii="Times New Roman" w:hAnsi="Times New Roman" w:cs="Times New Roman"/>
                <w:color w:val="auto"/>
                <w:u w:val="none" w:color="auto"/>
              </w:rPr>
            </w:pPr>
          </w:p>
        </w:tc>
        <w:tc>
          <w:tcPr>
            <w:tcW w:w="1086" w:type="dxa"/>
            <w:vMerge w:val="continue"/>
            <w:noWrap w:val="0"/>
            <w:vAlign w:val="center"/>
          </w:tcPr>
          <w:p w14:paraId="05E38B57">
            <w:pPr>
              <w:pStyle w:val="24"/>
              <w:jc w:val="center"/>
              <w:rPr>
                <w:rFonts w:hint="default" w:ascii="Times New Roman" w:hAnsi="Times New Roman" w:cs="Times New Roman"/>
                <w:color w:val="auto"/>
                <w:u w:val="none" w:color="auto"/>
              </w:rPr>
            </w:pPr>
          </w:p>
        </w:tc>
        <w:tc>
          <w:tcPr>
            <w:tcW w:w="990" w:type="dxa"/>
            <w:vMerge w:val="continue"/>
            <w:noWrap w:val="0"/>
            <w:vAlign w:val="center"/>
          </w:tcPr>
          <w:p w14:paraId="63E96A3D">
            <w:pPr>
              <w:pStyle w:val="24"/>
              <w:jc w:val="center"/>
              <w:rPr>
                <w:rFonts w:hint="default" w:ascii="Times New Roman" w:hAnsi="Times New Roman" w:cs="Times New Roman"/>
                <w:color w:val="auto"/>
                <w:u w:val="none" w:color="auto"/>
              </w:rPr>
            </w:pPr>
          </w:p>
        </w:tc>
        <w:tc>
          <w:tcPr>
            <w:tcW w:w="1020" w:type="dxa"/>
            <w:vMerge w:val="continue"/>
            <w:noWrap w:val="0"/>
            <w:vAlign w:val="center"/>
          </w:tcPr>
          <w:p w14:paraId="4B6B4D1C">
            <w:pPr>
              <w:pStyle w:val="24"/>
              <w:jc w:val="center"/>
              <w:rPr>
                <w:rFonts w:hint="default" w:ascii="Times New Roman" w:hAnsi="Times New Roman" w:cs="Times New Roman"/>
                <w:color w:val="auto"/>
                <w:u w:val="none" w:color="auto"/>
              </w:rPr>
            </w:pPr>
          </w:p>
        </w:tc>
        <w:tc>
          <w:tcPr>
            <w:tcW w:w="930" w:type="dxa"/>
            <w:vMerge w:val="continue"/>
            <w:noWrap w:val="0"/>
            <w:vAlign w:val="center"/>
          </w:tcPr>
          <w:p w14:paraId="7A58A3F4">
            <w:pPr>
              <w:pStyle w:val="24"/>
              <w:jc w:val="center"/>
              <w:rPr>
                <w:rFonts w:hint="default" w:ascii="Times New Roman" w:hAnsi="Times New Roman" w:cs="Times New Roman"/>
                <w:color w:val="auto"/>
                <w:u w:val="none" w:color="auto"/>
              </w:rPr>
            </w:pPr>
          </w:p>
        </w:tc>
        <w:tc>
          <w:tcPr>
            <w:tcW w:w="3759" w:type="dxa"/>
            <w:gridSpan w:val="4"/>
            <w:vMerge w:val="continue"/>
            <w:noWrap w:val="0"/>
            <w:vAlign w:val="center"/>
          </w:tcPr>
          <w:p w14:paraId="480E878E">
            <w:pPr>
              <w:pStyle w:val="24"/>
              <w:jc w:val="center"/>
              <w:rPr>
                <w:rFonts w:hint="default" w:ascii="Times New Roman" w:hAnsi="Times New Roman" w:cs="Times New Roman"/>
                <w:color w:val="auto"/>
                <w:u w:val="none" w:color="auto"/>
              </w:rPr>
            </w:pPr>
          </w:p>
        </w:tc>
      </w:tr>
      <w:tr w14:paraId="5A8AA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dxa"/>
            <w:vMerge w:val="continue"/>
            <w:noWrap w:val="0"/>
            <w:vAlign w:val="center"/>
          </w:tcPr>
          <w:p w14:paraId="6A806988">
            <w:pPr>
              <w:pStyle w:val="24"/>
              <w:jc w:val="center"/>
              <w:rPr>
                <w:rFonts w:hint="default" w:ascii="Times New Roman" w:hAnsi="Times New Roman" w:cs="Times New Roman"/>
                <w:color w:val="auto"/>
                <w:u w:val="none" w:color="auto"/>
              </w:rPr>
            </w:pPr>
          </w:p>
        </w:tc>
        <w:tc>
          <w:tcPr>
            <w:tcW w:w="1063" w:type="dxa"/>
            <w:vMerge w:val="continue"/>
            <w:noWrap w:val="0"/>
            <w:vAlign w:val="center"/>
          </w:tcPr>
          <w:p w14:paraId="51969FEC">
            <w:pPr>
              <w:pStyle w:val="24"/>
              <w:jc w:val="center"/>
              <w:rPr>
                <w:rFonts w:hint="default" w:ascii="Times New Roman" w:hAnsi="Times New Roman" w:cs="Times New Roman"/>
                <w:color w:val="auto"/>
                <w:u w:val="none" w:color="auto"/>
              </w:rPr>
            </w:pPr>
          </w:p>
        </w:tc>
        <w:tc>
          <w:tcPr>
            <w:tcW w:w="1050" w:type="dxa"/>
            <w:vMerge w:val="continue"/>
            <w:noWrap w:val="0"/>
            <w:vAlign w:val="center"/>
          </w:tcPr>
          <w:p w14:paraId="4A517553">
            <w:pPr>
              <w:pStyle w:val="24"/>
              <w:jc w:val="center"/>
              <w:rPr>
                <w:rFonts w:hint="default" w:ascii="Times New Roman" w:hAnsi="Times New Roman" w:cs="Times New Roman"/>
                <w:color w:val="auto"/>
                <w:u w:val="none" w:color="auto"/>
              </w:rPr>
            </w:pPr>
          </w:p>
        </w:tc>
        <w:tc>
          <w:tcPr>
            <w:tcW w:w="1079" w:type="dxa"/>
            <w:vMerge w:val="continue"/>
            <w:noWrap w:val="0"/>
            <w:vAlign w:val="center"/>
          </w:tcPr>
          <w:p w14:paraId="47586277">
            <w:pPr>
              <w:pStyle w:val="24"/>
              <w:jc w:val="center"/>
              <w:rPr>
                <w:rFonts w:hint="default" w:ascii="Times New Roman" w:hAnsi="Times New Roman" w:cs="Times New Roman"/>
                <w:color w:val="auto"/>
                <w:u w:val="none" w:color="auto"/>
              </w:rPr>
            </w:pPr>
          </w:p>
        </w:tc>
        <w:tc>
          <w:tcPr>
            <w:tcW w:w="1025" w:type="dxa"/>
            <w:vMerge w:val="continue"/>
            <w:noWrap w:val="0"/>
            <w:vAlign w:val="center"/>
          </w:tcPr>
          <w:p w14:paraId="036F1CB4">
            <w:pPr>
              <w:pStyle w:val="24"/>
              <w:jc w:val="center"/>
              <w:rPr>
                <w:rFonts w:hint="default" w:ascii="Times New Roman" w:hAnsi="Times New Roman" w:cs="Times New Roman"/>
                <w:color w:val="auto"/>
                <w:u w:val="none" w:color="auto"/>
              </w:rPr>
            </w:pPr>
          </w:p>
        </w:tc>
        <w:tc>
          <w:tcPr>
            <w:tcW w:w="1042" w:type="dxa"/>
            <w:vMerge w:val="continue"/>
            <w:noWrap w:val="0"/>
            <w:vAlign w:val="center"/>
          </w:tcPr>
          <w:p w14:paraId="0BBF5681">
            <w:pPr>
              <w:pStyle w:val="24"/>
              <w:jc w:val="center"/>
              <w:rPr>
                <w:rFonts w:hint="default" w:ascii="Times New Roman" w:hAnsi="Times New Roman" w:cs="Times New Roman"/>
                <w:color w:val="auto"/>
                <w:u w:val="none" w:color="auto"/>
              </w:rPr>
            </w:pPr>
          </w:p>
        </w:tc>
        <w:tc>
          <w:tcPr>
            <w:tcW w:w="1086" w:type="dxa"/>
            <w:vMerge w:val="continue"/>
            <w:noWrap w:val="0"/>
            <w:vAlign w:val="center"/>
          </w:tcPr>
          <w:p w14:paraId="5DF8E7C0">
            <w:pPr>
              <w:pStyle w:val="24"/>
              <w:jc w:val="center"/>
              <w:rPr>
                <w:rFonts w:hint="default" w:ascii="Times New Roman" w:hAnsi="Times New Roman" w:cs="Times New Roman"/>
                <w:color w:val="auto"/>
                <w:u w:val="none" w:color="auto"/>
              </w:rPr>
            </w:pPr>
          </w:p>
        </w:tc>
        <w:tc>
          <w:tcPr>
            <w:tcW w:w="990" w:type="dxa"/>
            <w:vMerge w:val="continue"/>
            <w:noWrap w:val="0"/>
            <w:vAlign w:val="center"/>
          </w:tcPr>
          <w:p w14:paraId="4BAEE7FF">
            <w:pPr>
              <w:pStyle w:val="24"/>
              <w:jc w:val="center"/>
              <w:rPr>
                <w:rFonts w:hint="default" w:ascii="Times New Roman" w:hAnsi="Times New Roman" w:cs="Times New Roman"/>
                <w:color w:val="auto"/>
                <w:u w:val="none" w:color="auto"/>
              </w:rPr>
            </w:pPr>
          </w:p>
        </w:tc>
        <w:tc>
          <w:tcPr>
            <w:tcW w:w="1020" w:type="dxa"/>
            <w:vMerge w:val="continue"/>
            <w:noWrap w:val="0"/>
            <w:vAlign w:val="center"/>
          </w:tcPr>
          <w:p w14:paraId="10112F2F">
            <w:pPr>
              <w:pStyle w:val="24"/>
              <w:jc w:val="center"/>
              <w:rPr>
                <w:rFonts w:hint="default" w:ascii="Times New Roman" w:hAnsi="Times New Roman" w:cs="Times New Roman"/>
                <w:color w:val="auto"/>
                <w:u w:val="none" w:color="auto"/>
              </w:rPr>
            </w:pPr>
          </w:p>
        </w:tc>
        <w:tc>
          <w:tcPr>
            <w:tcW w:w="930" w:type="dxa"/>
            <w:vMerge w:val="continue"/>
            <w:noWrap w:val="0"/>
            <w:vAlign w:val="center"/>
          </w:tcPr>
          <w:p w14:paraId="23955BA2">
            <w:pPr>
              <w:pStyle w:val="24"/>
              <w:jc w:val="center"/>
              <w:rPr>
                <w:rFonts w:hint="default" w:ascii="Times New Roman" w:hAnsi="Times New Roman" w:cs="Times New Roman"/>
                <w:color w:val="auto"/>
                <w:u w:val="none" w:color="auto"/>
              </w:rPr>
            </w:pPr>
          </w:p>
        </w:tc>
        <w:tc>
          <w:tcPr>
            <w:tcW w:w="896" w:type="dxa"/>
            <w:noWrap w:val="0"/>
            <w:vAlign w:val="center"/>
          </w:tcPr>
          <w:p w14:paraId="582E9CDE">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b w:val="0"/>
                <w:bCs w:val="0"/>
                <w:color w:val="auto"/>
                <w:sz w:val="21"/>
                <w:szCs w:val="21"/>
                <w:u w:val="none" w:color="auto"/>
                <w:lang w:val="en-US" w:eastAsia="zh-CN"/>
              </w:rPr>
              <w:t>PM</w:t>
            </w:r>
            <w:r>
              <w:rPr>
                <w:rFonts w:hint="eastAsia" w:cs="Times New Roman"/>
                <w:b w:val="0"/>
                <w:bCs w:val="0"/>
                <w:color w:val="auto"/>
                <w:sz w:val="21"/>
                <w:szCs w:val="21"/>
                <w:u w:val="none" w:color="auto"/>
                <w:vertAlign w:val="subscript"/>
                <w:lang w:val="en-US" w:eastAsia="zh-CN"/>
              </w:rPr>
              <w:t>10</w:t>
            </w:r>
          </w:p>
        </w:tc>
        <w:tc>
          <w:tcPr>
            <w:tcW w:w="896" w:type="dxa"/>
            <w:noWrap w:val="0"/>
            <w:vAlign w:val="center"/>
          </w:tcPr>
          <w:p w14:paraId="45FA39F9">
            <w:pPr>
              <w:pStyle w:val="24"/>
              <w:jc w:val="center"/>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983" w:type="dxa"/>
            <w:noWrap w:val="0"/>
            <w:vAlign w:val="center"/>
          </w:tcPr>
          <w:p w14:paraId="6A0E8F0E">
            <w:pPr>
              <w:pStyle w:val="24"/>
              <w:jc w:val="center"/>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二甲苯</w:t>
            </w:r>
          </w:p>
        </w:tc>
        <w:tc>
          <w:tcPr>
            <w:tcW w:w="984" w:type="dxa"/>
            <w:noWrap w:val="0"/>
            <w:vAlign w:val="center"/>
          </w:tcPr>
          <w:p w14:paraId="47153997">
            <w:pPr>
              <w:pStyle w:val="24"/>
              <w:jc w:val="center"/>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氯化氢</w:t>
            </w:r>
          </w:p>
        </w:tc>
      </w:tr>
      <w:tr w14:paraId="67E8C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dxa"/>
            <w:noWrap w:val="0"/>
            <w:vAlign w:val="center"/>
          </w:tcPr>
          <w:p w14:paraId="2722AE7F">
            <w:pPr>
              <w:pStyle w:val="24"/>
              <w:jc w:val="center"/>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DA001</w:t>
            </w:r>
          </w:p>
          <w:p w14:paraId="7A84AC58">
            <w:pPr>
              <w:pStyle w:val="24"/>
              <w:jc w:val="center"/>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排气筒</w:t>
            </w:r>
          </w:p>
        </w:tc>
        <w:tc>
          <w:tcPr>
            <w:tcW w:w="1063" w:type="dxa"/>
            <w:noWrap w:val="0"/>
            <w:vAlign w:val="center"/>
          </w:tcPr>
          <w:p w14:paraId="7D7840D4">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95</w:t>
            </w:r>
          </w:p>
        </w:tc>
        <w:tc>
          <w:tcPr>
            <w:tcW w:w="1050" w:type="dxa"/>
            <w:noWrap w:val="0"/>
            <w:vAlign w:val="center"/>
          </w:tcPr>
          <w:p w14:paraId="5953C12B">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84</w:t>
            </w:r>
          </w:p>
        </w:tc>
        <w:tc>
          <w:tcPr>
            <w:tcW w:w="1079" w:type="dxa"/>
            <w:noWrap w:val="0"/>
            <w:vAlign w:val="center"/>
          </w:tcPr>
          <w:p w14:paraId="07F57E34">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53</w:t>
            </w:r>
          </w:p>
        </w:tc>
        <w:tc>
          <w:tcPr>
            <w:tcW w:w="1025" w:type="dxa"/>
            <w:noWrap w:val="0"/>
            <w:vAlign w:val="center"/>
          </w:tcPr>
          <w:p w14:paraId="389662E9">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15</w:t>
            </w:r>
          </w:p>
        </w:tc>
        <w:tc>
          <w:tcPr>
            <w:tcW w:w="1042" w:type="dxa"/>
            <w:noWrap w:val="0"/>
            <w:vAlign w:val="center"/>
          </w:tcPr>
          <w:p w14:paraId="58A5FEED">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0.7</w:t>
            </w:r>
          </w:p>
        </w:tc>
        <w:tc>
          <w:tcPr>
            <w:tcW w:w="1086" w:type="dxa"/>
            <w:noWrap w:val="0"/>
            <w:vAlign w:val="center"/>
          </w:tcPr>
          <w:p w14:paraId="041760FF">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20000</w:t>
            </w:r>
          </w:p>
        </w:tc>
        <w:tc>
          <w:tcPr>
            <w:tcW w:w="990" w:type="dxa"/>
            <w:noWrap w:val="0"/>
            <w:vAlign w:val="center"/>
          </w:tcPr>
          <w:p w14:paraId="321056A2">
            <w:pPr>
              <w:pStyle w:val="24"/>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20</w:t>
            </w:r>
          </w:p>
        </w:tc>
        <w:tc>
          <w:tcPr>
            <w:tcW w:w="1020" w:type="dxa"/>
            <w:noWrap w:val="0"/>
            <w:vAlign w:val="center"/>
          </w:tcPr>
          <w:p w14:paraId="4D2A4BF6">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4800</w:t>
            </w:r>
          </w:p>
        </w:tc>
        <w:tc>
          <w:tcPr>
            <w:tcW w:w="930" w:type="dxa"/>
            <w:noWrap w:val="0"/>
            <w:vAlign w:val="center"/>
          </w:tcPr>
          <w:p w14:paraId="218B6695">
            <w:pPr>
              <w:pStyle w:val="24"/>
              <w:jc w:val="center"/>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正常排放</w:t>
            </w:r>
          </w:p>
        </w:tc>
        <w:tc>
          <w:tcPr>
            <w:tcW w:w="896" w:type="dxa"/>
            <w:noWrap w:val="0"/>
            <w:vAlign w:val="center"/>
          </w:tcPr>
          <w:p w14:paraId="42EEF0F8">
            <w:pPr>
              <w:pStyle w:val="24"/>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0.017</w:t>
            </w:r>
          </w:p>
        </w:tc>
        <w:tc>
          <w:tcPr>
            <w:tcW w:w="896" w:type="dxa"/>
            <w:noWrap w:val="0"/>
            <w:vAlign w:val="center"/>
          </w:tcPr>
          <w:p w14:paraId="07649AEA">
            <w:pPr>
              <w:pStyle w:val="24"/>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983" w:type="dxa"/>
            <w:noWrap w:val="0"/>
            <w:vAlign w:val="center"/>
          </w:tcPr>
          <w:p w14:paraId="73DAEB02">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w:t>
            </w:r>
          </w:p>
        </w:tc>
        <w:tc>
          <w:tcPr>
            <w:tcW w:w="984" w:type="dxa"/>
            <w:noWrap w:val="0"/>
            <w:vAlign w:val="center"/>
          </w:tcPr>
          <w:p w14:paraId="497EC103">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w:t>
            </w:r>
          </w:p>
        </w:tc>
      </w:tr>
      <w:tr w14:paraId="6AC8E3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dxa"/>
            <w:noWrap w:val="0"/>
            <w:vAlign w:val="center"/>
          </w:tcPr>
          <w:p w14:paraId="66A37FF3">
            <w:pPr>
              <w:pStyle w:val="24"/>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DA002</w:t>
            </w:r>
          </w:p>
          <w:p w14:paraId="22BE6B6E">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排气筒</w:t>
            </w:r>
          </w:p>
        </w:tc>
        <w:tc>
          <w:tcPr>
            <w:tcW w:w="1063" w:type="dxa"/>
            <w:noWrap w:val="0"/>
            <w:vAlign w:val="center"/>
          </w:tcPr>
          <w:p w14:paraId="7CB2F29D">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92</w:t>
            </w:r>
          </w:p>
        </w:tc>
        <w:tc>
          <w:tcPr>
            <w:tcW w:w="1050" w:type="dxa"/>
            <w:noWrap w:val="0"/>
            <w:vAlign w:val="center"/>
          </w:tcPr>
          <w:p w14:paraId="059F2A42">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52</w:t>
            </w:r>
          </w:p>
        </w:tc>
        <w:tc>
          <w:tcPr>
            <w:tcW w:w="1079" w:type="dxa"/>
            <w:noWrap w:val="0"/>
            <w:vAlign w:val="center"/>
          </w:tcPr>
          <w:p w14:paraId="54B5C695">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56</w:t>
            </w:r>
          </w:p>
        </w:tc>
        <w:tc>
          <w:tcPr>
            <w:tcW w:w="1025" w:type="dxa"/>
            <w:noWrap w:val="0"/>
            <w:vAlign w:val="center"/>
          </w:tcPr>
          <w:p w14:paraId="3A643FF1">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15</w:t>
            </w:r>
          </w:p>
        </w:tc>
        <w:tc>
          <w:tcPr>
            <w:tcW w:w="1042" w:type="dxa"/>
            <w:noWrap w:val="0"/>
            <w:vAlign w:val="center"/>
          </w:tcPr>
          <w:p w14:paraId="5A8E05EC">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0.9</w:t>
            </w:r>
          </w:p>
        </w:tc>
        <w:tc>
          <w:tcPr>
            <w:tcW w:w="1086" w:type="dxa"/>
            <w:noWrap w:val="0"/>
            <w:vAlign w:val="center"/>
          </w:tcPr>
          <w:p w14:paraId="798FA0C5">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40000</w:t>
            </w:r>
          </w:p>
        </w:tc>
        <w:tc>
          <w:tcPr>
            <w:tcW w:w="990" w:type="dxa"/>
            <w:noWrap w:val="0"/>
            <w:vAlign w:val="center"/>
          </w:tcPr>
          <w:p w14:paraId="46FFA7EA">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20</w:t>
            </w:r>
          </w:p>
        </w:tc>
        <w:tc>
          <w:tcPr>
            <w:tcW w:w="1020" w:type="dxa"/>
            <w:noWrap w:val="0"/>
            <w:vAlign w:val="center"/>
          </w:tcPr>
          <w:p w14:paraId="1E78138C">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4800</w:t>
            </w:r>
          </w:p>
        </w:tc>
        <w:tc>
          <w:tcPr>
            <w:tcW w:w="930" w:type="dxa"/>
            <w:noWrap w:val="0"/>
            <w:vAlign w:val="center"/>
          </w:tcPr>
          <w:p w14:paraId="47945344">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正常排放</w:t>
            </w:r>
          </w:p>
        </w:tc>
        <w:tc>
          <w:tcPr>
            <w:tcW w:w="896" w:type="dxa"/>
            <w:noWrap w:val="0"/>
            <w:vAlign w:val="center"/>
          </w:tcPr>
          <w:p w14:paraId="4E7CF8FD">
            <w:pPr>
              <w:pStyle w:val="24"/>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w:t>
            </w:r>
          </w:p>
        </w:tc>
        <w:tc>
          <w:tcPr>
            <w:tcW w:w="896" w:type="dxa"/>
            <w:noWrap w:val="0"/>
            <w:vAlign w:val="center"/>
          </w:tcPr>
          <w:p w14:paraId="2F5CF258">
            <w:pPr>
              <w:pStyle w:val="24"/>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0.105</w:t>
            </w:r>
          </w:p>
        </w:tc>
        <w:tc>
          <w:tcPr>
            <w:tcW w:w="983" w:type="dxa"/>
            <w:noWrap w:val="0"/>
            <w:vAlign w:val="center"/>
          </w:tcPr>
          <w:p w14:paraId="4BCD747E">
            <w:pPr>
              <w:pStyle w:val="24"/>
              <w:jc w:val="center"/>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w:t>
            </w:r>
          </w:p>
        </w:tc>
        <w:tc>
          <w:tcPr>
            <w:tcW w:w="984" w:type="dxa"/>
            <w:noWrap w:val="0"/>
            <w:vAlign w:val="center"/>
          </w:tcPr>
          <w:p w14:paraId="02F4304E">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0.101</w:t>
            </w:r>
          </w:p>
        </w:tc>
      </w:tr>
      <w:tr w14:paraId="46D13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0" w:type="dxa"/>
            <w:noWrap w:val="0"/>
            <w:vAlign w:val="center"/>
          </w:tcPr>
          <w:p w14:paraId="68BB8142">
            <w:pPr>
              <w:pStyle w:val="24"/>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DA003</w:t>
            </w:r>
          </w:p>
          <w:p w14:paraId="45A60E57">
            <w:pPr>
              <w:pStyle w:val="24"/>
              <w:jc w:val="center"/>
              <w:rPr>
                <w:rFonts w:hint="eastAsia"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排气筒</w:t>
            </w:r>
          </w:p>
        </w:tc>
        <w:tc>
          <w:tcPr>
            <w:tcW w:w="1063" w:type="dxa"/>
            <w:noWrap w:val="0"/>
            <w:vAlign w:val="center"/>
          </w:tcPr>
          <w:p w14:paraId="6DBB08D5">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15</w:t>
            </w:r>
          </w:p>
        </w:tc>
        <w:tc>
          <w:tcPr>
            <w:tcW w:w="1050" w:type="dxa"/>
            <w:noWrap w:val="0"/>
            <w:vAlign w:val="center"/>
          </w:tcPr>
          <w:p w14:paraId="5DB2BD63">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kern w:val="2"/>
                <w:sz w:val="21"/>
                <w:szCs w:val="24"/>
                <w:u w:val="none" w:color="auto"/>
                <w:lang w:val="en-US" w:eastAsia="zh-CN" w:bidi="ar-SA"/>
              </w:rPr>
              <w:t>-75</w:t>
            </w:r>
          </w:p>
        </w:tc>
        <w:tc>
          <w:tcPr>
            <w:tcW w:w="1079" w:type="dxa"/>
            <w:noWrap w:val="0"/>
            <w:vAlign w:val="center"/>
          </w:tcPr>
          <w:p w14:paraId="51F1147D">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58</w:t>
            </w:r>
          </w:p>
        </w:tc>
        <w:tc>
          <w:tcPr>
            <w:tcW w:w="1025" w:type="dxa"/>
            <w:noWrap w:val="0"/>
            <w:vAlign w:val="center"/>
          </w:tcPr>
          <w:p w14:paraId="14BEE67B">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15</w:t>
            </w:r>
          </w:p>
        </w:tc>
        <w:tc>
          <w:tcPr>
            <w:tcW w:w="1042" w:type="dxa"/>
            <w:noWrap w:val="0"/>
            <w:vAlign w:val="center"/>
          </w:tcPr>
          <w:p w14:paraId="438C48D4">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0.8</w:t>
            </w:r>
          </w:p>
        </w:tc>
        <w:tc>
          <w:tcPr>
            <w:tcW w:w="1086" w:type="dxa"/>
            <w:noWrap w:val="0"/>
            <w:vAlign w:val="center"/>
          </w:tcPr>
          <w:p w14:paraId="390992F1">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25000</w:t>
            </w:r>
          </w:p>
        </w:tc>
        <w:tc>
          <w:tcPr>
            <w:tcW w:w="990" w:type="dxa"/>
            <w:noWrap w:val="0"/>
            <w:vAlign w:val="center"/>
          </w:tcPr>
          <w:p w14:paraId="65EB74B2">
            <w:pPr>
              <w:pStyle w:val="24"/>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20</w:t>
            </w:r>
          </w:p>
        </w:tc>
        <w:tc>
          <w:tcPr>
            <w:tcW w:w="1020" w:type="dxa"/>
            <w:noWrap w:val="0"/>
            <w:vAlign w:val="center"/>
          </w:tcPr>
          <w:p w14:paraId="12383590">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2400</w:t>
            </w:r>
          </w:p>
        </w:tc>
        <w:tc>
          <w:tcPr>
            <w:tcW w:w="930" w:type="dxa"/>
            <w:noWrap w:val="0"/>
            <w:vAlign w:val="center"/>
          </w:tcPr>
          <w:p w14:paraId="3C75A367">
            <w:pPr>
              <w:pStyle w:val="24"/>
              <w:jc w:val="center"/>
              <w:rPr>
                <w:rFonts w:hint="default" w:ascii="Times New Roman" w:hAnsi="Times New Roman" w:cs="Times New Roman"/>
                <w:color w:val="auto"/>
                <w:u w:val="none" w:color="auto"/>
              </w:rPr>
            </w:pPr>
            <w:r>
              <w:rPr>
                <w:rFonts w:hint="default" w:ascii="Times New Roman" w:hAnsi="Times New Roman" w:cs="Times New Roman"/>
                <w:color w:val="auto"/>
                <w:u w:val="none" w:color="auto"/>
              </w:rPr>
              <w:t>正常排放</w:t>
            </w:r>
          </w:p>
        </w:tc>
        <w:tc>
          <w:tcPr>
            <w:tcW w:w="896" w:type="dxa"/>
            <w:noWrap w:val="0"/>
            <w:vAlign w:val="center"/>
          </w:tcPr>
          <w:p w14:paraId="652BA94E">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w:t>
            </w:r>
          </w:p>
        </w:tc>
        <w:tc>
          <w:tcPr>
            <w:tcW w:w="896" w:type="dxa"/>
            <w:noWrap w:val="0"/>
            <w:vAlign w:val="center"/>
          </w:tcPr>
          <w:p w14:paraId="02804CF2">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0.39</w:t>
            </w:r>
          </w:p>
        </w:tc>
        <w:tc>
          <w:tcPr>
            <w:tcW w:w="983" w:type="dxa"/>
            <w:noWrap w:val="0"/>
            <w:vAlign w:val="center"/>
          </w:tcPr>
          <w:p w14:paraId="59246C75">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0.034</w:t>
            </w:r>
          </w:p>
        </w:tc>
        <w:tc>
          <w:tcPr>
            <w:tcW w:w="984" w:type="dxa"/>
            <w:noWrap w:val="0"/>
            <w:vAlign w:val="center"/>
          </w:tcPr>
          <w:p w14:paraId="15F12A7D">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w:t>
            </w:r>
          </w:p>
        </w:tc>
      </w:tr>
      <w:tr w14:paraId="1B0A98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4" w:type="dxa"/>
            <w:gridSpan w:val="14"/>
            <w:noWrap w:val="0"/>
            <w:vAlign w:val="center"/>
          </w:tcPr>
          <w:p w14:paraId="636ED894">
            <w:pPr>
              <w:pStyle w:val="31"/>
              <w:bidi w:val="0"/>
              <w:jc w:val="left"/>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备注：（0，0）坐标为（东经113.142609、北纬28.766384）</w:t>
            </w:r>
          </w:p>
        </w:tc>
      </w:tr>
    </w:tbl>
    <w:p w14:paraId="72FEBD31">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rPr>
        <w:t>.2-</w:t>
      </w:r>
      <w:r>
        <w:rPr>
          <w:rFonts w:hint="eastAsia"/>
          <w:color w:val="auto"/>
          <w:u w:val="none" w:color="auto"/>
          <w:lang w:val="en-US" w:eastAsia="zh-CN"/>
        </w:rPr>
        <w:t>4</w:t>
      </w:r>
      <w:r>
        <w:rPr>
          <w:rFonts w:hint="default"/>
          <w:color w:val="auto"/>
          <w:u w:val="none" w:color="auto"/>
        </w:rPr>
        <w:t xml:space="preserve">  矩形面源参数表</w:t>
      </w:r>
    </w:p>
    <w:tbl>
      <w:tblPr>
        <w:tblStyle w:val="1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828"/>
        <w:gridCol w:w="908"/>
        <w:gridCol w:w="1061"/>
        <w:gridCol w:w="1061"/>
        <w:gridCol w:w="1061"/>
        <w:gridCol w:w="1061"/>
        <w:gridCol w:w="1061"/>
        <w:gridCol w:w="1061"/>
        <w:gridCol w:w="1063"/>
        <w:gridCol w:w="928"/>
        <w:gridCol w:w="1035"/>
        <w:gridCol w:w="1035"/>
        <w:gridCol w:w="938"/>
      </w:tblGrid>
      <w:tr w14:paraId="567DC8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restart"/>
            <w:tcBorders>
              <w:tl2br w:val="nil"/>
              <w:tr2bl w:val="nil"/>
            </w:tcBorders>
            <w:noWrap w:val="0"/>
            <w:vAlign w:val="center"/>
          </w:tcPr>
          <w:p w14:paraId="07716748">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名称</w:t>
            </w:r>
          </w:p>
        </w:tc>
        <w:tc>
          <w:tcPr>
            <w:tcW w:w="1736" w:type="dxa"/>
            <w:gridSpan w:val="2"/>
            <w:tcBorders>
              <w:tl2br w:val="nil"/>
              <w:tr2bl w:val="nil"/>
            </w:tcBorders>
            <w:noWrap w:val="0"/>
            <w:vAlign w:val="center"/>
          </w:tcPr>
          <w:p w14:paraId="34FEC5DF">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面源起点坐标</w:t>
            </w:r>
          </w:p>
        </w:tc>
        <w:tc>
          <w:tcPr>
            <w:tcW w:w="1061" w:type="dxa"/>
            <w:vMerge w:val="restart"/>
            <w:tcBorders>
              <w:tl2br w:val="nil"/>
              <w:tr2bl w:val="nil"/>
            </w:tcBorders>
            <w:noWrap w:val="0"/>
            <w:vAlign w:val="center"/>
          </w:tcPr>
          <w:p w14:paraId="0CA0E5BC">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面源海拔高度</w:t>
            </w:r>
            <w:r>
              <w:rPr>
                <w:rFonts w:hint="eastAsia" w:cs="Times New Roman"/>
                <w:color w:val="auto"/>
                <w:u w:val="none" w:color="auto"/>
                <w:lang w:val="en-US" w:eastAsia="zh-CN"/>
              </w:rPr>
              <w:t>m</w:t>
            </w:r>
          </w:p>
        </w:tc>
        <w:tc>
          <w:tcPr>
            <w:tcW w:w="1061" w:type="dxa"/>
            <w:vMerge w:val="restart"/>
            <w:tcBorders>
              <w:tl2br w:val="nil"/>
              <w:tr2bl w:val="nil"/>
            </w:tcBorders>
            <w:noWrap w:val="0"/>
            <w:vAlign w:val="center"/>
          </w:tcPr>
          <w:p w14:paraId="236BB32A">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面源长度</w:t>
            </w:r>
            <w:r>
              <w:rPr>
                <w:rFonts w:hint="eastAsia" w:cs="Times New Roman"/>
                <w:color w:val="auto"/>
                <w:u w:val="none" w:color="auto"/>
                <w:lang w:val="en-US" w:eastAsia="zh-CN"/>
              </w:rPr>
              <w:t>m</w:t>
            </w:r>
          </w:p>
        </w:tc>
        <w:tc>
          <w:tcPr>
            <w:tcW w:w="1061" w:type="dxa"/>
            <w:vMerge w:val="restart"/>
            <w:tcBorders>
              <w:tl2br w:val="nil"/>
              <w:tr2bl w:val="nil"/>
            </w:tcBorders>
            <w:noWrap w:val="0"/>
            <w:vAlign w:val="center"/>
          </w:tcPr>
          <w:p w14:paraId="18E27463">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面源宽度</w:t>
            </w:r>
            <w:r>
              <w:rPr>
                <w:rFonts w:hint="eastAsia" w:cs="Times New Roman"/>
                <w:color w:val="auto"/>
                <w:u w:val="none" w:color="auto"/>
                <w:lang w:val="en-US" w:eastAsia="zh-CN"/>
              </w:rPr>
              <w:t>m</w:t>
            </w:r>
          </w:p>
        </w:tc>
        <w:tc>
          <w:tcPr>
            <w:tcW w:w="1061" w:type="dxa"/>
            <w:vMerge w:val="restart"/>
            <w:tcBorders>
              <w:tl2br w:val="nil"/>
              <w:tr2bl w:val="nil"/>
            </w:tcBorders>
            <w:noWrap w:val="0"/>
            <w:vAlign w:val="center"/>
          </w:tcPr>
          <w:p w14:paraId="13D5CDF6">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与正北向夹角°</w:t>
            </w:r>
          </w:p>
        </w:tc>
        <w:tc>
          <w:tcPr>
            <w:tcW w:w="1061" w:type="dxa"/>
            <w:vMerge w:val="restart"/>
            <w:tcBorders>
              <w:tl2br w:val="nil"/>
              <w:tr2bl w:val="nil"/>
            </w:tcBorders>
            <w:noWrap w:val="0"/>
            <w:vAlign w:val="center"/>
          </w:tcPr>
          <w:p w14:paraId="31FFD4A1">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面源有效排放高度</w:t>
            </w:r>
            <w:r>
              <w:rPr>
                <w:rFonts w:hint="eastAsia" w:cs="Times New Roman"/>
                <w:color w:val="auto"/>
                <w:u w:val="none" w:color="auto"/>
                <w:lang w:val="en-US" w:eastAsia="zh-CN"/>
              </w:rPr>
              <w:t>m</w:t>
            </w:r>
          </w:p>
        </w:tc>
        <w:tc>
          <w:tcPr>
            <w:tcW w:w="1061" w:type="dxa"/>
            <w:vMerge w:val="restart"/>
            <w:tcBorders>
              <w:tl2br w:val="nil"/>
              <w:tr2bl w:val="nil"/>
            </w:tcBorders>
            <w:noWrap w:val="0"/>
            <w:vAlign w:val="center"/>
          </w:tcPr>
          <w:p w14:paraId="1D1C0629">
            <w:pPr>
              <w:pStyle w:val="24"/>
              <w:bidi w:val="0"/>
              <w:rPr>
                <w:rFonts w:hint="eastAsia"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年排放小时数</w:t>
            </w:r>
            <w:r>
              <w:rPr>
                <w:rFonts w:hint="eastAsia" w:cs="Times New Roman"/>
                <w:color w:val="auto"/>
                <w:u w:val="none" w:color="auto"/>
                <w:lang w:val="en-US" w:eastAsia="zh-CN"/>
              </w:rPr>
              <w:t>h</w:t>
            </w:r>
          </w:p>
        </w:tc>
        <w:tc>
          <w:tcPr>
            <w:tcW w:w="1063" w:type="dxa"/>
            <w:vMerge w:val="restart"/>
            <w:tcBorders>
              <w:tl2br w:val="nil"/>
              <w:tr2bl w:val="nil"/>
            </w:tcBorders>
            <w:noWrap w:val="0"/>
            <w:vAlign w:val="center"/>
          </w:tcPr>
          <w:p w14:paraId="7F841F56">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排放工况</w:t>
            </w:r>
          </w:p>
        </w:tc>
        <w:tc>
          <w:tcPr>
            <w:tcW w:w="3936" w:type="dxa"/>
            <w:gridSpan w:val="4"/>
            <w:vMerge w:val="restart"/>
            <w:tcBorders>
              <w:tl2br w:val="nil"/>
              <w:tr2bl w:val="nil"/>
            </w:tcBorders>
            <w:noWrap w:val="0"/>
            <w:vAlign w:val="center"/>
          </w:tcPr>
          <w:p w14:paraId="350557A7">
            <w:pPr>
              <w:pStyle w:val="24"/>
              <w:bidi w:val="0"/>
              <w:rPr>
                <w:rFonts w:hint="eastAsia"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污染物排放速率</w:t>
            </w:r>
            <w:r>
              <w:rPr>
                <w:rFonts w:hint="eastAsia" w:cs="Times New Roman"/>
                <w:color w:val="auto"/>
                <w:u w:val="none" w:color="auto"/>
                <w:lang w:eastAsia="zh-CN"/>
              </w:rPr>
              <w:t>（</w:t>
            </w:r>
            <w:r>
              <w:rPr>
                <w:rFonts w:hint="default" w:ascii="Times New Roman" w:hAnsi="Times New Roman" w:cs="Times New Roman"/>
                <w:color w:val="auto"/>
                <w:u w:val="none" w:color="auto"/>
              </w:rPr>
              <w:t>kg/h</w:t>
            </w:r>
            <w:r>
              <w:rPr>
                <w:rFonts w:hint="eastAsia" w:cs="Times New Roman"/>
                <w:color w:val="auto"/>
                <w:u w:val="none" w:color="auto"/>
                <w:lang w:eastAsia="zh-CN"/>
              </w:rPr>
              <w:t>）</w:t>
            </w:r>
          </w:p>
        </w:tc>
      </w:tr>
      <w:tr w14:paraId="77C28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noWrap w:val="0"/>
            <w:vAlign w:val="center"/>
          </w:tcPr>
          <w:p w14:paraId="5E15E03C">
            <w:pPr>
              <w:pStyle w:val="24"/>
              <w:bidi w:val="0"/>
              <w:rPr>
                <w:rFonts w:hint="default" w:ascii="Times New Roman" w:hAnsi="Times New Roman" w:cs="Times New Roman"/>
                <w:color w:val="auto"/>
                <w:u w:val="none" w:color="auto"/>
              </w:rPr>
            </w:pPr>
          </w:p>
        </w:tc>
        <w:tc>
          <w:tcPr>
            <w:tcW w:w="828" w:type="dxa"/>
            <w:vMerge w:val="restart"/>
            <w:tcBorders>
              <w:tl2br w:val="nil"/>
              <w:tr2bl w:val="nil"/>
            </w:tcBorders>
            <w:noWrap w:val="0"/>
            <w:vAlign w:val="center"/>
          </w:tcPr>
          <w:p w14:paraId="6156ADC8">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X</w:t>
            </w:r>
          </w:p>
        </w:tc>
        <w:tc>
          <w:tcPr>
            <w:tcW w:w="908" w:type="dxa"/>
            <w:vMerge w:val="restart"/>
            <w:tcBorders>
              <w:tl2br w:val="nil"/>
              <w:tr2bl w:val="nil"/>
            </w:tcBorders>
            <w:noWrap w:val="0"/>
            <w:vAlign w:val="center"/>
          </w:tcPr>
          <w:p w14:paraId="07208A3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Y</w:t>
            </w:r>
          </w:p>
        </w:tc>
        <w:tc>
          <w:tcPr>
            <w:tcW w:w="1061" w:type="dxa"/>
            <w:vMerge w:val="continue"/>
            <w:tcBorders>
              <w:tl2br w:val="nil"/>
              <w:tr2bl w:val="nil"/>
            </w:tcBorders>
            <w:noWrap w:val="0"/>
            <w:vAlign w:val="center"/>
          </w:tcPr>
          <w:p w14:paraId="0DB8FF3C">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55BD6BC4">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0FAAD55B">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0E22D5B5">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1C04BD0D">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53183E21">
            <w:pPr>
              <w:pStyle w:val="24"/>
              <w:bidi w:val="0"/>
              <w:rPr>
                <w:rFonts w:hint="default" w:ascii="Times New Roman" w:hAnsi="Times New Roman" w:cs="Times New Roman"/>
                <w:color w:val="auto"/>
                <w:u w:val="none" w:color="auto"/>
              </w:rPr>
            </w:pPr>
          </w:p>
        </w:tc>
        <w:tc>
          <w:tcPr>
            <w:tcW w:w="1063" w:type="dxa"/>
            <w:vMerge w:val="continue"/>
            <w:tcBorders>
              <w:tl2br w:val="nil"/>
              <w:tr2bl w:val="nil"/>
            </w:tcBorders>
            <w:noWrap w:val="0"/>
            <w:vAlign w:val="center"/>
          </w:tcPr>
          <w:p w14:paraId="13306152">
            <w:pPr>
              <w:pStyle w:val="24"/>
              <w:bidi w:val="0"/>
              <w:rPr>
                <w:rFonts w:hint="default" w:ascii="Times New Roman" w:hAnsi="Times New Roman" w:cs="Times New Roman"/>
                <w:color w:val="auto"/>
                <w:u w:val="none" w:color="auto"/>
              </w:rPr>
            </w:pPr>
          </w:p>
        </w:tc>
        <w:tc>
          <w:tcPr>
            <w:tcW w:w="3936" w:type="dxa"/>
            <w:gridSpan w:val="4"/>
            <w:vMerge w:val="continue"/>
            <w:tcBorders>
              <w:tl2br w:val="nil"/>
              <w:tr2bl w:val="nil"/>
            </w:tcBorders>
            <w:noWrap w:val="0"/>
            <w:vAlign w:val="center"/>
          </w:tcPr>
          <w:p w14:paraId="032B3BA1">
            <w:pPr>
              <w:pStyle w:val="24"/>
              <w:bidi w:val="0"/>
              <w:rPr>
                <w:rFonts w:hint="default" w:ascii="Times New Roman" w:hAnsi="Times New Roman" w:cs="Times New Roman"/>
                <w:color w:val="auto"/>
                <w:u w:val="none" w:color="auto"/>
              </w:rPr>
            </w:pPr>
          </w:p>
        </w:tc>
      </w:tr>
      <w:tr w14:paraId="32812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vMerge w:val="continue"/>
            <w:tcBorders>
              <w:tl2br w:val="nil"/>
              <w:tr2bl w:val="nil"/>
            </w:tcBorders>
            <w:noWrap w:val="0"/>
            <w:vAlign w:val="center"/>
          </w:tcPr>
          <w:p w14:paraId="5B2D7E49">
            <w:pPr>
              <w:pStyle w:val="24"/>
              <w:bidi w:val="0"/>
              <w:rPr>
                <w:rFonts w:hint="default" w:ascii="Times New Roman" w:hAnsi="Times New Roman" w:cs="Times New Roman"/>
                <w:color w:val="auto"/>
                <w:u w:val="none" w:color="auto"/>
              </w:rPr>
            </w:pPr>
          </w:p>
        </w:tc>
        <w:tc>
          <w:tcPr>
            <w:tcW w:w="828" w:type="dxa"/>
            <w:vMerge w:val="continue"/>
            <w:tcBorders>
              <w:tl2br w:val="nil"/>
              <w:tr2bl w:val="nil"/>
            </w:tcBorders>
            <w:noWrap w:val="0"/>
            <w:vAlign w:val="center"/>
          </w:tcPr>
          <w:p w14:paraId="15CD8B0C">
            <w:pPr>
              <w:pStyle w:val="24"/>
              <w:bidi w:val="0"/>
              <w:rPr>
                <w:rFonts w:hint="default" w:ascii="Times New Roman" w:hAnsi="Times New Roman" w:cs="Times New Roman"/>
                <w:color w:val="auto"/>
                <w:u w:val="none" w:color="auto"/>
              </w:rPr>
            </w:pPr>
          </w:p>
        </w:tc>
        <w:tc>
          <w:tcPr>
            <w:tcW w:w="908" w:type="dxa"/>
            <w:vMerge w:val="continue"/>
            <w:tcBorders>
              <w:tl2br w:val="nil"/>
              <w:tr2bl w:val="nil"/>
            </w:tcBorders>
            <w:noWrap w:val="0"/>
            <w:vAlign w:val="center"/>
          </w:tcPr>
          <w:p w14:paraId="0DCA176E">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1E525671">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373CB0F2">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04033A24">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71E51121">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4286125C">
            <w:pPr>
              <w:pStyle w:val="24"/>
              <w:bidi w:val="0"/>
              <w:rPr>
                <w:rFonts w:hint="default" w:ascii="Times New Roman" w:hAnsi="Times New Roman" w:cs="Times New Roman"/>
                <w:color w:val="auto"/>
                <w:u w:val="none" w:color="auto"/>
              </w:rPr>
            </w:pPr>
          </w:p>
        </w:tc>
        <w:tc>
          <w:tcPr>
            <w:tcW w:w="1061" w:type="dxa"/>
            <w:vMerge w:val="continue"/>
            <w:tcBorders>
              <w:tl2br w:val="nil"/>
              <w:tr2bl w:val="nil"/>
            </w:tcBorders>
            <w:noWrap w:val="0"/>
            <w:vAlign w:val="center"/>
          </w:tcPr>
          <w:p w14:paraId="207DD5FB">
            <w:pPr>
              <w:pStyle w:val="24"/>
              <w:bidi w:val="0"/>
              <w:rPr>
                <w:rFonts w:hint="default" w:ascii="Times New Roman" w:hAnsi="Times New Roman" w:cs="Times New Roman"/>
                <w:color w:val="auto"/>
                <w:u w:val="none" w:color="auto"/>
              </w:rPr>
            </w:pPr>
          </w:p>
        </w:tc>
        <w:tc>
          <w:tcPr>
            <w:tcW w:w="1063" w:type="dxa"/>
            <w:vMerge w:val="continue"/>
            <w:tcBorders>
              <w:tl2br w:val="nil"/>
              <w:tr2bl w:val="nil"/>
            </w:tcBorders>
            <w:noWrap w:val="0"/>
            <w:vAlign w:val="center"/>
          </w:tcPr>
          <w:p w14:paraId="23D5EC4B">
            <w:pPr>
              <w:pStyle w:val="24"/>
              <w:bidi w:val="0"/>
              <w:rPr>
                <w:rFonts w:hint="default" w:ascii="Times New Roman" w:hAnsi="Times New Roman" w:cs="Times New Roman"/>
                <w:color w:val="auto"/>
                <w:u w:val="none" w:color="auto"/>
              </w:rPr>
            </w:pPr>
          </w:p>
        </w:tc>
        <w:tc>
          <w:tcPr>
            <w:tcW w:w="928" w:type="dxa"/>
            <w:tcBorders>
              <w:tl2br w:val="nil"/>
              <w:tr2bl w:val="nil"/>
            </w:tcBorders>
            <w:noWrap w:val="0"/>
            <w:vAlign w:val="center"/>
          </w:tcPr>
          <w:p w14:paraId="6CB54B28">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TSP</w:t>
            </w:r>
          </w:p>
        </w:tc>
        <w:tc>
          <w:tcPr>
            <w:tcW w:w="1035" w:type="dxa"/>
            <w:tcBorders>
              <w:tl2br w:val="nil"/>
              <w:tr2bl w:val="nil"/>
            </w:tcBorders>
            <w:noWrap w:val="0"/>
            <w:vAlign w:val="center"/>
          </w:tcPr>
          <w:p w14:paraId="683EA07F">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TVOC</w:t>
            </w:r>
          </w:p>
        </w:tc>
        <w:tc>
          <w:tcPr>
            <w:tcW w:w="1035" w:type="dxa"/>
            <w:tcBorders>
              <w:tl2br w:val="nil"/>
              <w:tr2bl w:val="nil"/>
            </w:tcBorders>
            <w:noWrap w:val="0"/>
            <w:vAlign w:val="center"/>
          </w:tcPr>
          <w:p w14:paraId="59C756A6">
            <w:pPr>
              <w:pStyle w:val="24"/>
              <w:jc w:val="center"/>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二甲苯</w:t>
            </w:r>
          </w:p>
        </w:tc>
        <w:tc>
          <w:tcPr>
            <w:tcW w:w="938" w:type="dxa"/>
            <w:tcBorders>
              <w:tl2br w:val="nil"/>
              <w:tr2bl w:val="nil"/>
            </w:tcBorders>
            <w:noWrap w:val="0"/>
            <w:vAlign w:val="center"/>
          </w:tcPr>
          <w:p w14:paraId="2D1F66EE">
            <w:pPr>
              <w:pStyle w:val="24"/>
              <w:jc w:val="center"/>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氯化氢</w:t>
            </w:r>
          </w:p>
        </w:tc>
      </w:tr>
      <w:tr w14:paraId="3EE63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72" w:type="dxa"/>
            <w:tcBorders>
              <w:tl2br w:val="nil"/>
              <w:tr2bl w:val="nil"/>
            </w:tcBorders>
            <w:noWrap w:val="0"/>
            <w:vAlign w:val="center"/>
          </w:tcPr>
          <w:p w14:paraId="0042C4D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1#厂房</w:t>
            </w:r>
          </w:p>
        </w:tc>
        <w:tc>
          <w:tcPr>
            <w:tcW w:w="828" w:type="dxa"/>
            <w:tcBorders>
              <w:tl2br w:val="nil"/>
              <w:tr2bl w:val="nil"/>
            </w:tcBorders>
            <w:noWrap w:val="0"/>
            <w:vAlign w:val="center"/>
          </w:tcPr>
          <w:p w14:paraId="0C1DFDA5">
            <w:pPr>
              <w:pStyle w:val="24"/>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-13</w:t>
            </w:r>
          </w:p>
        </w:tc>
        <w:tc>
          <w:tcPr>
            <w:tcW w:w="908" w:type="dxa"/>
            <w:tcBorders>
              <w:tl2br w:val="nil"/>
              <w:tr2bl w:val="nil"/>
            </w:tcBorders>
            <w:noWrap w:val="0"/>
            <w:vAlign w:val="center"/>
          </w:tcPr>
          <w:p w14:paraId="61EBDC29">
            <w:pPr>
              <w:pStyle w:val="24"/>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91</w:t>
            </w:r>
          </w:p>
        </w:tc>
        <w:tc>
          <w:tcPr>
            <w:tcW w:w="1061" w:type="dxa"/>
            <w:tcBorders>
              <w:tl2br w:val="nil"/>
              <w:tr2bl w:val="nil"/>
            </w:tcBorders>
            <w:noWrap w:val="0"/>
            <w:vAlign w:val="center"/>
          </w:tcPr>
          <w:p w14:paraId="34EE9928">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55</w:t>
            </w:r>
          </w:p>
        </w:tc>
        <w:tc>
          <w:tcPr>
            <w:tcW w:w="1061" w:type="dxa"/>
            <w:tcBorders>
              <w:tl2br w:val="nil"/>
              <w:tr2bl w:val="nil"/>
            </w:tcBorders>
            <w:noWrap w:val="0"/>
            <w:vAlign w:val="center"/>
          </w:tcPr>
          <w:p w14:paraId="1AAD065A">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100</w:t>
            </w:r>
          </w:p>
        </w:tc>
        <w:tc>
          <w:tcPr>
            <w:tcW w:w="1061" w:type="dxa"/>
            <w:tcBorders>
              <w:tl2br w:val="nil"/>
              <w:tr2bl w:val="nil"/>
            </w:tcBorders>
            <w:noWrap w:val="0"/>
            <w:vAlign w:val="center"/>
          </w:tcPr>
          <w:p w14:paraId="4C3F7730">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96</w:t>
            </w:r>
          </w:p>
        </w:tc>
        <w:tc>
          <w:tcPr>
            <w:tcW w:w="1061" w:type="dxa"/>
            <w:tcBorders>
              <w:tl2br w:val="nil"/>
              <w:tr2bl w:val="nil"/>
            </w:tcBorders>
            <w:noWrap w:val="0"/>
            <w:vAlign w:val="center"/>
          </w:tcPr>
          <w:p w14:paraId="633340EA">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-8</w:t>
            </w:r>
          </w:p>
        </w:tc>
        <w:tc>
          <w:tcPr>
            <w:tcW w:w="1061" w:type="dxa"/>
            <w:tcBorders>
              <w:tl2br w:val="nil"/>
              <w:tr2bl w:val="nil"/>
            </w:tcBorders>
            <w:noWrap w:val="0"/>
            <w:vAlign w:val="center"/>
          </w:tcPr>
          <w:p w14:paraId="4DDB9F75">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12</w:t>
            </w:r>
          </w:p>
        </w:tc>
        <w:tc>
          <w:tcPr>
            <w:tcW w:w="1061" w:type="dxa"/>
            <w:tcBorders>
              <w:tl2br w:val="nil"/>
              <w:tr2bl w:val="nil"/>
            </w:tcBorders>
            <w:noWrap w:val="0"/>
            <w:vAlign w:val="center"/>
          </w:tcPr>
          <w:p w14:paraId="764D663E">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4800</w:t>
            </w:r>
          </w:p>
        </w:tc>
        <w:tc>
          <w:tcPr>
            <w:tcW w:w="1063" w:type="dxa"/>
            <w:tcBorders>
              <w:tl2br w:val="nil"/>
              <w:tr2bl w:val="nil"/>
            </w:tcBorders>
            <w:noWrap w:val="0"/>
            <w:vAlign w:val="center"/>
          </w:tcPr>
          <w:p w14:paraId="0DEF40B3">
            <w:pPr>
              <w:pStyle w:val="24"/>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正常排放</w:t>
            </w:r>
          </w:p>
        </w:tc>
        <w:tc>
          <w:tcPr>
            <w:tcW w:w="928" w:type="dxa"/>
            <w:tcBorders>
              <w:tl2br w:val="nil"/>
              <w:tr2bl w:val="nil"/>
            </w:tcBorders>
            <w:noWrap w:val="0"/>
            <w:vAlign w:val="center"/>
          </w:tcPr>
          <w:p w14:paraId="12F8AD73">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0.267</w:t>
            </w:r>
          </w:p>
        </w:tc>
        <w:tc>
          <w:tcPr>
            <w:tcW w:w="1035" w:type="dxa"/>
            <w:tcBorders>
              <w:tl2br w:val="nil"/>
              <w:tr2bl w:val="nil"/>
            </w:tcBorders>
            <w:noWrap w:val="0"/>
            <w:vAlign w:val="center"/>
          </w:tcPr>
          <w:p w14:paraId="63A95C86">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0.062</w:t>
            </w:r>
          </w:p>
        </w:tc>
        <w:tc>
          <w:tcPr>
            <w:tcW w:w="1035" w:type="dxa"/>
            <w:tcBorders>
              <w:tl2br w:val="nil"/>
              <w:tr2bl w:val="nil"/>
            </w:tcBorders>
            <w:noWrap w:val="0"/>
            <w:vAlign w:val="center"/>
          </w:tcPr>
          <w:p w14:paraId="0832E53A">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w:t>
            </w:r>
          </w:p>
        </w:tc>
        <w:tc>
          <w:tcPr>
            <w:tcW w:w="938" w:type="dxa"/>
            <w:tcBorders>
              <w:tl2br w:val="nil"/>
              <w:tr2bl w:val="nil"/>
            </w:tcBorders>
            <w:noWrap w:val="0"/>
            <w:vAlign w:val="center"/>
          </w:tcPr>
          <w:p w14:paraId="026A3484">
            <w:pPr>
              <w:pStyle w:val="24"/>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0.018</w:t>
            </w:r>
          </w:p>
        </w:tc>
      </w:tr>
      <w:tr w14:paraId="22676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2" w:type="dxa"/>
            <w:tcBorders>
              <w:tl2br w:val="nil"/>
              <w:tr2bl w:val="nil"/>
            </w:tcBorders>
            <w:noWrap w:val="0"/>
            <w:vAlign w:val="center"/>
          </w:tcPr>
          <w:p w14:paraId="5BE9F0C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2#厂房</w:t>
            </w:r>
          </w:p>
        </w:tc>
        <w:tc>
          <w:tcPr>
            <w:tcW w:w="828" w:type="dxa"/>
            <w:tcBorders>
              <w:tl2br w:val="nil"/>
              <w:tr2bl w:val="nil"/>
            </w:tcBorders>
            <w:noWrap w:val="0"/>
            <w:vAlign w:val="center"/>
          </w:tcPr>
          <w:p w14:paraId="6E20B5E8">
            <w:pPr>
              <w:pStyle w:val="24"/>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-85</w:t>
            </w:r>
          </w:p>
        </w:tc>
        <w:tc>
          <w:tcPr>
            <w:tcW w:w="908" w:type="dxa"/>
            <w:tcBorders>
              <w:tl2br w:val="nil"/>
              <w:tr2bl w:val="nil"/>
            </w:tcBorders>
            <w:noWrap w:val="0"/>
            <w:vAlign w:val="center"/>
          </w:tcPr>
          <w:p w14:paraId="625551B9">
            <w:pPr>
              <w:pStyle w:val="24"/>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-30</w:t>
            </w:r>
          </w:p>
        </w:tc>
        <w:tc>
          <w:tcPr>
            <w:tcW w:w="1061" w:type="dxa"/>
            <w:tcBorders>
              <w:tl2br w:val="nil"/>
              <w:tr2bl w:val="nil"/>
            </w:tcBorders>
            <w:noWrap w:val="0"/>
            <w:vAlign w:val="center"/>
          </w:tcPr>
          <w:p w14:paraId="0D18E3C0">
            <w:pPr>
              <w:pStyle w:val="24"/>
              <w:bidi w:val="0"/>
              <w:rPr>
                <w:rFonts w:hint="default" w:cs="Times New Roman"/>
                <w:color w:val="auto"/>
                <w:u w:val="none" w:color="auto"/>
                <w:lang w:val="en-US" w:eastAsia="zh-CN"/>
              </w:rPr>
            </w:pPr>
            <w:r>
              <w:rPr>
                <w:rFonts w:hint="eastAsia" w:cs="Times New Roman"/>
                <w:color w:val="auto"/>
                <w:u w:val="none" w:color="auto"/>
                <w:lang w:val="en-US" w:eastAsia="zh-CN"/>
              </w:rPr>
              <w:t>59</w:t>
            </w:r>
          </w:p>
        </w:tc>
        <w:tc>
          <w:tcPr>
            <w:tcW w:w="1061" w:type="dxa"/>
            <w:tcBorders>
              <w:tl2br w:val="nil"/>
              <w:tr2bl w:val="nil"/>
            </w:tcBorders>
            <w:noWrap w:val="0"/>
            <w:vAlign w:val="center"/>
          </w:tcPr>
          <w:p w14:paraId="5D2FB7D2">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136</w:t>
            </w:r>
          </w:p>
        </w:tc>
        <w:tc>
          <w:tcPr>
            <w:tcW w:w="1061" w:type="dxa"/>
            <w:tcBorders>
              <w:tl2br w:val="nil"/>
              <w:tr2bl w:val="nil"/>
            </w:tcBorders>
            <w:noWrap w:val="0"/>
            <w:vAlign w:val="center"/>
          </w:tcPr>
          <w:p w14:paraId="5B395F17">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50</w:t>
            </w:r>
          </w:p>
        </w:tc>
        <w:tc>
          <w:tcPr>
            <w:tcW w:w="1061" w:type="dxa"/>
            <w:tcBorders>
              <w:tl2br w:val="nil"/>
              <w:tr2bl w:val="nil"/>
            </w:tcBorders>
            <w:noWrap w:val="0"/>
            <w:vAlign w:val="center"/>
          </w:tcPr>
          <w:p w14:paraId="503B4A18">
            <w:pPr>
              <w:pStyle w:val="24"/>
              <w:bidi w:val="0"/>
              <w:rPr>
                <w:rFonts w:hint="default" w:cs="Times New Roman"/>
                <w:color w:val="auto"/>
                <w:u w:val="none" w:color="auto"/>
                <w:lang w:val="en-US" w:eastAsia="zh-CN"/>
              </w:rPr>
            </w:pPr>
            <w:r>
              <w:rPr>
                <w:rFonts w:hint="eastAsia" w:cs="Times New Roman"/>
                <w:color w:val="auto"/>
                <w:u w:val="none" w:color="auto"/>
                <w:lang w:val="en-US" w:eastAsia="zh-CN"/>
              </w:rPr>
              <w:t>-8</w:t>
            </w:r>
          </w:p>
        </w:tc>
        <w:tc>
          <w:tcPr>
            <w:tcW w:w="1061" w:type="dxa"/>
            <w:tcBorders>
              <w:tl2br w:val="nil"/>
              <w:tr2bl w:val="nil"/>
            </w:tcBorders>
            <w:noWrap w:val="0"/>
            <w:vAlign w:val="center"/>
          </w:tcPr>
          <w:p w14:paraId="3AB3708E">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13</w:t>
            </w:r>
          </w:p>
        </w:tc>
        <w:tc>
          <w:tcPr>
            <w:tcW w:w="1061" w:type="dxa"/>
            <w:tcBorders>
              <w:tl2br w:val="nil"/>
              <w:tr2bl w:val="nil"/>
            </w:tcBorders>
            <w:noWrap w:val="0"/>
            <w:vAlign w:val="center"/>
          </w:tcPr>
          <w:p w14:paraId="7DE87216">
            <w:pPr>
              <w:pStyle w:val="24"/>
              <w:bidi w:val="0"/>
              <w:rPr>
                <w:rFonts w:hint="default" w:cs="Times New Roman"/>
                <w:color w:val="auto"/>
                <w:u w:val="none" w:color="auto"/>
                <w:lang w:val="en-US" w:eastAsia="zh-CN"/>
              </w:rPr>
            </w:pPr>
            <w:r>
              <w:rPr>
                <w:rFonts w:hint="eastAsia" w:cs="Times New Roman"/>
                <w:color w:val="auto"/>
                <w:u w:val="none" w:color="auto"/>
                <w:lang w:val="en-US" w:eastAsia="zh-CN"/>
              </w:rPr>
              <w:t>2400</w:t>
            </w:r>
          </w:p>
        </w:tc>
        <w:tc>
          <w:tcPr>
            <w:tcW w:w="1063" w:type="dxa"/>
            <w:tcBorders>
              <w:tl2br w:val="nil"/>
              <w:tr2bl w:val="nil"/>
            </w:tcBorders>
            <w:noWrap w:val="0"/>
            <w:vAlign w:val="center"/>
          </w:tcPr>
          <w:p w14:paraId="7C1E1A1D">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正常排放</w:t>
            </w:r>
          </w:p>
        </w:tc>
        <w:tc>
          <w:tcPr>
            <w:tcW w:w="928" w:type="dxa"/>
            <w:tcBorders>
              <w:tl2br w:val="nil"/>
              <w:tr2bl w:val="nil"/>
            </w:tcBorders>
            <w:noWrap w:val="0"/>
            <w:vAlign w:val="center"/>
          </w:tcPr>
          <w:p w14:paraId="4842240D">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w:t>
            </w:r>
          </w:p>
        </w:tc>
        <w:tc>
          <w:tcPr>
            <w:tcW w:w="1035" w:type="dxa"/>
            <w:tcBorders>
              <w:tl2br w:val="nil"/>
              <w:tr2bl w:val="nil"/>
            </w:tcBorders>
            <w:noWrap w:val="0"/>
            <w:vAlign w:val="center"/>
          </w:tcPr>
          <w:p w14:paraId="7764C2B0">
            <w:pPr>
              <w:pStyle w:val="24"/>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0.17</w:t>
            </w:r>
          </w:p>
        </w:tc>
        <w:tc>
          <w:tcPr>
            <w:tcW w:w="1035" w:type="dxa"/>
            <w:tcBorders>
              <w:tl2br w:val="nil"/>
              <w:tr2bl w:val="nil"/>
            </w:tcBorders>
            <w:noWrap w:val="0"/>
            <w:vAlign w:val="center"/>
          </w:tcPr>
          <w:p w14:paraId="27F51BEE">
            <w:pPr>
              <w:pStyle w:val="24"/>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0.013</w:t>
            </w:r>
          </w:p>
        </w:tc>
        <w:tc>
          <w:tcPr>
            <w:tcW w:w="938" w:type="dxa"/>
            <w:tcBorders>
              <w:tl2br w:val="nil"/>
              <w:tr2bl w:val="nil"/>
            </w:tcBorders>
            <w:noWrap w:val="0"/>
            <w:vAlign w:val="center"/>
          </w:tcPr>
          <w:p w14:paraId="3EDFD9E3">
            <w:pPr>
              <w:pStyle w:val="24"/>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w:t>
            </w:r>
          </w:p>
        </w:tc>
      </w:tr>
      <w:tr w14:paraId="3BC87F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173" w:type="dxa"/>
            <w:gridSpan w:val="14"/>
            <w:tcBorders>
              <w:tl2br w:val="nil"/>
              <w:tr2bl w:val="nil"/>
            </w:tcBorders>
            <w:noWrap w:val="0"/>
            <w:vAlign w:val="center"/>
          </w:tcPr>
          <w:p w14:paraId="7A1680A4">
            <w:pPr>
              <w:pStyle w:val="31"/>
              <w:bidi w:val="0"/>
              <w:jc w:val="left"/>
              <w:rPr>
                <w:rFonts w:hint="eastAsia" w:ascii="Times New Roman" w:hAnsi="Times New Roman" w:cs="Times New Roman"/>
                <w:color w:val="auto"/>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备注：（0，0）坐标为（东经113.142609、北纬28.766384）</w:t>
            </w:r>
          </w:p>
        </w:tc>
      </w:tr>
    </w:tbl>
    <w:p w14:paraId="56A41217">
      <w:pPr>
        <w:pStyle w:val="20"/>
        <w:ind w:firstLine="480"/>
        <w:rPr>
          <w:rFonts w:hint="default" w:ascii="Times New Roman" w:hAnsi="Times New Roman" w:cs="Times New Roman"/>
          <w:color w:val="auto"/>
          <w:u w:val="none" w:color="auto"/>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0CE5F3C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④计算结果见表</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.2-</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rPr>
        <w:t>。</w:t>
      </w:r>
    </w:p>
    <w:p w14:paraId="7F03943C">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rPr>
        <w:t>.2-</w:t>
      </w:r>
      <w:r>
        <w:rPr>
          <w:rFonts w:hint="eastAsia"/>
          <w:color w:val="auto"/>
          <w:u w:val="none" w:color="auto"/>
          <w:lang w:val="en-US" w:eastAsia="zh-CN"/>
        </w:rPr>
        <w:t>5</w:t>
      </w:r>
      <w:r>
        <w:rPr>
          <w:rFonts w:hint="default"/>
          <w:color w:val="auto"/>
          <w:u w:val="none" w:color="auto"/>
        </w:rPr>
        <w:t xml:space="preserve"> 大气环境影响评价等级结果</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825"/>
        <w:gridCol w:w="990"/>
        <w:gridCol w:w="690"/>
        <w:gridCol w:w="1500"/>
        <w:gridCol w:w="1065"/>
        <w:gridCol w:w="854"/>
        <w:gridCol w:w="765"/>
        <w:gridCol w:w="787"/>
      </w:tblGrid>
      <w:tr w14:paraId="65AF58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29896127">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污染源</w:t>
            </w:r>
          </w:p>
        </w:tc>
        <w:tc>
          <w:tcPr>
            <w:tcW w:w="825" w:type="dxa"/>
            <w:tcBorders>
              <w:tl2br w:val="nil"/>
              <w:tr2bl w:val="nil"/>
            </w:tcBorders>
            <w:noWrap w:val="0"/>
            <w:vAlign w:val="center"/>
          </w:tcPr>
          <w:p w14:paraId="2D2492D0">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类型</w:t>
            </w:r>
          </w:p>
        </w:tc>
        <w:tc>
          <w:tcPr>
            <w:tcW w:w="1680" w:type="dxa"/>
            <w:gridSpan w:val="2"/>
            <w:tcBorders>
              <w:tl2br w:val="nil"/>
              <w:tr2bl w:val="nil"/>
            </w:tcBorders>
            <w:noWrap w:val="0"/>
            <w:vAlign w:val="center"/>
          </w:tcPr>
          <w:p w14:paraId="16A69FD0">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标准</w:t>
            </w:r>
          </w:p>
          <w:p w14:paraId="16EDD129">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（μg/m</w:t>
            </w:r>
            <w:r>
              <w:rPr>
                <w:rFonts w:hint="default" w:ascii="Times New Roman" w:hAnsi="Times New Roman" w:cs="Times New Roman"/>
                <w:b w:val="0"/>
                <w:bCs w:val="0"/>
                <w:color w:val="auto"/>
                <w:sz w:val="21"/>
                <w:szCs w:val="21"/>
                <w:u w:val="none" w:color="auto"/>
                <w:vertAlign w:val="superscript"/>
                <w:lang w:eastAsia="zh-CN"/>
              </w:rPr>
              <w:t>3</w:t>
            </w:r>
            <w:r>
              <w:rPr>
                <w:rFonts w:hint="default" w:ascii="Times New Roman" w:hAnsi="Times New Roman" w:cs="Times New Roman"/>
                <w:b w:val="0"/>
                <w:bCs w:val="0"/>
                <w:color w:val="auto"/>
                <w:sz w:val="21"/>
                <w:szCs w:val="21"/>
                <w:u w:val="none" w:color="auto"/>
                <w:lang w:eastAsia="zh-CN"/>
              </w:rPr>
              <w:t>）</w:t>
            </w:r>
          </w:p>
        </w:tc>
        <w:tc>
          <w:tcPr>
            <w:tcW w:w="1500" w:type="dxa"/>
            <w:tcBorders>
              <w:tl2br w:val="nil"/>
              <w:tr2bl w:val="nil"/>
            </w:tcBorders>
            <w:noWrap w:val="0"/>
            <w:vAlign w:val="center"/>
          </w:tcPr>
          <w:p w14:paraId="7E08FC30">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最大落地浓度</w:t>
            </w:r>
          </w:p>
          <w:p w14:paraId="6C7B8041">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（μg/m</w:t>
            </w:r>
            <w:r>
              <w:rPr>
                <w:rFonts w:hint="default" w:ascii="Times New Roman" w:hAnsi="Times New Roman" w:cs="Times New Roman"/>
                <w:b w:val="0"/>
                <w:bCs w:val="0"/>
                <w:color w:val="auto"/>
                <w:sz w:val="21"/>
                <w:szCs w:val="21"/>
                <w:u w:val="none" w:color="auto"/>
                <w:vertAlign w:val="superscript"/>
              </w:rPr>
              <w:t>3</w:t>
            </w:r>
            <w:r>
              <w:rPr>
                <w:rFonts w:hint="default" w:ascii="Times New Roman" w:hAnsi="Times New Roman" w:cs="Times New Roman"/>
                <w:b w:val="0"/>
                <w:bCs w:val="0"/>
                <w:color w:val="auto"/>
                <w:sz w:val="21"/>
                <w:szCs w:val="21"/>
                <w:u w:val="none" w:color="auto"/>
              </w:rPr>
              <w:t>）</w:t>
            </w:r>
          </w:p>
        </w:tc>
        <w:tc>
          <w:tcPr>
            <w:tcW w:w="1065" w:type="dxa"/>
            <w:tcBorders>
              <w:tl2br w:val="nil"/>
              <w:tr2bl w:val="nil"/>
            </w:tcBorders>
            <w:noWrap w:val="0"/>
            <w:vAlign w:val="center"/>
          </w:tcPr>
          <w:p w14:paraId="2031DF70">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出现距离</w:t>
            </w:r>
          </w:p>
          <w:p w14:paraId="2C11F9C1">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（m）</w:t>
            </w:r>
          </w:p>
        </w:tc>
        <w:tc>
          <w:tcPr>
            <w:tcW w:w="854" w:type="dxa"/>
            <w:tcBorders>
              <w:tl2br w:val="nil"/>
              <w:tr2bl w:val="nil"/>
            </w:tcBorders>
            <w:noWrap w:val="0"/>
            <w:vAlign w:val="center"/>
          </w:tcPr>
          <w:p w14:paraId="762C8A8F">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占标率</w:t>
            </w:r>
          </w:p>
          <w:p w14:paraId="125FB3E4">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w:t>
            </w:r>
          </w:p>
        </w:tc>
        <w:tc>
          <w:tcPr>
            <w:tcW w:w="765" w:type="dxa"/>
            <w:tcBorders>
              <w:tl2br w:val="nil"/>
              <w:tr2bl w:val="nil"/>
            </w:tcBorders>
            <w:noWrap w:val="0"/>
            <w:vAlign w:val="center"/>
          </w:tcPr>
          <w:p w14:paraId="04DF673A">
            <w:pPr>
              <w:pStyle w:val="24"/>
              <w:bidi w:val="0"/>
              <w:rPr>
                <w:rFonts w:hint="default" w:ascii="Times New Roman" w:hAnsi="Times New Roman"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Pmax</w:t>
            </w:r>
          </w:p>
          <w:p w14:paraId="6960758F">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w:t>
            </w:r>
          </w:p>
        </w:tc>
        <w:tc>
          <w:tcPr>
            <w:tcW w:w="787" w:type="dxa"/>
            <w:tcBorders>
              <w:tl2br w:val="nil"/>
              <w:tr2bl w:val="nil"/>
            </w:tcBorders>
            <w:noWrap w:val="0"/>
            <w:vAlign w:val="center"/>
          </w:tcPr>
          <w:p w14:paraId="0724BD87">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D10%</w:t>
            </w:r>
          </w:p>
          <w:p w14:paraId="47715E36">
            <w:pPr>
              <w:pStyle w:val="24"/>
              <w:bidi w:val="0"/>
              <w:rPr>
                <w:rFonts w:hint="default" w:ascii="Times New Roman" w:hAnsi="Times New Roman" w:cs="Times New Roman"/>
                <w:b w:val="0"/>
                <w:bCs w:val="0"/>
                <w:color w:val="auto"/>
                <w:sz w:val="21"/>
                <w:szCs w:val="21"/>
                <w:u w:val="none" w:color="auto"/>
              </w:rPr>
            </w:pPr>
            <w:r>
              <w:rPr>
                <w:rFonts w:hint="default" w:ascii="Times New Roman" w:hAnsi="Times New Roman" w:cs="Times New Roman"/>
                <w:b w:val="0"/>
                <w:bCs w:val="0"/>
                <w:color w:val="auto"/>
                <w:sz w:val="21"/>
                <w:szCs w:val="21"/>
                <w:u w:val="none" w:color="auto"/>
              </w:rPr>
              <w:t>（m）</w:t>
            </w:r>
          </w:p>
        </w:tc>
      </w:tr>
      <w:tr w14:paraId="4766A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tcBorders>
              <w:tl2br w:val="nil"/>
              <w:tr2bl w:val="nil"/>
            </w:tcBorders>
            <w:noWrap w:val="0"/>
            <w:vAlign w:val="center"/>
          </w:tcPr>
          <w:p w14:paraId="456FF7E5">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DA001排气筒</w:t>
            </w:r>
          </w:p>
        </w:tc>
        <w:tc>
          <w:tcPr>
            <w:tcW w:w="825" w:type="dxa"/>
            <w:tcBorders>
              <w:tl2br w:val="nil"/>
              <w:tr2bl w:val="nil"/>
            </w:tcBorders>
            <w:noWrap w:val="0"/>
            <w:vAlign w:val="center"/>
          </w:tcPr>
          <w:p w14:paraId="31B2BEBA">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点源</w:t>
            </w:r>
          </w:p>
        </w:tc>
        <w:tc>
          <w:tcPr>
            <w:tcW w:w="990" w:type="dxa"/>
            <w:tcBorders>
              <w:tl2br w:val="nil"/>
              <w:tr2bl w:val="nil"/>
            </w:tcBorders>
            <w:noWrap w:val="0"/>
            <w:vAlign w:val="center"/>
          </w:tcPr>
          <w:p w14:paraId="1C86CAD3">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PM</w:t>
            </w:r>
            <w:r>
              <w:rPr>
                <w:rFonts w:hint="eastAsia" w:cs="Times New Roman"/>
                <w:b w:val="0"/>
                <w:bCs w:val="0"/>
                <w:color w:val="auto"/>
                <w:sz w:val="21"/>
                <w:szCs w:val="21"/>
                <w:u w:val="none" w:color="auto"/>
                <w:vertAlign w:val="subscript"/>
                <w:lang w:val="en-US" w:eastAsia="zh-CN"/>
              </w:rPr>
              <w:t>10</w:t>
            </w:r>
          </w:p>
        </w:tc>
        <w:tc>
          <w:tcPr>
            <w:tcW w:w="690" w:type="dxa"/>
            <w:tcBorders>
              <w:tl2br w:val="nil"/>
              <w:tr2bl w:val="nil"/>
            </w:tcBorders>
            <w:noWrap w:val="0"/>
            <w:vAlign w:val="center"/>
          </w:tcPr>
          <w:p w14:paraId="0B5549BB">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450</w:t>
            </w:r>
          </w:p>
        </w:tc>
        <w:tc>
          <w:tcPr>
            <w:tcW w:w="1500" w:type="dxa"/>
            <w:tcBorders>
              <w:tl2br w:val="nil"/>
              <w:tr2bl w:val="nil"/>
            </w:tcBorders>
            <w:noWrap w:val="0"/>
            <w:vAlign w:val="center"/>
          </w:tcPr>
          <w:p w14:paraId="31678FB4">
            <w:pPr>
              <w:pStyle w:val="24"/>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1.296</w:t>
            </w:r>
          </w:p>
        </w:tc>
        <w:tc>
          <w:tcPr>
            <w:tcW w:w="1065" w:type="dxa"/>
            <w:tcBorders>
              <w:tl2br w:val="nil"/>
              <w:tr2bl w:val="nil"/>
            </w:tcBorders>
            <w:noWrap w:val="0"/>
            <w:vAlign w:val="center"/>
          </w:tcPr>
          <w:p w14:paraId="4D8AEFE9">
            <w:pPr>
              <w:pStyle w:val="24"/>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96</w:t>
            </w:r>
          </w:p>
        </w:tc>
        <w:tc>
          <w:tcPr>
            <w:tcW w:w="854" w:type="dxa"/>
            <w:tcBorders>
              <w:tl2br w:val="nil"/>
              <w:tr2bl w:val="nil"/>
            </w:tcBorders>
            <w:noWrap w:val="0"/>
            <w:vAlign w:val="center"/>
          </w:tcPr>
          <w:p w14:paraId="763E7862">
            <w:pPr>
              <w:pStyle w:val="24"/>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0.29</w:t>
            </w:r>
          </w:p>
        </w:tc>
        <w:tc>
          <w:tcPr>
            <w:tcW w:w="765" w:type="dxa"/>
            <w:vMerge w:val="restart"/>
            <w:tcBorders>
              <w:tl2br w:val="nil"/>
              <w:tr2bl w:val="nil"/>
            </w:tcBorders>
            <w:noWrap w:val="0"/>
            <w:vAlign w:val="center"/>
          </w:tcPr>
          <w:p w14:paraId="53B3C841">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9.72</w:t>
            </w:r>
          </w:p>
        </w:tc>
        <w:tc>
          <w:tcPr>
            <w:tcW w:w="787" w:type="dxa"/>
            <w:tcBorders>
              <w:tl2br w:val="nil"/>
              <w:tr2bl w:val="nil"/>
            </w:tcBorders>
            <w:noWrap w:val="0"/>
            <w:vAlign w:val="center"/>
          </w:tcPr>
          <w:p w14:paraId="24460650">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64C2C0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3E19996F">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DA002</w:t>
            </w:r>
            <w:r>
              <w:rPr>
                <w:rFonts w:hint="default" w:ascii="Times New Roman" w:hAnsi="Times New Roman" w:cs="Times New Roman"/>
                <w:b w:val="0"/>
                <w:bCs w:val="0"/>
                <w:color w:val="auto"/>
                <w:sz w:val="21"/>
                <w:szCs w:val="21"/>
                <w:u w:val="none" w:color="auto"/>
                <w:lang w:eastAsia="zh-CN"/>
              </w:rPr>
              <w:t>排气筒</w:t>
            </w:r>
          </w:p>
        </w:tc>
        <w:tc>
          <w:tcPr>
            <w:tcW w:w="825" w:type="dxa"/>
            <w:vMerge w:val="restart"/>
            <w:tcBorders>
              <w:tl2br w:val="nil"/>
              <w:tr2bl w:val="nil"/>
            </w:tcBorders>
            <w:noWrap w:val="0"/>
            <w:vAlign w:val="center"/>
          </w:tcPr>
          <w:p w14:paraId="745FF562">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cs="Times New Roman"/>
                <w:b w:val="0"/>
                <w:bCs w:val="0"/>
                <w:color w:val="auto"/>
                <w:sz w:val="21"/>
                <w:szCs w:val="21"/>
                <w:u w:val="none" w:color="auto"/>
                <w:lang w:eastAsia="zh-CN"/>
              </w:rPr>
              <w:t>点</w:t>
            </w:r>
            <w:r>
              <w:rPr>
                <w:rFonts w:hint="default" w:ascii="Times New Roman" w:hAnsi="Times New Roman" w:cs="Times New Roman"/>
                <w:b w:val="0"/>
                <w:bCs w:val="0"/>
                <w:color w:val="auto"/>
                <w:sz w:val="21"/>
                <w:szCs w:val="21"/>
                <w:u w:val="none" w:color="auto"/>
              </w:rPr>
              <w:t>源</w:t>
            </w:r>
          </w:p>
        </w:tc>
        <w:tc>
          <w:tcPr>
            <w:tcW w:w="990" w:type="dxa"/>
            <w:tcBorders>
              <w:tl2br w:val="nil"/>
              <w:tr2bl w:val="nil"/>
            </w:tcBorders>
            <w:noWrap w:val="0"/>
            <w:vAlign w:val="center"/>
          </w:tcPr>
          <w:p w14:paraId="28C9C29A">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71F9B864">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4E16AF09">
            <w:pPr>
              <w:pStyle w:val="24"/>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8.507</w:t>
            </w:r>
          </w:p>
        </w:tc>
        <w:tc>
          <w:tcPr>
            <w:tcW w:w="1065" w:type="dxa"/>
            <w:vMerge w:val="restart"/>
            <w:tcBorders>
              <w:tl2br w:val="nil"/>
              <w:tr2bl w:val="nil"/>
            </w:tcBorders>
            <w:noWrap w:val="0"/>
            <w:vAlign w:val="center"/>
          </w:tcPr>
          <w:p w14:paraId="061DD751">
            <w:pPr>
              <w:pStyle w:val="24"/>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b w:val="0"/>
                <w:bCs w:val="0"/>
                <w:color w:val="auto"/>
                <w:kern w:val="2"/>
                <w:sz w:val="21"/>
                <w:szCs w:val="21"/>
                <w:highlight w:val="none"/>
                <w:u w:val="none" w:color="auto"/>
                <w:lang w:val="en-US" w:eastAsia="zh-CN" w:bidi="ar-SA"/>
              </w:rPr>
              <w:t>96</w:t>
            </w:r>
          </w:p>
        </w:tc>
        <w:tc>
          <w:tcPr>
            <w:tcW w:w="854" w:type="dxa"/>
            <w:tcBorders>
              <w:tl2br w:val="nil"/>
              <w:tr2bl w:val="nil"/>
            </w:tcBorders>
            <w:noWrap w:val="0"/>
            <w:vAlign w:val="center"/>
          </w:tcPr>
          <w:p w14:paraId="21EC02F0">
            <w:pPr>
              <w:pStyle w:val="24"/>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eastAsia="宋体" w:cs="Times New Roman"/>
                <w:b w:val="0"/>
                <w:bCs w:val="0"/>
                <w:color w:val="auto"/>
                <w:kern w:val="2"/>
                <w:sz w:val="21"/>
                <w:szCs w:val="21"/>
                <w:u w:val="none" w:color="auto"/>
                <w:lang w:val="en-US" w:eastAsia="zh-CN" w:bidi="ar-SA"/>
              </w:rPr>
              <w:t>0.71</w:t>
            </w:r>
          </w:p>
        </w:tc>
        <w:tc>
          <w:tcPr>
            <w:tcW w:w="765" w:type="dxa"/>
            <w:vMerge w:val="continue"/>
            <w:tcBorders>
              <w:tl2br w:val="nil"/>
              <w:tr2bl w:val="nil"/>
            </w:tcBorders>
            <w:noWrap w:val="0"/>
            <w:vAlign w:val="center"/>
          </w:tcPr>
          <w:p w14:paraId="238D00FA">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677E0D30">
            <w:pPr>
              <w:pStyle w:val="24"/>
              <w:bidi w:val="0"/>
              <w:rPr>
                <w:rFonts w:hint="default" w:ascii="Times New Roman" w:hAnsi="Times New Roman" w:eastAsia="宋体"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w:t>
            </w:r>
          </w:p>
        </w:tc>
      </w:tr>
      <w:tr w14:paraId="02C46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4A78AA5C">
            <w:pPr>
              <w:pStyle w:val="24"/>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3027641D">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280465C6">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氯化氢</w:t>
            </w:r>
          </w:p>
        </w:tc>
        <w:tc>
          <w:tcPr>
            <w:tcW w:w="690" w:type="dxa"/>
            <w:tcBorders>
              <w:tl2br w:val="nil"/>
              <w:tr2bl w:val="nil"/>
            </w:tcBorders>
            <w:noWrap w:val="0"/>
            <w:vAlign w:val="center"/>
          </w:tcPr>
          <w:p w14:paraId="54445D03">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50</w:t>
            </w:r>
          </w:p>
        </w:tc>
        <w:tc>
          <w:tcPr>
            <w:tcW w:w="1500" w:type="dxa"/>
            <w:tcBorders>
              <w:tl2br w:val="nil"/>
              <w:tr2bl w:val="nil"/>
            </w:tcBorders>
            <w:noWrap w:val="0"/>
            <w:vAlign w:val="center"/>
          </w:tcPr>
          <w:p w14:paraId="46C392EE">
            <w:pPr>
              <w:pStyle w:val="24"/>
              <w:rPr>
                <w:rFonts w:hint="default"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4.861</w:t>
            </w:r>
          </w:p>
        </w:tc>
        <w:tc>
          <w:tcPr>
            <w:tcW w:w="1065" w:type="dxa"/>
            <w:vMerge w:val="continue"/>
            <w:tcBorders>
              <w:tl2br w:val="nil"/>
              <w:tr2bl w:val="nil"/>
            </w:tcBorders>
            <w:noWrap w:val="0"/>
            <w:vAlign w:val="center"/>
          </w:tcPr>
          <w:p w14:paraId="7894F057">
            <w:pPr>
              <w:pStyle w:val="24"/>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4EA2515C">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9.72</w:t>
            </w:r>
          </w:p>
        </w:tc>
        <w:tc>
          <w:tcPr>
            <w:tcW w:w="765" w:type="dxa"/>
            <w:vMerge w:val="continue"/>
            <w:tcBorders>
              <w:tl2br w:val="nil"/>
              <w:tr2bl w:val="nil"/>
            </w:tcBorders>
            <w:noWrap w:val="0"/>
            <w:vAlign w:val="center"/>
          </w:tcPr>
          <w:p w14:paraId="0F15FCA7">
            <w:pPr>
              <w:pStyle w:val="24"/>
              <w:bidi w:val="0"/>
              <w:rPr>
                <w:rFonts w:hint="eastAsia"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2B9E81CE">
            <w:pPr>
              <w:pStyle w:val="24"/>
              <w:bidi w:val="0"/>
              <w:rPr>
                <w:rFonts w:hint="default" w:ascii="Times New Roman" w:hAnsi="Times New Roman" w:cs="Times New Roman"/>
                <w:b w:val="0"/>
                <w:bCs w:val="0"/>
                <w:color w:val="auto"/>
                <w:sz w:val="21"/>
                <w:szCs w:val="21"/>
                <w:u w:val="none" w:color="auto"/>
                <w:lang w:val="en-US" w:eastAsia="zh-CN"/>
              </w:rPr>
            </w:pPr>
          </w:p>
        </w:tc>
      </w:tr>
      <w:tr w14:paraId="1BF21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24093C1F">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DA003排气筒</w:t>
            </w:r>
          </w:p>
        </w:tc>
        <w:tc>
          <w:tcPr>
            <w:tcW w:w="825" w:type="dxa"/>
            <w:vMerge w:val="restart"/>
            <w:tcBorders>
              <w:tl2br w:val="nil"/>
              <w:tr2bl w:val="nil"/>
            </w:tcBorders>
            <w:noWrap w:val="0"/>
            <w:vAlign w:val="center"/>
          </w:tcPr>
          <w:p w14:paraId="336FDD5B">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点源</w:t>
            </w:r>
          </w:p>
        </w:tc>
        <w:tc>
          <w:tcPr>
            <w:tcW w:w="990" w:type="dxa"/>
            <w:tcBorders>
              <w:tl2br w:val="nil"/>
              <w:tr2bl w:val="nil"/>
            </w:tcBorders>
            <w:noWrap w:val="0"/>
            <w:vAlign w:val="center"/>
          </w:tcPr>
          <w:p w14:paraId="236CC997">
            <w:pPr>
              <w:pStyle w:val="24"/>
              <w:bidi w:val="0"/>
              <w:rPr>
                <w:rFonts w:hint="eastAsia"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2B3CF945">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0399C53D">
            <w:pPr>
              <w:pStyle w:val="24"/>
              <w:rPr>
                <w:rFonts w:hint="default"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31.583</w:t>
            </w:r>
          </w:p>
        </w:tc>
        <w:tc>
          <w:tcPr>
            <w:tcW w:w="1065" w:type="dxa"/>
            <w:vMerge w:val="restart"/>
            <w:tcBorders>
              <w:tl2br w:val="nil"/>
              <w:tr2bl w:val="nil"/>
            </w:tcBorders>
            <w:noWrap w:val="0"/>
            <w:vAlign w:val="center"/>
          </w:tcPr>
          <w:p w14:paraId="4F03660B">
            <w:pPr>
              <w:pStyle w:val="24"/>
              <w:rPr>
                <w:rFonts w:hint="default" w:cs="Times New Roman"/>
                <w:b w:val="0"/>
                <w:bCs w:val="0"/>
                <w:i w:val="0"/>
                <w:color w:val="auto"/>
                <w:kern w:val="0"/>
                <w:sz w:val="21"/>
                <w:szCs w:val="21"/>
                <w:highlight w:val="none"/>
                <w:u w:val="none" w:color="auto"/>
                <w:lang w:val="en-US" w:eastAsia="zh-CN" w:bidi="ar"/>
              </w:rPr>
            </w:pPr>
            <w:r>
              <w:rPr>
                <w:rFonts w:hint="eastAsia" w:cs="Times New Roman"/>
                <w:b w:val="0"/>
                <w:bCs w:val="0"/>
                <w:i w:val="0"/>
                <w:color w:val="auto"/>
                <w:kern w:val="0"/>
                <w:sz w:val="21"/>
                <w:szCs w:val="21"/>
                <w:highlight w:val="none"/>
                <w:u w:val="none" w:color="auto"/>
                <w:lang w:val="en-US" w:eastAsia="zh-CN" w:bidi="ar"/>
              </w:rPr>
              <w:t>96</w:t>
            </w:r>
          </w:p>
        </w:tc>
        <w:tc>
          <w:tcPr>
            <w:tcW w:w="854" w:type="dxa"/>
            <w:tcBorders>
              <w:tl2br w:val="nil"/>
              <w:tr2bl w:val="nil"/>
            </w:tcBorders>
            <w:noWrap w:val="0"/>
            <w:vAlign w:val="center"/>
          </w:tcPr>
          <w:p w14:paraId="7FC76054">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2.63</w:t>
            </w:r>
          </w:p>
        </w:tc>
        <w:tc>
          <w:tcPr>
            <w:tcW w:w="765" w:type="dxa"/>
            <w:vMerge w:val="continue"/>
            <w:tcBorders>
              <w:tl2br w:val="nil"/>
              <w:tr2bl w:val="nil"/>
            </w:tcBorders>
            <w:noWrap w:val="0"/>
            <w:vAlign w:val="center"/>
          </w:tcPr>
          <w:p w14:paraId="5423BBA2">
            <w:pPr>
              <w:pStyle w:val="24"/>
              <w:bidi w:val="0"/>
              <w:rPr>
                <w:rFonts w:hint="eastAsia"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1B6F18E3">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53182A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2EE18B3D">
            <w:pPr>
              <w:pStyle w:val="24"/>
              <w:bidi w:val="0"/>
              <w:rPr>
                <w:rFonts w:hint="default" w:ascii="Times New Roman" w:hAnsi="Times New Roman" w:cs="Times New Roman"/>
                <w:b w:val="0"/>
                <w:bCs w:val="0"/>
                <w:color w:val="auto"/>
                <w:sz w:val="21"/>
                <w:szCs w:val="21"/>
                <w:u w:val="none" w:color="auto"/>
                <w:lang w:eastAsia="zh-CN"/>
              </w:rPr>
            </w:pPr>
          </w:p>
        </w:tc>
        <w:tc>
          <w:tcPr>
            <w:tcW w:w="825" w:type="dxa"/>
            <w:vMerge w:val="continue"/>
            <w:tcBorders>
              <w:tl2br w:val="nil"/>
              <w:tr2bl w:val="nil"/>
            </w:tcBorders>
            <w:noWrap w:val="0"/>
            <w:vAlign w:val="center"/>
          </w:tcPr>
          <w:p w14:paraId="1D165EF0">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596EA9C7">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二甲苯</w:t>
            </w:r>
          </w:p>
        </w:tc>
        <w:tc>
          <w:tcPr>
            <w:tcW w:w="690" w:type="dxa"/>
            <w:tcBorders>
              <w:tl2br w:val="nil"/>
              <w:tr2bl w:val="nil"/>
            </w:tcBorders>
            <w:noWrap w:val="0"/>
            <w:vAlign w:val="center"/>
          </w:tcPr>
          <w:p w14:paraId="2027F244">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200</w:t>
            </w:r>
          </w:p>
        </w:tc>
        <w:tc>
          <w:tcPr>
            <w:tcW w:w="1500" w:type="dxa"/>
            <w:tcBorders>
              <w:tl2br w:val="nil"/>
              <w:tr2bl w:val="nil"/>
            </w:tcBorders>
            <w:noWrap w:val="0"/>
            <w:vAlign w:val="center"/>
          </w:tcPr>
          <w:p w14:paraId="5A10E766">
            <w:pPr>
              <w:pStyle w:val="24"/>
              <w:rPr>
                <w:rFonts w:hint="default" w:cs="Times New Roman"/>
                <w:b w:val="0"/>
                <w:bCs w:val="0"/>
                <w:i w:val="0"/>
                <w:color w:val="auto"/>
                <w:kern w:val="0"/>
                <w:sz w:val="21"/>
                <w:szCs w:val="21"/>
                <w:u w:val="none" w:color="auto"/>
                <w:lang w:val="en-US" w:eastAsia="zh-CN" w:bidi="ar"/>
              </w:rPr>
            </w:pPr>
            <w:r>
              <w:rPr>
                <w:rFonts w:hint="eastAsia" w:cs="Times New Roman"/>
                <w:b w:val="0"/>
                <w:bCs w:val="0"/>
                <w:i w:val="0"/>
                <w:color w:val="auto"/>
                <w:kern w:val="0"/>
                <w:sz w:val="21"/>
                <w:szCs w:val="21"/>
                <w:u w:val="none" w:color="auto"/>
                <w:lang w:val="en-US" w:eastAsia="zh-CN" w:bidi="ar"/>
              </w:rPr>
              <w:t>2.753</w:t>
            </w:r>
          </w:p>
        </w:tc>
        <w:tc>
          <w:tcPr>
            <w:tcW w:w="1065" w:type="dxa"/>
            <w:vMerge w:val="continue"/>
            <w:tcBorders>
              <w:tl2br w:val="nil"/>
              <w:tr2bl w:val="nil"/>
            </w:tcBorders>
            <w:noWrap w:val="0"/>
            <w:vAlign w:val="center"/>
          </w:tcPr>
          <w:p w14:paraId="038DBA53">
            <w:pPr>
              <w:pStyle w:val="24"/>
              <w:rPr>
                <w:rFonts w:hint="default" w:cs="Times New Roman"/>
                <w:b w:val="0"/>
                <w:bCs w:val="0"/>
                <w:i w:val="0"/>
                <w:color w:val="auto"/>
                <w:kern w:val="0"/>
                <w:sz w:val="21"/>
                <w:szCs w:val="21"/>
                <w:highlight w:val="none"/>
                <w:u w:val="none" w:color="auto"/>
                <w:lang w:val="en-US" w:eastAsia="zh-CN" w:bidi="ar"/>
              </w:rPr>
            </w:pPr>
          </w:p>
        </w:tc>
        <w:tc>
          <w:tcPr>
            <w:tcW w:w="854" w:type="dxa"/>
            <w:tcBorders>
              <w:tl2br w:val="nil"/>
              <w:tr2bl w:val="nil"/>
            </w:tcBorders>
            <w:noWrap w:val="0"/>
            <w:vAlign w:val="center"/>
          </w:tcPr>
          <w:p w14:paraId="3342DC1F">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1.38</w:t>
            </w:r>
          </w:p>
        </w:tc>
        <w:tc>
          <w:tcPr>
            <w:tcW w:w="765" w:type="dxa"/>
            <w:vMerge w:val="continue"/>
            <w:tcBorders>
              <w:tl2br w:val="nil"/>
              <w:tr2bl w:val="nil"/>
            </w:tcBorders>
            <w:noWrap w:val="0"/>
            <w:vAlign w:val="center"/>
          </w:tcPr>
          <w:p w14:paraId="2EDFC789">
            <w:pPr>
              <w:pStyle w:val="24"/>
              <w:bidi w:val="0"/>
              <w:rPr>
                <w:rFonts w:hint="eastAsia"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085448BD">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3A5104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49B34E7F">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1#厂房</w:t>
            </w:r>
          </w:p>
        </w:tc>
        <w:tc>
          <w:tcPr>
            <w:tcW w:w="825" w:type="dxa"/>
            <w:vMerge w:val="restart"/>
            <w:tcBorders>
              <w:tl2br w:val="nil"/>
              <w:tr2bl w:val="nil"/>
            </w:tcBorders>
            <w:noWrap w:val="0"/>
            <w:vAlign w:val="center"/>
          </w:tcPr>
          <w:p w14:paraId="5FF0AFB4">
            <w:pPr>
              <w:pStyle w:val="24"/>
              <w:bidi w:val="0"/>
              <w:rPr>
                <w:rFonts w:hint="default" w:ascii="Times New Roman" w:hAnsi="Times New Roman" w:eastAsia="宋体" w:cs="Times New Roman"/>
                <w:b w:val="0"/>
                <w:bCs w:val="0"/>
                <w:color w:val="auto"/>
                <w:sz w:val="21"/>
                <w:szCs w:val="21"/>
                <w:u w:val="none" w:color="auto"/>
                <w:lang w:eastAsia="zh-CN"/>
              </w:rPr>
            </w:pPr>
            <w:r>
              <w:rPr>
                <w:rFonts w:hint="default" w:ascii="Times New Roman" w:hAnsi="Times New Roman" w:cs="Times New Roman"/>
                <w:b w:val="0"/>
                <w:bCs w:val="0"/>
                <w:color w:val="auto"/>
                <w:sz w:val="21"/>
                <w:szCs w:val="21"/>
                <w:u w:val="none" w:color="auto"/>
                <w:lang w:eastAsia="zh-CN"/>
              </w:rPr>
              <w:t>面源</w:t>
            </w:r>
          </w:p>
        </w:tc>
        <w:tc>
          <w:tcPr>
            <w:tcW w:w="990" w:type="dxa"/>
            <w:tcBorders>
              <w:tl2br w:val="nil"/>
              <w:tr2bl w:val="nil"/>
            </w:tcBorders>
            <w:noWrap w:val="0"/>
            <w:vAlign w:val="center"/>
          </w:tcPr>
          <w:p w14:paraId="46D47B13">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sz w:val="21"/>
                <w:szCs w:val="21"/>
                <w:u w:val="none" w:color="auto"/>
                <w:lang w:val="en-US" w:eastAsia="zh-CN"/>
              </w:rPr>
              <w:t>TSP</w:t>
            </w:r>
          </w:p>
        </w:tc>
        <w:tc>
          <w:tcPr>
            <w:tcW w:w="690" w:type="dxa"/>
            <w:tcBorders>
              <w:tl2br w:val="nil"/>
              <w:tr2bl w:val="nil"/>
            </w:tcBorders>
            <w:noWrap w:val="0"/>
            <w:vAlign w:val="center"/>
          </w:tcPr>
          <w:p w14:paraId="5E9E7193">
            <w:pPr>
              <w:pStyle w:val="24"/>
              <w:bidi w:val="0"/>
              <w:rPr>
                <w:rFonts w:hint="default" w:ascii="Times New Roman" w:hAnsi="Times New Roman" w:eastAsia="宋体" w:cs="Times New Roman"/>
                <w:b w:val="0"/>
                <w:bCs w:val="0"/>
                <w:color w:val="auto"/>
                <w:kern w:val="2"/>
                <w:sz w:val="21"/>
                <w:szCs w:val="21"/>
                <w:u w:val="none" w:color="auto"/>
                <w:lang w:val="en-US" w:eastAsia="zh-CN" w:bidi="ar-SA"/>
              </w:rPr>
            </w:pPr>
            <w:r>
              <w:rPr>
                <w:rFonts w:hint="default" w:ascii="Times New Roman" w:hAnsi="Times New Roman" w:cs="Times New Roman"/>
                <w:b w:val="0"/>
                <w:bCs w:val="0"/>
                <w:color w:val="auto"/>
                <w:sz w:val="21"/>
                <w:szCs w:val="21"/>
                <w:u w:val="none" w:color="auto"/>
                <w:lang w:val="en-US" w:eastAsia="zh-CN"/>
              </w:rPr>
              <w:t>900</w:t>
            </w:r>
          </w:p>
        </w:tc>
        <w:tc>
          <w:tcPr>
            <w:tcW w:w="1500" w:type="dxa"/>
            <w:tcBorders>
              <w:tl2br w:val="nil"/>
              <w:tr2bl w:val="nil"/>
            </w:tcBorders>
            <w:noWrap w:val="0"/>
            <w:vAlign w:val="center"/>
          </w:tcPr>
          <w:p w14:paraId="09FC816A">
            <w:pPr>
              <w:pStyle w:val="24"/>
              <w:rPr>
                <w:rFonts w:hint="default" w:ascii="Times New Roman" w:hAnsi="Times New Roman"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kern w:val="2"/>
                <w:sz w:val="21"/>
                <w:szCs w:val="21"/>
                <w:u w:val="none" w:color="auto"/>
                <w:lang w:val="en-US" w:eastAsia="zh-CN" w:bidi="ar-SA"/>
              </w:rPr>
              <w:t>57.093</w:t>
            </w:r>
          </w:p>
        </w:tc>
        <w:tc>
          <w:tcPr>
            <w:tcW w:w="1065" w:type="dxa"/>
            <w:vMerge w:val="restart"/>
            <w:tcBorders>
              <w:tl2br w:val="nil"/>
              <w:tr2bl w:val="nil"/>
            </w:tcBorders>
            <w:noWrap w:val="0"/>
            <w:vAlign w:val="center"/>
          </w:tcPr>
          <w:p w14:paraId="2F652381">
            <w:pPr>
              <w:pStyle w:val="24"/>
              <w:rPr>
                <w:rFonts w:hint="default" w:ascii="Times New Roman" w:hAnsi="Times New Roman" w:cs="Times New Roman"/>
                <w:b w:val="0"/>
                <w:bCs w:val="0"/>
                <w:color w:val="auto"/>
                <w:kern w:val="2"/>
                <w:sz w:val="21"/>
                <w:szCs w:val="21"/>
                <w:highlight w:val="none"/>
                <w:u w:val="none" w:color="auto"/>
                <w:lang w:val="en-US" w:eastAsia="zh-CN" w:bidi="ar-SA"/>
              </w:rPr>
            </w:pPr>
            <w:r>
              <w:rPr>
                <w:rFonts w:hint="eastAsia" w:ascii="Times New Roman" w:hAnsi="Times New Roman" w:cs="Times New Roman"/>
                <w:b w:val="0"/>
                <w:bCs w:val="0"/>
                <w:color w:val="auto"/>
                <w:kern w:val="2"/>
                <w:sz w:val="21"/>
                <w:szCs w:val="21"/>
                <w:highlight w:val="none"/>
                <w:u w:val="none" w:color="auto"/>
                <w:lang w:val="en-US" w:eastAsia="zh-CN" w:bidi="ar-SA"/>
              </w:rPr>
              <w:t>75</w:t>
            </w:r>
          </w:p>
        </w:tc>
        <w:tc>
          <w:tcPr>
            <w:tcW w:w="854" w:type="dxa"/>
            <w:tcBorders>
              <w:tl2br w:val="nil"/>
              <w:tr2bl w:val="nil"/>
            </w:tcBorders>
            <w:noWrap w:val="0"/>
            <w:vAlign w:val="center"/>
          </w:tcPr>
          <w:p w14:paraId="07FAC2BD">
            <w:pPr>
              <w:pStyle w:val="24"/>
              <w:rPr>
                <w:rFonts w:hint="default" w:ascii="Times New Roman" w:hAnsi="Times New Roman" w:cs="Times New Roman"/>
                <w:b w:val="0"/>
                <w:bCs w:val="0"/>
                <w:color w:val="auto"/>
                <w:kern w:val="2"/>
                <w:sz w:val="21"/>
                <w:szCs w:val="21"/>
                <w:u w:val="none" w:color="auto"/>
                <w:lang w:val="en-US" w:eastAsia="zh-CN" w:bidi="ar-SA"/>
              </w:rPr>
            </w:pPr>
            <w:r>
              <w:rPr>
                <w:rFonts w:hint="eastAsia" w:ascii="Times New Roman" w:hAnsi="Times New Roman" w:cs="Times New Roman"/>
                <w:b w:val="0"/>
                <w:bCs w:val="0"/>
                <w:color w:val="auto"/>
                <w:kern w:val="2"/>
                <w:sz w:val="21"/>
                <w:szCs w:val="21"/>
                <w:u w:val="none" w:color="auto"/>
                <w:lang w:val="en-US" w:eastAsia="zh-CN" w:bidi="ar-SA"/>
              </w:rPr>
              <w:t>6.34</w:t>
            </w:r>
          </w:p>
        </w:tc>
        <w:tc>
          <w:tcPr>
            <w:tcW w:w="765" w:type="dxa"/>
            <w:vMerge w:val="continue"/>
            <w:tcBorders>
              <w:tl2br w:val="nil"/>
              <w:tr2bl w:val="nil"/>
            </w:tcBorders>
            <w:noWrap w:val="0"/>
            <w:vAlign w:val="center"/>
          </w:tcPr>
          <w:p w14:paraId="00EB6EB2">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vMerge w:val="restart"/>
            <w:tcBorders>
              <w:tl2br w:val="nil"/>
              <w:tr2bl w:val="nil"/>
            </w:tcBorders>
            <w:noWrap w:val="0"/>
            <w:vAlign w:val="center"/>
          </w:tcPr>
          <w:p w14:paraId="03901020">
            <w:pPr>
              <w:pStyle w:val="24"/>
              <w:bidi w:val="0"/>
              <w:rPr>
                <w:rFonts w:hint="default" w:ascii="Times New Roman" w:hAnsi="Times New Roman" w:cs="Times New Roman"/>
                <w:b w:val="0"/>
                <w:bCs w:val="0"/>
                <w:color w:val="auto"/>
                <w:sz w:val="21"/>
                <w:szCs w:val="21"/>
                <w:u w:val="none" w:color="auto"/>
                <w:lang w:val="en-US" w:eastAsia="zh-CN"/>
              </w:rPr>
            </w:pPr>
            <w:r>
              <w:rPr>
                <w:rFonts w:hint="default" w:ascii="Times New Roman" w:hAnsi="Times New Roman" w:cs="Times New Roman"/>
                <w:b w:val="0"/>
                <w:bCs w:val="0"/>
                <w:color w:val="auto"/>
                <w:sz w:val="21"/>
                <w:szCs w:val="21"/>
                <w:u w:val="none" w:color="auto"/>
                <w:lang w:val="en-US" w:eastAsia="zh-CN"/>
              </w:rPr>
              <w:t>/</w:t>
            </w:r>
          </w:p>
        </w:tc>
      </w:tr>
      <w:tr w14:paraId="7269A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032B6135">
            <w:pPr>
              <w:pStyle w:val="24"/>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148360BC">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39A45688">
            <w:pPr>
              <w:pStyle w:val="24"/>
              <w:bidi w:val="0"/>
              <w:rPr>
                <w:rFonts w:hint="default" w:ascii="Times New Roman" w:hAnsi="Times New Roman"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03E1D522">
            <w:pPr>
              <w:pStyle w:val="24"/>
              <w:bidi w:val="0"/>
              <w:rPr>
                <w:rFonts w:hint="default" w:ascii="Times New Roman" w:hAnsi="Times New Roman"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334A9EDC">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9.365</w:t>
            </w:r>
          </w:p>
        </w:tc>
        <w:tc>
          <w:tcPr>
            <w:tcW w:w="1065" w:type="dxa"/>
            <w:vMerge w:val="continue"/>
            <w:tcBorders>
              <w:tl2br w:val="nil"/>
              <w:tr2bl w:val="nil"/>
            </w:tcBorders>
            <w:noWrap w:val="0"/>
            <w:vAlign w:val="center"/>
          </w:tcPr>
          <w:p w14:paraId="1D8A0F5B">
            <w:pPr>
              <w:pStyle w:val="24"/>
              <w:rPr>
                <w:rFonts w:hint="default"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1015A2D7">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0.78</w:t>
            </w:r>
          </w:p>
        </w:tc>
        <w:tc>
          <w:tcPr>
            <w:tcW w:w="765" w:type="dxa"/>
            <w:vMerge w:val="continue"/>
            <w:tcBorders>
              <w:tl2br w:val="nil"/>
              <w:tr2bl w:val="nil"/>
            </w:tcBorders>
            <w:noWrap w:val="0"/>
            <w:vAlign w:val="center"/>
          </w:tcPr>
          <w:p w14:paraId="050C7D5F">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vMerge w:val="continue"/>
            <w:tcBorders>
              <w:tl2br w:val="nil"/>
              <w:tr2bl w:val="nil"/>
            </w:tcBorders>
            <w:noWrap w:val="0"/>
            <w:vAlign w:val="center"/>
          </w:tcPr>
          <w:p w14:paraId="248F9097">
            <w:pPr>
              <w:pStyle w:val="24"/>
              <w:bidi w:val="0"/>
              <w:rPr>
                <w:rFonts w:hint="default" w:ascii="Times New Roman" w:hAnsi="Times New Roman" w:cs="Times New Roman"/>
                <w:b w:val="0"/>
                <w:bCs w:val="0"/>
                <w:color w:val="auto"/>
                <w:sz w:val="21"/>
                <w:szCs w:val="21"/>
                <w:u w:val="none" w:color="auto"/>
                <w:lang w:val="en-US" w:eastAsia="zh-CN"/>
              </w:rPr>
            </w:pPr>
          </w:p>
        </w:tc>
      </w:tr>
      <w:tr w14:paraId="5159B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3805A1E5">
            <w:pPr>
              <w:pStyle w:val="24"/>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2A9178C3">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5D3BCEF9">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氯化氢</w:t>
            </w:r>
          </w:p>
        </w:tc>
        <w:tc>
          <w:tcPr>
            <w:tcW w:w="690" w:type="dxa"/>
            <w:tcBorders>
              <w:tl2br w:val="nil"/>
              <w:tr2bl w:val="nil"/>
            </w:tcBorders>
            <w:noWrap w:val="0"/>
            <w:vAlign w:val="center"/>
          </w:tcPr>
          <w:p w14:paraId="2BF561C8">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50</w:t>
            </w:r>
          </w:p>
        </w:tc>
        <w:tc>
          <w:tcPr>
            <w:tcW w:w="1500" w:type="dxa"/>
            <w:tcBorders>
              <w:tl2br w:val="nil"/>
              <w:tr2bl w:val="nil"/>
            </w:tcBorders>
            <w:noWrap w:val="0"/>
            <w:vAlign w:val="center"/>
          </w:tcPr>
          <w:p w14:paraId="2D023883">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2.719</w:t>
            </w:r>
          </w:p>
        </w:tc>
        <w:tc>
          <w:tcPr>
            <w:tcW w:w="1065" w:type="dxa"/>
            <w:vMerge w:val="continue"/>
            <w:tcBorders>
              <w:tl2br w:val="nil"/>
              <w:tr2bl w:val="nil"/>
            </w:tcBorders>
            <w:noWrap w:val="0"/>
            <w:vAlign w:val="center"/>
          </w:tcPr>
          <w:p w14:paraId="2F961B23">
            <w:pPr>
              <w:pStyle w:val="24"/>
              <w:rPr>
                <w:rFonts w:hint="eastAsia"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6F141E2C">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5.44</w:t>
            </w:r>
          </w:p>
        </w:tc>
        <w:tc>
          <w:tcPr>
            <w:tcW w:w="765" w:type="dxa"/>
            <w:vMerge w:val="continue"/>
            <w:tcBorders>
              <w:tl2br w:val="nil"/>
              <w:tr2bl w:val="nil"/>
            </w:tcBorders>
            <w:noWrap w:val="0"/>
            <w:vAlign w:val="center"/>
          </w:tcPr>
          <w:p w14:paraId="77DE1626">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63916A45">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5CA258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restart"/>
            <w:tcBorders>
              <w:tl2br w:val="nil"/>
              <w:tr2bl w:val="nil"/>
            </w:tcBorders>
            <w:noWrap w:val="0"/>
            <w:vAlign w:val="center"/>
          </w:tcPr>
          <w:p w14:paraId="35484974">
            <w:pPr>
              <w:pStyle w:val="24"/>
              <w:bidi w:val="0"/>
              <w:rPr>
                <w:rFonts w:hint="default" w:cs="Times New Roman"/>
                <w:b w:val="0"/>
                <w:bCs w:val="0"/>
                <w:color w:val="auto"/>
                <w:sz w:val="21"/>
                <w:szCs w:val="21"/>
                <w:u w:val="none" w:color="auto"/>
                <w:lang w:val="en-US" w:eastAsia="zh-CN"/>
              </w:rPr>
            </w:pPr>
            <w:r>
              <w:rPr>
                <w:rFonts w:hint="eastAsia" w:cs="Times New Roman"/>
                <w:b w:val="0"/>
                <w:bCs w:val="0"/>
                <w:color w:val="auto"/>
                <w:sz w:val="21"/>
                <w:szCs w:val="21"/>
                <w:u w:val="none" w:color="auto"/>
                <w:lang w:val="en-US" w:eastAsia="zh-CN"/>
              </w:rPr>
              <w:t>2#厂房</w:t>
            </w:r>
          </w:p>
        </w:tc>
        <w:tc>
          <w:tcPr>
            <w:tcW w:w="825" w:type="dxa"/>
            <w:vMerge w:val="restart"/>
            <w:tcBorders>
              <w:tl2br w:val="nil"/>
              <w:tr2bl w:val="nil"/>
            </w:tcBorders>
            <w:noWrap w:val="0"/>
            <w:vAlign w:val="center"/>
          </w:tcPr>
          <w:p w14:paraId="4B3A5784">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面源</w:t>
            </w:r>
          </w:p>
        </w:tc>
        <w:tc>
          <w:tcPr>
            <w:tcW w:w="990" w:type="dxa"/>
            <w:tcBorders>
              <w:tl2br w:val="nil"/>
              <w:tr2bl w:val="nil"/>
            </w:tcBorders>
            <w:noWrap w:val="0"/>
            <w:vAlign w:val="center"/>
          </w:tcPr>
          <w:p w14:paraId="2CB1B6C2">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TVOC</w:t>
            </w:r>
          </w:p>
        </w:tc>
        <w:tc>
          <w:tcPr>
            <w:tcW w:w="690" w:type="dxa"/>
            <w:tcBorders>
              <w:tl2br w:val="nil"/>
              <w:tr2bl w:val="nil"/>
            </w:tcBorders>
            <w:noWrap w:val="0"/>
            <w:vAlign w:val="center"/>
          </w:tcPr>
          <w:p w14:paraId="278A4F5C">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1200</w:t>
            </w:r>
          </w:p>
        </w:tc>
        <w:tc>
          <w:tcPr>
            <w:tcW w:w="1500" w:type="dxa"/>
            <w:tcBorders>
              <w:tl2br w:val="nil"/>
              <w:tr2bl w:val="nil"/>
            </w:tcBorders>
            <w:noWrap w:val="0"/>
            <w:vAlign w:val="center"/>
          </w:tcPr>
          <w:p w14:paraId="5866065A">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27.147</w:t>
            </w:r>
          </w:p>
        </w:tc>
        <w:tc>
          <w:tcPr>
            <w:tcW w:w="1065" w:type="dxa"/>
            <w:vMerge w:val="restart"/>
            <w:tcBorders>
              <w:tl2br w:val="nil"/>
              <w:tr2bl w:val="nil"/>
            </w:tcBorders>
            <w:noWrap w:val="0"/>
            <w:vAlign w:val="center"/>
          </w:tcPr>
          <w:p w14:paraId="39DC8DAE">
            <w:pPr>
              <w:pStyle w:val="24"/>
              <w:rPr>
                <w:rFonts w:hint="default" w:cs="Times New Roman"/>
                <w:b w:val="0"/>
                <w:bCs w:val="0"/>
                <w:color w:val="auto"/>
                <w:kern w:val="2"/>
                <w:sz w:val="21"/>
                <w:szCs w:val="21"/>
                <w:highlight w:val="none"/>
                <w:u w:val="none" w:color="auto"/>
                <w:lang w:val="en-US" w:eastAsia="zh-CN" w:bidi="ar-SA"/>
              </w:rPr>
            </w:pPr>
            <w:r>
              <w:rPr>
                <w:rFonts w:hint="eastAsia" w:cs="Times New Roman"/>
                <w:b w:val="0"/>
                <w:bCs w:val="0"/>
                <w:color w:val="auto"/>
                <w:kern w:val="2"/>
                <w:sz w:val="21"/>
                <w:szCs w:val="21"/>
                <w:highlight w:val="none"/>
                <w:u w:val="none" w:color="auto"/>
                <w:lang w:val="en-US" w:eastAsia="zh-CN" w:bidi="ar-SA"/>
              </w:rPr>
              <w:t>69</w:t>
            </w:r>
          </w:p>
        </w:tc>
        <w:tc>
          <w:tcPr>
            <w:tcW w:w="854" w:type="dxa"/>
            <w:tcBorders>
              <w:tl2br w:val="nil"/>
              <w:tr2bl w:val="nil"/>
            </w:tcBorders>
            <w:noWrap w:val="0"/>
            <w:vAlign w:val="center"/>
          </w:tcPr>
          <w:p w14:paraId="2363F666">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2.26</w:t>
            </w:r>
          </w:p>
        </w:tc>
        <w:tc>
          <w:tcPr>
            <w:tcW w:w="765" w:type="dxa"/>
            <w:vMerge w:val="continue"/>
            <w:tcBorders>
              <w:tl2br w:val="nil"/>
              <w:tr2bl w:val="nil"/>
            </w:tcBorders>
            <w:noWrap w:val="0"/>
            <w:vAlign w:val="center"/>
          </w:tcPr>
          <w:p w14:paraId="39677185">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1935691E">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r w14:paraId="2053B4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8" w:type="dxa"/>
            <w:vMerge w:val="continue"/>
            <w:tcBorders>
              <w:tl2br w:val="nil"/>
              <w:tr2bl w:val="nil"/>
            </w:tcBorders>
            <w:noWrap w:val="0"/>
            <w:vAlign w:val="center"/>
          </w:tcPr>
          <w:p w14:paraId="0EDE9206">
            <w:pPr>
              <w:pStyle w:val="24"/>
              <w:bidi w:val="0"/>
              <w:rPr>
                <w:rFonts w:hint="eastAsia" w:cs="Times New Roman"/>
                <w:b w:val="0"/>
                <w:bCs w:val="0"/>
                <w:color w:val="auto"/>
                <w:sz w:val="21"/>
                <w:szCs w:val="21"/>
                <w:u w:val="none" w:color="auto"/>
                <w:lang w:val="en-US" w:eastAsia="zh-CN"/>
              </w:rPr>
            </w:pPr>
          </w:p>
        </w:tc>
        <w:tc>
          <w:tcPr>
            <w:tcW w:w="825" w:type="dxa"/>
            <w:vMerge w:val="continue"/>
            <w:tcBorders>
              <w:tl2br w:val="nil"/>
              <w:tr2bl w:val="nil"/>
            </w:tcBorders>
            <w:noWrap w:val="0"/>
            <w:vAlign w:val="center"/>
          </w:tcPr>
          <w:p w14:paraId="0C72A384">
            <w:pPr>
              <w:pStyle w:val="24"/>
              <w:bidi w:val="0"/>
              <w:rPr>
                <w:rFonts w:hint="default" w:ascii="Times New Roman" w:hAnsi="Times New Roman" w:cs="Times New Roman"/>
                <w:b w:val="0"/>
                <w:bCs w:val="0"/>
                <w:color w:val="auto"/>
                <w:sz w:val="21"/>
                <w:szCs w:val="21"/>
                <w:u w:val="none" w:color="auto"/>
                <w:lang w:eastAsia="zh-CN"/>
              </w:rPr>
            </w:pPr>
          </w:p>
        </w:tc>
        <w:tc>
          <w:tcPr>
            <w:tcW w:w="990" w:type="dxa"/>
            <w:tcBorders>
              <w:tl2br w:val="nil"/>
              <w:tr2bl w:val="nil"/>
            </w:tcBorders>
            <w:noWrap w:val="0"/>
            <w:vAlign w:val="center"/>
          </w:tcPr>
          <w:p w14:paraId="078E5CC1">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二甲苯</w:t>
            </w:r>
          </w:p>
        </w:tc>
        <w:tc>
          <w:tcPr>
            <w:tcW w:w="690" w:type="dxa"/>
            <w:tcBorders>
              <w:tl2br w:val="nil"/>
              <w:tr2bl w:val="nil"/>
            </w:tcBorders>
            <w:noWrap w:val="0"/>
            <w:vAlign w:val="center"/>
          </w:tcPr>
          <w:p w14:paraId="15E4B32D">
            <w:pPr>
              <w:pStyle w:val="24"/>
              <w:bidi w:val="0"/>
              <w:rPr>
                <w:rFonts w:hint="eastAsia" w:ascii="Times New Roman" w:hAnsi="Times New Roman" w:eastAsia="宋体" w:cs="Times New Roman"/>
                <w:b w:val="0"/>
                <w:bCs w:val="0"/>
                <w:color w:val="auto"/>
                <w:kern w:val="2"/>
                <w:sz w:val="21"/>
                <w:szCs w:val="21"/>
                <w:u w:val="none" w:color="auto"/>
                <w:lang w:val="en-US" w:eastAsia="zh-CN" w:bidi="ar-SA"/>
              </w:rPr>
            </w:pPr>
            <w:r>
              <w:rPr>
                <w:rFonts w:hint="eastAsia" w:cs="Times New Roman"/>
                <w:b w:val="0"/>
                <w:bCs w:val="0"/>
                <w:color w:val="auto"/>
                <w:sz w:val="21"/>
                <w:szCs w:val="21"/>
                <w:u w:val="none" w:color="auto"/>
                <w:lang w:val="en-US" w:eastAsia="zh-CN"/>
              </w:rPr>
              <w:t>200</w:t>
            </w:r>
          </w:p>
        </w:tc>
        <w:tc>
          <w:tcPr>
            <w:tcW w:w="1500" w:type="dxa"/>
            <w:tcBorders>
              <w:tl2br w:val="nil"/>
              <w:tr2bl w:val="nil"/>
            </w:tcBorders>
            <w:noWrap w:val="0"/>
            <w:vAlign w:val="center"/>
          </w:tcPr>
          <w:p w14:paraId="696C6656">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2.076</w:t>
            </w:r>
          </w:p>
        </w:tc>
        <w:tc>
          <w:tcPr>
            <w:tcW w:w="1065" w:type="dxa"/>
            <w:vMerge w:val="continue"/>
            <w:tcBorders>
              <w:tl2br w:val="nil"/>
              <w:tr2bl w:val="nil"/>
            </w:tcBorders>
            <w:noWrap w:val="0"/>
            <w:vAlign w:val="center"/>
          </w:tcPr>
          <w:p w14:paraId="51AD2553">
            <w:pPr>
              <w:pStyle w:val="24"/>
              <w:rPr>
                <w:rFonts w:hint="eastAsia" w:cs="Times New Roman"/>
                <w:b w:val="0"/>
                <w:bCs w:val="0"/>
                <w:color w:val="auto"/>
                <w:kern w:val="2"/>
                <w:sz w:val="21"/>
                <w:szCs w:val="21"/>
                <w:highlight w:val="none"/>
                <w:u w:val="none" w:color="auto"/>
                <w:lang w:val="en-US" w:eastAsia="zh-CN" w:bidi="ar-SA"/>
              </w:rPr>
            </w:pPr>
          </w:p>
        </w:tc>
        <w:tc>
          <w:tcPr>
            <w:tcW w:w="854" w:type="dxa"/>
            <w:tcBorders>
              <w:tl2br w:val="nil"/>
              <w:tr2bl w:val="nil"/>
            </w:tcBorders>
            <w:noWrap w:val="0"/>
            <w:vAlign w:val="center"/>
          </w:tcPr>
          <w:p w14:paraId="3583AF27">
            <w:pPr>
              <w:pStyle w:val="24"/>
              <w:rPr>
                <w:rFonts w:hint="default" w:cs="Times New Roman"/>
                <w:b w:val="0"/>
                <w:bCs w:val="0"/>
                <w:color w:val="auto"/>
                <w:kern w:val="2"/>
                <w:sz w:val="21"/>
                <w:szCs w:val="21"/>
                <w:u w:val="none" w:color="auto"/>
                <w:lang w:val="en-US" w:eastAsia="zh-CN" w:bidi="ar-SA"/>
              </w:rPr>
            </w:pPr>
            <w:r>
              <w:rPr>
                <w:rFonts w:hint="eastAsia" w:cs="Times New Roman"/>
                <w:b w:val="0"/>
                <w:bCs w:val="0"/>
                <w:color w:val="auto"/>
                <w:kern w:val="2"/>
                <w:sz w:val="21"/>
                <w:szCs w:val="21"/>
                <w:u w:val="none" w:color="auto"/>
                <w:lang w:val="en-US" w:eastAsia="zh-CN" w:bidi="ar-SA"/>
              </w:rPr>
              <w:t>1.04</w:t>
            </w:r>
          </w:p>
        </w:tc>
        <w:tc>
          <w:tcPr>
            <w:tcW w:w="765" w:type="dxa"/>
            <w:vMerge w:val="continue"/>
            <w:tcBorders>
              <w:tl2br w:val="nil"/>
              <w:tr2bl w:val="nil"/>
            </w:tcBorders>
            <w:noWrap w:val="0"/>
            <w:vAlign w:val="center"/>
          </w:tcPr>
          <w:p w14:paraId="60BE9532">
            <w:pPr>
              <w:pStyle w:val="24"/>
              <w:bidi w:val="0"/>
              <w:rPr>
                <w:rFonts w:hint="default" w:ascii="Times New Roman" w:hAnsi="Times New Roman" w:cs="Times New Roman"/>
                <w:b w:val="0"/>
                <w:bCs w:val="0"/>
                <w:color w:val="auto"/>
                <w:sz w:val="21"/>
                <w:szCs w:val="21"/>
                <w:u w:val="none" w:color="auto"/>
                <w:lang w:val="en-US" w:eastAsia="zh-CN"/>
              </w:rPr>
            </w:pPr>
          </w:p>
        </w:tc>
        <w:tc>
          <w:tcPr>
            <w:tcW w:w="787" w:type="dxa"/>
            <w:tcBorders>
              <w:tl2br w:val="nil"/>
              <w:tr2bl w:val="nil"/>
            </w:tcBorders>
            <w:noWrap w:val="0"/>
            <w:vAlign w:val="center"/>
          </w:tcPr>
          <w:p w14:paraId="604924A1">
            <w:pPr>
              <w:pStyle w:val="24"/>
              <w:bidi w:val="0"/>
              <w:rPr>
                <w:rFonts w:hint="default" w:ascii="Times New Roman" w:hAnsi="Times New Roman" w:cs="Times New Roman"/>
                <w:b w:val="0"/>
                <w:bCs w:val="0"/>
                <w:color w:val="auto"/>
                <w:sz w:val="21"/>
                <w:szCs w:val="21"/>
                <w:u w:val="none" w:color="auto"/>
                <w:lang w:val="en-US" w:eastAsia="zh-CN"/>
              </w:rPr>
            </w:pPr>
            <w:r>
              <w:rPr>
                <w:rFonts w:hint="eastAsia" w:ascii="Times New Roman" w:hAnsi="Times New Roman" w:cs="Times New Roman"/>
                <w:b w:val="0"/>
                <w:bCs w:val="0"/>
                <w:color w:val="auto"/>
                <w:sz w:val="21"/>
                <w:szCs w:val="21"/>
                <w:u w:val="none" w:color="auto"/>
                <w:lang w:val="en-US" w:eastAsia="zh-CN"/>
              </w:rPr>
              <w:t>/</w:t>
            </w:r>
          </w:p>
        </w:tc>
      </w:tr>
    </w:tbl>
    <w:p w14:paraId="107A34FF">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从估算结果可知，本项目Pmax最大值出现为</w:t>
      </w:r>
      <w:r>
        <w:rPr>
          <w:rFonts w:hint="eastAsia" w:ascii="Times New Roman" w:hAnsi="Times New Roman" w:cs="Times New Roman"/>
          <w:color w:val="auto"/>
          <w:u w:val="none" w:color="auto"/>
          <w:lang w:val="en-US" w:eastAsia="zh-CN"/>
        </w:rPr>
        <w:t>有</w:t>
      </w:r>
      <w:r>
        <w:rPr>
          <w:rFonts w:hint="default" w:ascii="Times New Roman" w:hAnsi="Times New Roman" w:cs="Times New Roman"/>
          <w:color w:val="auto"/>
          <w:u w:val="none" w:color="auto"/>
          <w:lang w:eastAsia="zh-CN"/>
        </w:rPr>
        <w:t>组织</w:t>
      </w:r>
      <w:r>
        <w:rPr>
          <w:rFonts w:hint="default" w:ascii="Times New Roman" w:hAnsi="Times New Roman" w:cs="Times New Roman"/>
          <w:color w:val="auto"/>
          <w:u w:val="none" w:color="auto"/>
        </w:rPr>
        <w:t>排放的</w:t>
      </w:r>
      <w:r>
        <w:rPr>
          <w:rFonts w:hint="eastAsia" w:ascii="Times New Roman" w:hAnsi="Times New Roman" w:cs="Times New Roman"/>
          <w:color w:val="auto"/>
          <w:u w:val="none" w:color="auto"/>
          <w:lang w:val="en-US" w:eastAsia="zh-CN"/>
        </w:rPr>
        <w:t>DA002排气筒中的氯化氢</w:t>
      </w:r>
      <w:r>
        <w:rPr>
          <w:rFonts w:hint="default" w:ascii="Times New Roman" w:hAnsi="Times New Roman" w:cs="Times New Roman"/>
          <w:color w:val="auto"/>
          <w:u w:val="none" w:color="auto"/>
        </w:rPr>
        <w:t>，Cmax为</w:t>
      </w:r>
      <w:r>
        <w:rPr>
          <w:rFonts w:hint="eastAsia" w:ascii="Times New Roman" w:hAnsi="Times New Roman" w:cs="Times New Roman"/>
          <w:color w:val="auto"/>
          <w:u w:val="none" w:color="auto"/>
          <w:lang w:val="en-US" w:eastAsia="zh-CN"/>
        </w:rPr>
        <w:t>4.861</w:t>
      </w:r>
      <w:r>
        <w:rPr>
          <w:rFonts w:hint="default" w:ascii="Times New Roman" w:hAnsi="Times New Roman" w:cs="Times New Roman"/>
          <w:color w:val="auto"/>
          <w:u w:val="none" w:color="auto"/>
        </w:rPr>
        <w:t>ug/m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，Pmax</w:t>
      </w:r>
      <w:r>
        <w:rPr>
          <w:rFonts w:hint="eastAsia" w:ascii="Times New Roman" w:hAnsi="Times New Roman" w:cs="Times New Roman"/>
          <w:color w:val="auto"/>
          <w:u w:val="none" w:color="auto"/>
          <w:lang w:val="en-US" w:eastAsia="zh-CN"/>
        </w:rPr>
        <w:t>9.72</w:t>
      </w:r>
      <w:r>
        <w:rPr>
          <w:rFonts w:hint="default" w:ascii="Times New Roman" w:hAnsi="Times New Roman" w:cs="Times New Roman"/>
          <w:color w:val="auto"/>
          <w:u w:val="none" w:color="auto"/>
        </w:rPr>
        <w:t>%。根据《环境影响评价技术导则大气环境》（HJ2.2-2018）分级判据，确定本项目大气环境影响评价工作等级为二级，不进行进一步预测和分析，只对污染物排放量进行核算，可不设大气环境防护距离。</w:t>
      </w:r>
    </w:p>
    <w:p w14:paraId="2B2B3B6F">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⑤污染源结果表</w:t>
      </w:r>
    </w:p>
    <w:p w14:paraId="7C6D3544">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项目正常情况下排放的废气预测情况见表</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val="en-US" w:eastAsia="zh-CN"/>
        </w:rPr>
        <w:t>6~6.2-10</w:t>
      </w:r>
      <w:r>
        <w:rPr>
          <w:rFonts w:hint="default" w:ascii="Times New Roman" w:hAnsi="Times New Roman" w:cs="Times New Roman"/>
          <w:color w:val="auto"/>
          <w:u w:val="none" w:color="auto"/>
          <w:lang w:val="en-US" w:eastAsia="zh-CN"/>
        </w:rPr>
        <w:t>。</w:t>
      </w:r>
    </w:p>
    <w:p w14:paraId="712124E7">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6.2-6</w:t>
      </w:r>
      <w:r>
        <w:rPr>
          <w:rFonts w:hint="default"/>
          <w:color w:val="auto"/>
          <w:u w:val="none" w:color="auto"/>
        </w:rPr>
        <w:t xml:space="preserve"> </w:t>
      </w:r>
      <w:r>
        <w:rPr>
          <w:rFonts w:hint="default"/>
          <w:color w:val="auto"/>
          <w:u w:val="none" w:color="auto"/>
          <w:lang w:eastAsia="zh-CN"/>
        </w:rPr>
        <w:t>有组织废气</w:t>
      </w:r>
      <w:r>
        <w:rPr>
          <w:rFonts w:hint="default"/>
          <w:color w:val="auto"/>
          <w:u w:val="none" w:color="auto"/>
        </w:rPr>
        <w:t>估算模式计算结果表</w:t>
      </w:r>
    </w:p>
    <w:tbl>
      <w:tblPr>
        <w:tblStyle w:val="16"/>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643"/>
        <w:gridCol w:w="1531"/>
        <w:gridCol w:w="1895"/>
        <w:gridCol w:w="1897"/>
      </w:tblGrid>
      <w:tr w14:paraId="78842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vMerge w:val="restart"/>
            <w:noWrap w:val="0"/>
            <w:vAlign w:val="center"/>
          </w:tcPr>
          <w:p w14:paraId="0F3EAAD5">
            <w:pPr>
              <w:pStyle w:val="24"/>
              <w:bidi w:val="0"/>
              <w:rPr>
                <w:color w:val="auto"/>
                <w:u w:val="none" w:color="auto"/>
              </w:rPr>
            </w:pPr>
            <w:r>
              <w:rPr>
                <w:rFonts w:hint="eastAsia"/>
                <w:color w:val="auto"/>
                <w:u w:val="none" w:color="auto"/>
              </w:rPr>
              <w:t>方位角(度)</w:t>
            </w:r>
          </w:p>
        </w:tc>
        <w:tc>
          <w:tcPr>
            <w:tcW w:w="966" w:type="pct"/>
            <w:vMerge w:val="restart"/>
            <w:noWrap w:val="0"/>
            <w:vAlign w:val="center"/>
          </w:tcPr>
          <w:p w14:paraId="05064886">
            <w:pPr>
              <w:pStyle w:val="24"/>
              <w:bidi w:val="0"/>
              <w:rPr>
                <w:color w:val="auto"/>
                <w:u w:val="none" w:color="auto"/>
              </w:rPr>
            </w:pPr>
            <w:r>
              <w:rPr>
                <w:rFonts w:hint="eastAsia"/>
                <w:color w:val="auto"/>
                <w:u w:val="none" w:color="auto"/>
              </w:rPr>
              <w:t>相对源高(m)</w:t>
            </w:r>
          </w:p>
        </w:tc>
        <w:tc>
          <w:tcPr>
            <w:tcW w:w="900" w:type="pct"/>
            <w:vMerge w:val="restart"/>
            <w:noWrap w:val="0"/>
            <w:vAlign w:val="center"/>
          </w:tcPr>
          <w:p w14:paraId="38D5FBB5">
            <w:pPr>
              <w:pStyle w:val="24"/>
              <w:bidi w:val="0"/>
              <w:rPr>
                <w:color w:val="auto"/>
                <w:u w:val="none" w:color="auto"/>
              </w:rPr>
            </w:pPr>
            <w:r>
              <w:rPr>
                <w:rFonts w:hint="eastAsia"/>
                <w:color w:val="auto"/>
                <w:u w:val="none" w:color="auto"/>
              </w:rPr>
              <w:t>离源距离(m)</w:t>
            </w:r>
          </w:p>
        </w:tc>
        <w:tc>
          <w:tcPr>
            <w:tcW w:w="2229" w:type="pct"/>
            <w:gridSpan w:val="2"/>
            <w:noWrap w:val="0"/>
            <w:vAlign w:val="center"/>
          </w:tcPr>
          <w:p w14:paraId="64360AA4">
            <w:pPr>
              <w:pStyle w:val="24"/>
              <w:bidi w:val="0"/>
              <w:rPr>
                <w:rFonts w:hint="default" w:eastAsia="宋体"/>
                <w:color w:val="auto"/>
                <w:u w:val="none" w:color="auto"/>
                <w:lang w:val="en-US" w:eastAsia="zh-CN"/>
              </w:rPr>
            </w:pPr>
            <w:r>
              <w:rPr>
                <w:rFonts w:hint="eastAsia"/>
                <w:color w:val="auto"/>
                <w:u w:val="none" w:color="auto"/>
                <w:lang w:val="en-US" w:eastAsia="zh-CN"/>
              </w:rPr>
              <w:t>DA003排气筒</w:t>
            </w:r>
          </w:p>
        </w:tc>
      </w:tr>
      <w:tr w14:paraId="0B0CF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vMerge w:val="continue"/>
            <w:noWrap w:val="0"/>
            <w:vAlign w:val="center"/>
          </w:tcPr>
          <w:p w14:paraId="11E100E0">
            <w:pPr>
              <w:pStyle w:val="24"/>
              <w:bidi w:val="0"/>
              <w:rPr>
                <w:color w:val="auto"/>
                <w:u w:val="none" w:color="auto"/>
              </w:rPr>
            </w:pPr>
          </w:p>
        </w:tc>
        <w:tc>
          <w:tcPr>
            <w:tcW w:w="966" w:type="pct"/>
            <w:vMerge w:val="continue"/>
            <w:noWrap w:val="0"/>
            <w:vAlign w:val="center"/>
          </w:tcPr>
          <w:p w14:paraId="4913E938">
            <w:pPr>
              <w:pStyle w:val="24"/>
              <w:bidi w:val="0"/>
              <w:rPr>
                <w:rFonts w:hint="eastAsia"/>
                <w:color w:val="auto"/>
                <w:u w:val="none" w:color="auto"/>
                <w:lang w:eastAsia="zh-CN"/>
              </w:rPr>
            </w:pPr>
          </w:p>
        </w:tc>
        <w:tc>
          <w:tcPr>
            <w:tcW w:w="900" w:type="pct"/>
            <w:vMerge w:val="continue"/>
            <w:noWrap w:val="0"/>
            <w:vAlign w:val="center"/>
          </w:tcPr>
          <w:p w14:paraId="237ED486">
            <w:pPr>
              <w:pStyle w:val="24"/>
              <w:bidi w:val="0"/>
              <w:rPr>
                <w:rFonts w:hint="eastAsia"/>
                <w:color w:val="auto"/>
                <w:u w:val="none" w:color="auto"/>
                <w:lang w:eastAsia="zh-CN"/>
              </w:rPr>
            </w:pPr>
          </w:p>
        </w:tc>
        <w:tc>
          <w:tcPr>
            <w:tcW w:w="2229" w:type="pct"/>
            <w:gridSpan w:val="2"/>
            <w:noWrap w:val="0"/>
            <w:vAlign w:val="center"/>
          </w:tcPr>
          <w:p w14:paraId="0A9C250D">
            <w:pPr>
              <w:pStyle w:val="24"/>
              <w:bidi w:val="0"/>
              <w:rPr>
                <w:rFonts w:hint="eastAsia"/>
                <w:color w:val="auto"/>
                <w:u w:val="none" w:color="auto"/>
                <w:lang w:eastAsia="zh-CN"/>
              </w:rPr>
            </w:pPr>
            <w:r>
              <w:rPr>
                <w:rFonts w:hint="eastAsia" w:cs="Times New Roman"/>
                <w:b w:val="0"/>
                <w:bCs w:val="0"/>
                <w:color w:val="auto"/>
                <w:sz w:val="21"/>
                <w:szCs w:val="21"/>
                <w:u w:val="none" w:color="auto"/>
                <w:lang w:val="en-US" w:eastAsia="zh-CN"/>
              </w:rPr>
              <w:t>PM</w:t>
            </w:r>
            <w:r>
              <w:rPr>
                <w:rFonts w:hint="eastAsia" w:cs="Times New Roman"/>
                <w:b w:val="0"/>
                <w:bCs w:val="0"/>
                <w:color w:val="auto"/>
                <w:sz w:val="21"/>
                <w:szCs w:val="21"/>
                <w:u w:val="none" w:color="auto"/>
                <w:vertAlign w:val="subscript"/>
                <w:lang w:val="en-US" w:eastAsia="zh-CN"/>
              </w:rPr>
              <w:t>10</w:t>
            </w:r>
          </w:p>
        </w:tc>
      </w:tr>
      <w:tr w14:paraId="520523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vMerge w:val="continue"/>
            <w:noWrap w:val="0"/>
            <w:vAlign w:val="center"/>
          </w:tcPr>
          <w:p w14:paraId="4E6F334E">
            <w:pPr>
              <w:pStyle w:val="24"/>
              <w:bidi w:val="0"/>
              <w:rPr>
                <w:color w:val="auto"/>
                <w:u w:val="none" w:color="auto"/>
              </w:rPr>
            </w:pPr>
          </w:p>
        </w:tc>
        <w:tc>
          <w:tcPr>
            <w:tcW w:w="966" w:type="pct"/>
            <w:vMerge w:val="continue"/>
            <w:noWrap w:val="0"/>
            <w:vAlign w:val="center"/>
          </w:tcPr>
          <w:p w14:paraId="4C22DE2E">
            <w:pPr>
              <w:pStyle w:val="24"/>
              <w:bidi w:val="0"/>
              <w:rPr>
                <w:color w:val="auto"/>
                <w:u w:val="none" w:color="auto"/>
              </w:rPr>
            </w:pPr>
          </w:p>
        </w:tc>
        <w:tc>
          <w:tcPr>
            <w:tcW w:w="900" w:type="pct"/>
            <w:vMerge w:val="continue"/>
            <w:noWrap w:val="0"/>
            <w:vAlign w:val="center"/>
          </w:tcPr>
          <w:p w14:paraId="7946D4D9">
            <w:pPr>
              <w:pStyle w:val="24"/>
              <w:bidi w:val="0"/>
              <w:rPr>
                <w:color w:val="auto"/>
                <w:u w:val="none" w:color="auto"/>
              </w:rPr>
            </w:pPr>
          </w:p>
        </w:tc>
        <w:tc>
          <w:tcPr>
            <w:tcW w:w="1114" w:type="pct"/>
            <w:noWrap w:val="0"/>
            <w:vAlign w:val="center"/>
          </w:tcPr>
          <w:p w14:paraId="18FD494B">
            <w:pPr>
              <w:pStyle w:val="24"/>
              <w:bidi w:val="0"/>
              <w:rPr>
                <w:color w:val="auto"/>
                <w:u w:val="none" w:color="auto"/>
              </w:rPr>
            </w:pPr>
            <w:r>
              <w:rPr>
                <w:color w:val="auto"/>
                <w:u w:val="none" w:color="auto"/>
              </w:rPr>
              <w:t>预测质量浓度μg/m</w:t>
            </w:r>
            <w:r>
              <w:rPr>
                <w:color w:val="auto"/>
                <w:u w:val="none" w:color="auto"/>
                <w:vertAlign w:val="superscript"/>
              </w:rPr>
              <w:t>3</w:t>
            </w:r>
          </w:p>
        </w:tc>
        <w:tc>
          <w:tcPr>
            <w:tcW w:w="1115" w:type="pct"/>
            <w:noWrap w:val="0"/>
            <w:vAlign w:val="center"/>
          </w:tcPr>
          <w:p w14:paraId="67254F0F">
            <w:pPr>
              <w:pStyle w:val="24"/>
              <w:bidi w:val="0"/>
              <w:rPr>
                <w:color w:val="auto"/>
                <w:u w:val="none" w:color="auto"/>
              </w:rPr>
            </w:pPr>
            <w:r>
              <w:rPr>
                <w:color w:val="auto"/>
                <w:u w:val="none" w:color="auto"/>
              </w:rPr>
              <w:t>占标率%</w:t>
            </w:r>
          </w:p>
        </w:tc>
      </w:tr>
      <w:tr w14:paraId="433D7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53A4F3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966" w:type="pct"/>
            <w:noWrap w:val="0"/>
            <w:vAlign w:val="center"/>
          </w:tcPr>
          <w:p w14:paraId="5A9005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0.52</w:t>
            </w:r>
          </w:p>
        </w:tc>
        <w:tc>
          <w:tcPr>
            <w:tcW w:w="900" w:type="pct"/>
            <w:noWrap w:val="0"/>
            <w:vAlign w:val="center"/>
          </w:tcPr>
          <w:p w14:paraId="53CCCE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114" w:type="pct"/>
            <w:noWrap w:val="0"/>
            <w:vAlign w:val="center"/>
          </w:tcPr>
          <w:p w14:paraId="088701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0.0004</w:t>
            </w:r>
          </w:p>
        </w:tc>
        <w:tc>
          <w:tcPr>
            <w:tcW w:w="1115" w:type="pct"/>
            <w:noWrap w:val="0"/>
            <w:vAlign w:val="center"/>
          </w:tcPr>
          <w:p w14:paraId="743C0E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7EE12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2AF0E0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966" w:type="pct"/>
            <w:noWrap w:val="0"/>
            <w:vAlign w:val="center"/>
          </w:tcPr>
          <w:p w14:paraId="537BFC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3.24</w:t>
            </w:r>
          </w:p>
        </w:tc>
        <w:tc>
          <w:tcPr>
            <w:tcW w:w="900" w:type="pct"/>
            <w:noWrap w:val="0"/>
            <w:vAlign w:val="center"/>
          </w:tcPr>
          <w:p w14:paraId="6CFB56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1114" w:type="pct"/>
            <w:noWrap w:val="0"/>
            <w:vAlign w:val="center"/>
          </w:tcPr>
          <w:p w14:paraId="13DCEF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0.7199</w:t>
            </w:r>
          </w:p>
        </w:tc>
        <w:tc>
          <w:tcPr>
            <w:tcW w:w="1115" w:type="pct"/>
            <w:noWrap w:val="0"/>
            <w:vAlign w:val="center"/>
          </w:tcPr>
          <w:p w14:paraId="1773E5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r>
      <w:tr w14:paraId="39B2A1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36D455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49FA10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8.99</w:t>
            </w:r>
          </w:p>
        </w:tc>
        <w:tc>
          <w:tcPr>
            <w:tcW w:w="900" w:type="pct"/>
            <w:noWrap w:val="0"/>
            <w:vAlign w:val="center"/>
          </w:tcPr>
          <w:p w14:paraId="1D0319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1114" w:type="pct"/>
            <w:noWrap w:val="0"/>
            <w:vAlign w:val="center"/>
          </w:tcPr>
          <w:p w14:paraId="4BB035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1.296</w:t>
            </w:r>
          </w:p>
        </w:tc>
        <w:tc>
          <w:tcPr>
            <w:tcW w:w="1115" w:type="pct"/>
            <w:noWrap w:val="0"/>
            <w:vAlign w:val="center"/>
          </w:tcPr>
          <w:p w14:paraId="6A48C1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w:t>
            </w:r>
          </w:p>
        </w:tc>
      </w:tr>
      <w:tr w14:paraId="45FE1D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6B5FD6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3516FB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9.52</w:t>
            </w:r>
          </w:p>
        </w:tc>
        <w:tc>
          <w:tcPr>
            <w:tcW w:w="900" w:type="pct"/>
            <w:noWrap w:val="0"/>
            <w:vAlign w:val="center"/>
          </w:tcPr>
          <w:p w14:paraId="23E835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1114" w:type="pct"/>
            <w:noWrap w:val="0"/>
            <w:vAlign w:val="center"/>
          </w:tcPr>
          <w:p w14:paraId="0C6F83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1.2946</w:t>
            </w:r>
          </w:p>
        </w:tc>
        <w:tc>
          <w:tcPr>
            <w:tcW w:w="1115" w:type="pct"/>
            <w:noWrap w:val="0"/>
            <w:vAlign w:val="center"/>
          </w:tcPr>
          <w:p w14:paraId="562D73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w:t>
            </w:r>
          </w:p>
        </w:tc>
      </w:tr>
      <w:tr w14:paraId="7339A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6FCD9A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966" w:type="pct"/>
            <w:noWrap w:val="0"/>
            <w:vAlign w:val="center"/>
          </w:tcPr>
          <w:p w14:paraId="5E3AFE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16.23</w:t>
            </w:r>
          </w:p>
        </w:tc>
        <w:tc>
          <w:tcPr>
            <w:tcW w:w="900" w:type="pct"/>
            <w:noWrap w:val="0"/>
            <w:vAlign w:val="center"/>
          </w:tcPr>
          <w:p w14:paraId="5C1E6B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1114" w:type="pct"/>
            <w:noWrap w:val="0"/>
            <w:vAlign w:val="center"/>
          </w:tcPr>
          <w:p w14:paraId="49F9E0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0.8278</w:t>
            </w:r>
          </w:p>
        </w:tc>
        <w:tc>
          <w:tcPr>
            <w:tcW w:w="1115" w:type="pct"/>
            <w:noWrap w:val="0"/>
            <w:vAlign w:val="center"/>
          </w:tcPr>
          <w:p w14:paraId="48E508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w:t>
            </w:r>
          </w:p>
        </w:tc>
      </w:tr>
      <w:tr w14:paraId="762C1E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1668B2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966" w:type="pct"/>
            <w:noWrap w:val="0"/>
            <w:vAlign w:val="center"/>
          </w:tcPr>
          <w:p w14:paraId="73A008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16.57</w:t>
            </w:r>
          </w:p>
        </w:tc>
        <w:tc>
          <w:tcPr>
            <w:tcW w:w="900" w:type="pct"/>
            <w:noWrap w:val="0"/>
            <w:vAlign w:val="center"/>
          </w:tcPr>
          <w:p w14:paraId="0CD316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1114" w:type="pct"/>
            <w:noWrap w:val="0"/>
            <w:vAlign w:val="center"/>
          </w:tcPr>
          <w:p w14:paraId="2D77BA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0.5631</w:t>
            </w:r>
          </w:p>
        </w:tc>
        <w:tc>
          <w:tcPr>
            <w:tcW w:w="1115" w:type="pct"/>
            <w:noWrap w:val="0"/>
            <w:vAlign w:val="center"/>
          </w:tcPr>
          <w:p w14:paraId="12BB20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r>
      <w:tr w14:paraId="096E6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1745AE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2F8C52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16.53</w:t>
            </w:r>
          </w:p>
        </w:tc>
        <w:tc>
          <w:tcPr>
            <w:tcW w:w="900" w:type="pct"/>
            <w:noWrap w:val="0"/>
            <w:vAlign w:val="center"/>
          </w:tcPr>
          <w:p w14:paraId="006615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1114" w:type="pct"/>
            <w:noWrap w:val="0"/>
            <w:vAlign w:val="center"/>
          </w:tcPr>
          <w:p w14:paraId="05D31A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0.4198</w:t>
            </w:r>
          </w:p>
        </w:tc>
        <w:tc>
          <w:tcPr>
            <w:tcW w:w="1115" w:type="pct"/>
            <w:noWrap w:val="0"/>
            <w:vAlign w:val="center"/>
          </w:tcPr>
          <w:p w14:paraId="74E875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r>
      <w:tr w14:paraId="27795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423E6F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03392A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15.76</w:t>
            </w:r>
          </w:p>
        </w:tc>
        <w:tc>
          <w:tcPr>
            <w:tcW w:w="900" w:type="pct"/>
            <w:noWrap w:val="0"/>
            <w:vAlign w:val="center"/>
          </w:tcPr>
          <w:p w14:paraId="6DC124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1114" w:type="pct"/>
            <w:noWrap w:val="0"/>
            <w:vAlign w:val="center"/>
          </w:tcPr>
          <w:p w14:paraId="06983A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0.3285</w:t>
            </w:r>
          </w:p>
        </w:tc>
        <w:tc>
          <w:tcPr>
            <w:tcW w:w="1115" w:type="pct"/>
            <w:noWrap w:val="0"/>
            <w:vAlign w:val="center"/>
          </w:tcPr>
          <w:p w14:paraId="03D063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r>
      <w:tr w14:paraId="14ABB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3BBBF3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966" w:type="pct"/>
            <w:noWrap w:val="0"/>
            <w:vAlign w:val="center"/>
          </w:tcPr>
          <w:p w14:paraId="0FEED4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15.99</w:t>
            </w:r>
          </w:p>
        </w:tc>
        <w:tc>
          <w:tcPr>
            <w:tcW w:w="900" w:type="pct"/>
            <w:noWrap w:val="0"/>
            <w:vAlign w:val="center"/>
          </w:tcPr>
          <w:p w14:paraId="207E5B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1114" w:type="pct"/>
            <w:noWrap w:val="0"/>
            <w:vAlign w:val="center"/>
          </w:tcPr>
          <w:p w14:paraId="6C58AF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0.2674</w:t>
            </w:r>
          </w:p>
        </w:tc>
        <w:tc>
          <w:tcPr>
            <w:tcW w:w="1115" w:type="pct"/>
            <w:noWrap w:val="0"/>
            <w:vAlign w:val="center"/>
          </w:tcPr>
          <w:p w14:paraId="36C02D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734CE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480EDE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966" w:type="pct"/>
            <w:noWrap w:val="0"/>
            <w:vAlign w:val="center"/>
          </w:tcPr>
          <w:p w14:paraId="379F7D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900" w:type="pct"/>
            <w:noWrap w:val="0"/>
            <w:vAlign w:val="center"/>
          </w:tcPr>
          <w:p w14:paraId="710E04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1114" w:type="pct"/>
            <w:noWrap w:val="0"/>
            <w:vAlign w:val="center"/>
          </w:tcPr>
          <w:p w14:paraId="757591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0.227</w:t>
            </w:r>
          </w:p>
        </w:tc>
        <w:tc>
          <w:tcPr>
            <w:tcW w:w="1115" w:type="pct"/>
            <w:noWrap w:val="0"/>
            <w:vAlign w:val="center"/>
          </w:tcPr>
          <w:p w14:paraId="1F55EF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r>
      <w:tr w14:paraId="2EC5C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2FC9B8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966" w:type="pct"/>
            <w:noWrap w:val="0"/>
            <w:vAlign w:val="center"/>
          </w:tcPr>
          <w:p w14:paraId="55837D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19.32</w:t>
            </w:r>
          </w:p>
        </w:tc>
        <w:tc>
          <w:tcPr>
            <w:tcW w:w="900" w:type="pct"/>
            <w:noWrap w:val="0"/>
            <w:vAlign w:val="center"/>
          </w:tcPr>
          <w:p w14:paraId="02DD33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1114" w:type="pct"/>
            <w:noWrap w:val="0"/>
            <w:vAlign w:val="center"/>
          </w:tcPr>
          <w:p w14:paraId="1F8FAD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0.1959</w:t>
            </w:r>
          </w:p>
        </w:tc>
        <w:tc>
          <w:tcPr>
            <w:tcW w:w="1115" w:type="pct"/>
            <w:noWrap w:val="0"/>
            <w:vAlign w:val="center"/>
          </w:tcPr>
          <w:p w14:paraId="34FE85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r>
      <w:tr w14:paraId="46BEFC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18277A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10733F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900" w:type="pct"/>
            <w:noWrap w:val="0"/>
            <w:vAlign w:val="center"/>
          </w:tcPr>
          <w:p w14:paraId="6A0BCE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1114" w:type="pct"/>
            <w:noWrap w:val="0"/>
            <w:vAlign w:val="center"/>
          </w:tcPr>
          <w:p w14:paraId="7CDE89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0.1725</w:t>
            </w:r>
          </w:p>
        </w:tc>
        <w:tc>
          <w:tcPr>
            <w:tcW w:w="1115" w:type="pct"/>
            <w:noWrap w:val="0"/>
            <w:vAlign w:val="center"/>
          </w:tcPr>
          <w:p w14:paraId="4CDC40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r>
      <w:tr w14:paraId="5DD3F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54B8AC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60E951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19.43</w:t>
            </w:r>
          </w:p>
        </w:tc>
        <w:tc>
          <w:tcPr>
            <w:tcW w:w="900" w:type="pct"/>
            <w:noWrap w:val="0"/>
            <w:vAlign w:val="center"/>
          </w:tcPr>
          <w:p w14:paraId="75B3FD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1114" w:type="pct"/>
            <w:noWrap w:val="0"/>
            <w:vAlign w:val="center"/>
          </w:tcPr>
          <w:p w14:paraId="2FE106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0.1503</w:t>
            </w:r>
          </w:p>
        </w:tc>
        <w:tc>
          <w:tcPr>
            <w:tcW w:w="1115" w:type="pct"/>
            <w:noWrap w:val="0"/>
            <w:vAlign w:val="center"/>
          </w:tcPr>
          <w:p w14:paraId="03A683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265A5A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6BA86E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966" w:type="pct"/>
            <w:noWrap w:val="0"/>
            <w:vAlign w:val="center"/>
          </w:tcPr>
          <w:p w14:paraId="2D06BA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16.38</w:t>
            </w:r>
          </w:p>
        </w:tc>
        <w:tc>
          <w:tcPr>
            <w:tcW w:w="900" w:type="pct"/>
            <w:noWrap w:val="0"/>
            <w:vAlign w:val="center"/>
          </w:tcPr>
          <w:p w14:paraId="752B7C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1114" w:type="pct"/>
            <w:noWrap w:val="0"/>
            <w:vAlign w:val="center"/>
          </w:tcPr>
          <w:p w14:paraId="49B8C4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0.1289</w:t>
            </w:r>
          </w:p>
        </w:tc>
        <w:tc>
          <w:tcPr>
            <w:tcW w:w="1115" w:type="pct"/>
            <w:noWrap w:val="0"/>
            <w:vAlign w:val="center"/>
          </w:tcPr>
          <w:p w14:paraId="3B622A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787D25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5AEE4C0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6AA0F9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22.58</w:t>
            </w:r>
          </w:p>
        </w:tc>
        <w:tc>
          <w:tcPr>
            <w:tcW w:w="900" w:type="pct"/>
            <w:noWrap w:val="0"/>
            <w:vAlign w:val="center"/>
          </w:tcPr>
          <w:p w14:paraId="039CF7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1114" w:type="pct"/>
            <w:noWrap w:val="0"/>
            <w:vAlign w:val="center"/>
          </w:tcPr>
          <w:p w14:paraId="488F8C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0.1233</w:t>
            </w:r>
          </w:p>
        </w:tc>
        <w:tc>
          <w:tcPr>
            <w:tcW w:w="1115" w:type="pct"/>
            <w:noWrap w:val="0"/>
            <w:vAlign w:val="center"/>
          </w:tcPr>
          <w:p w14:paraId="201A5E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36BD82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466E34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774426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23.41</w:t>
            </w:r>
          </w:p>
        </w:tc>
        <w:tc>
          <w:tcPr>
            <w:tcW w:w="900" w:type="pct"/>
            <w:noWrap w:val="0"/>
            <w:vAlign w:val="center"/>
          </w:tcPr>
          <w:p w14:paraId="369F4C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1114" w:type="pct"/>
            <w:noWrap w:val="0"/>
            <w:vAlign w:val="center"/>
          </w:tcPr>
          <w:p w14:paraId="5F1847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0.1124</w:t>
            </w:r>
          </w:p>
        </w:tc>
        <w:tc>
          <w:tcPr>
            <w:tcW w:w="1115" w:type="pct"/>
            <w:noWrap w:val="0"/>
            <w:vAlign w:val="center"/>
          </w:tcPr>
          <w:p w14:paraId="417F59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7111DE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353A8EE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1BE4B3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23.66</w:t>
            </w:r>
          </w:p>
        </w:tc>
        <w:tc>
          <w:tcPr>
            <w:tcW w:w="900" w:type="pct"/>
            <w:noWrap w:val="0"/>
            <w:vAlign w:val="center"/>
          </w:tcPr>
          <w:p w14:paraId="0778BDB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1114" w:type="pct"/>
            <w:noWrap w:val="0"/>
            <w:vAlign w:val="center"/>
          </w:tcPr>
          <w:p w14:paraId="1F7BF3C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0.1029</w:t>
            </w:r>
          </w:p>
        </w:tc>
        <w:tc>
          <w:tcPr>
            <w:tcW w:w="1115" w:type="pct"/>
            <w:noWrap w:val="0"/>
            <w:vAlign w:val="center"/>
          </w:tcPr>
          <w:p w14:paraId="2DB351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726A81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278227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66" w:type="pct"/>
            <w:noWrap w:val="0"/>
            <w:vAlign w:val="center"/>
          </w:tcPr>
          <w:p w14:paraId="06B845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21.61</w:t>
            </w:r>
          </w:p>
        </w:tc>
        <w:tc>
          <w:tcPr>
            <w:tcW w:w="900" w:type="pct"/>
            <w:noWrap w:val="0"/>
            <w:vAlign w:val="center"/>
          </w:tcPr>
          <w:p w14:paraId="35E5DB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1114" w:type="pct"/>
            <w:noWrap w:val="0"/>
            <w:vAlign w:val="center"/>
          </w:tcPr>
          <w:p w14:paraId="58841A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0.093</w:t>
            </w:r>
          </w:p>
        </w:tc>
        <w:tc>
          <w:tcPr>
            <w:tcW w:w="1115" w:type="pct"/>
            <w:noWrap w:val="0"/>
            <w:vAlign w:val="center"/>
          </w:tcPr>
          <w:p w14:paraId="2160ED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1CD12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68D463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966" w:type="pct"/>
            <w:noWrap w:val="0"/>
            <w:vAlign w:val="center"/>
          </w:tcPr>
          <w:p w14:paraId="49D432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25.48</w:t>
            </w:r>
          </w:p>
        </w:tc>
        <w:tc>
          <w:tcPr>
            <w:tcW w:w="900" w:type="pct"/>
            <w:noWrap w:val="0"/>
            <w:vAlign w:val="center"/>
          </w:tcPr>
          <w:p w14:paraId="304369D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1114" w:type="pct"/>
            <w:noWrap w:val="0"/>
            <w:vAlign w:val="center"/>
          </w:tcPr>
          <w:p w14:paraId="13E37D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0.0883</w:t>
            </w:r>
          </w:p>
        </w:tc>
        <w:tc>
          <w:tcPr>
            <w:tcW w:w="1115" w:type="pct"/>
            <w:noWrap w:val="0"/>
            <w:vAlign w:val="center"/>
          </w:tcPr>
          <w:p w14:paraId="7123AAA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1EF60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3320F1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966" w:type="pct"/>
            <w:noWrap w:val="0"/>
            <w:vAlign w:val="center"/>
          </w:tcPr>
          <w:p w14:paraId="55C914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23.91</w:t>
            </w:r>
          </w:p>
        </w:tc>
        <w:tc>
          <w:tcPr>
            <w:tcW w:w="900" w:type="pct"/>
            <w:noWrap w:val="0"/>
            <w:vAlign w:val="center"/>
          </w:tcPr>
          <w:p w14:paraId="3A4883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1114" w:type="pct"/>
            <w:noWrap w:val="0"/>
            <w:vAlign w:val="center"/>
          </w:tcPr>
          <w:p w14:paraId="13973F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0.0811</w:t>
            </w:r>
          </w:p>
        </w:tc>
        <w:tc>
          <w:tcPr>
            <w:tcW w:w="1115" w:type="pct"/>
            <w:noWrap w:val="0"/>
            <w:vAlign w:val="center"/>
          </w:tcPr>
          <w:p w14:paraId="28A73E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182ACD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41FF6A0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966" w:type="pct"/>
            <w:noWrap w:val="0"/>
            <w:vAlign w:val="center"/>
          </w:tcPr>
          <w:p w14:paraId="49FD34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23.18</w:t>
            </w:r>
          </w:p>
        </w:tc>
        <w:tc>
          <w:tcPr>
            <w:tcW w:w="900" w:type="pct"/>
            <w:noWrap w:val="0"/>
            <w:vAlign w:val="center"/>
          </w:tcPr>
          <w:p w14:paraId="7E3DB3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1114" w:type="pct"/>
            <w:noWrap w:val="0"/>
            <w:vAlign w:val="center"/>
          </w:tcPr>
          <w:p w14:paraId="6209B2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0.075</w:t>
            </w:r>
          </w:p>
        </w:tc>
        <w:tc>
          <w:tcPr>
            <w:tcW w:w="1115" w:type="pct"/>
            <w:noWrap w:val="0"/>
            <w:vAlign w:val="center"/>
          </w:tcPr>
          <w:p w14:paraId="6880BF1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70DB54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7C8065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966" w:type="pct"/>
            <w:noWrap w:val="0"/>
            <w:vAlign w:val="center"/>
          </w:tcPr>
          <w:p w14:paraId="70680F9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26.28</w:t>
            </w:r>
          </w:p>
        </w:tc>
        <w:tc>
          <w:tcPr>
            <w:tcW w:w="900" w:type="pct"/>
            <w:noWrap w:val="0"/>
            <w:vAlign w:val="center"/>
          </w:tcPr>
          <w:p w14:paraId="1B4D01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1114" w:type="pct"/>
            <w:noWrap w:val="0"/>
            <w:vAlign w:val="center"/>
          </w:tcPr>
          <w:p w14:paraId="26318A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0.0717</w:t>
            </w:r>
          </w:p>
        </w:tc>
        <w:tc>
          <w:tcPr>
            <w:tcW w:w="1115" w:type="pct"/>
            <w:noWrap w:val="0"/>
            <w:vAlign w:val="center"/>
          </w:tcPr>
          <w:p w14:paraId="2F1EBA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626064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70D891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966" w:type="pct"/>
            <w:noWrap w:val="0"/>
            <w:vAlign w:val="center"/>
          </w:tcPr>
          <w:p w14:paraId="3B519A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25.08</w:t>
            </w:r>
          </w:p>
        </w:tc>
        <w:tc>
          <w:tcPr>
            <w:tcW w:w="900" w:type="pct"/>
            <w:noWrap w:val="0"/>
            <w:vAlign w:val="center"/>
          </w:tcPr>
          <w:p w14:paraId="7C7317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1114" w:type="pct"/>
            <w:noWrap w:val="0"/>
            <w:vAlign w:val="center"/>
          </w:tcPr>
          <w:p w14:paraId="494115E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0.0667</w:t>
            </w:r>
          </w:p>
        </w:tc>
        <w:tc>
          <w:tcPr>
            <w:tcW w:w="1115" w:type="pct"/>
            <w:noWrap w:val="0"/>
            <w:vAlign w:val="center"/>
          </w:tcPr>
          <w:p w14:paraId="6A834A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062DEA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79C4C4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966" w:type="pct"/>
            <w:noWrap w:val="0"/>
            <w:vAlign w:val="center"/>
          </w:tcPr>
          <w:p w14:paraId="43D901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24.1</w:t>
            </w:r>
          </w:p>
        </w:tc>
        <w:tc>
          <w:tcPr>
            <w:tcW w:w="900" w:type="pct"/>
            <w:noWrap w:val="0"/>
            <w:vAlign w:val="center"/>
          </w:tcPr>
          <w:p w14:paraId="6D78FA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1114" w:type="pct"/>
            <w:noWrap w:val="0"/>
            <w:vAlign w:val="center"/>
          </w:tcPr>
          <w:p w14:paraId="2F1244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0.0622</w:t>
            </w:r>
          </w:p>
        </w:tc>
        <w:tc>
          <w:tcPr>
            <w:tcW w:w="1115" w:type="pct"/>
            <w:noWrap w:val="0"/>
            <w:vAlign w:val="center"/>
          </w:tcPr>
          <w:p w14:paraId="59C9E2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62242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1E6A7DD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966" w:type="pct"/>
            <w:noWrap w:val="0"/>
            <w:vAlign w:val="center"/>
          </w:tcPr>
          <w:p w14:paraId="049D85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24.64</w:t>
            </w:r>
          </w:p>
        </w:tc>
        <w:tc>
          <w:tcPr>
            <w:tcW w:w="900" w:type="pct"/>
            <w:noWrap w:val="0"/>
            <w:vAlign w:val="center"/>
          </w:tcPr>
          <w:p w14:paraId="1EA5E0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1114" w:type="pct"/>
            <w:noWrap w:val="0"/>
            <w:vAlign w:val="center"/>
          </w:tcPr>
          <w:p w14:paraId="3FE365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0.0589</w:t>
            </w:r>
          </w:p>
        </w:tc>
        <w:tc>
          <w:tcPr>
            <w:tcW w:w="1115" w:type="pct"/>
            <w:noWrap w:val="0"/>
            <w:vAlign w:val="center"/>
          </w:tcPr>
          <w:p w14:paraId="6974CE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4B1D5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2E8165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966" w:type="pct"/>
            <w:noWrap w:val="0"/>
            <w:vAlign w:val="center"/>
          </w:tcPr>
          <w:p w14:paraId="2A78FE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25.13</w:t>
            </w:r>
          </w:p>
        </w:tc>
        <w:tc>
          <w:tcPr>
            <w:tcW w:w="900" w:type="pct"/>
            <w:noWrap w:val="0"/>
            <w:vAlign w:val="center"/>
          </w:tcPr>
          <w:p w14:paraId="60E2A4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1114" w:type="pct"/>
            <w:noWrap w:val="0"/>
            <w:vAlign w:val="center"/>
          </w:tcPr>
          <w:p w14:paraId="6EB109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0.0559</w:t>
            </w:r>
          </w:p>
        </w:tc>
        <w:tc>
          <w:tcPr>
            <w:tcW w:w="1115" w:type="pct"/>
            <w:noWrap w:val="0"/>
            <w:vAlign w:val="center"/>
          </w:tcPr>
          <w:p w14:paraId="54C705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25A8B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18DE53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966" w:type="pct"/>
            <w:noWrap w:val="0"/>
            <w:vAlign w:val="center"/>
          </w:tcPr>
          <w:p w14:paraId="2D383D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26.13</w:t>
            </w:r>
          </w:p>
        </w:tc>
        <w:tc>
          <w:tcPr>
            <w:tcW w:w="900" w:type="pct"/>
            <w:noWrap w:val="0"/>
            <w:vAlign w:val="center"/>
          </w:tcPr>
          <w:p w14:paraId="7403C2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1114" w:type="pct"/>
            <w:noWrap w:val="0"/>
            <w:vAlign w:val="center"/>
          </w:tcPr>
          <w:p w14:paraId="683418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0.0534</w:t>
            </w:r>
          </w:p>
        </w:tc>
        <w:tc>
          <w:tcPr>
            <w:tcW w:w="1115" w:type="pct"/>
            <w:noWrap w:val="0"/>
            <w:vAlign w:val="center"/>
          </w:tcPr>
          <w:p w14:paraId="1B52C1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4893C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4" w:type="pct"/>
            <w:noWrap w:val="0"/>
            <w:vAlign w:val="center"/>
          </w:tcPr>
          <w:p w14:paraId="2F32C5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966" w:type="pct"/>
            <w:noWrap w:val="0"/>
            <w:vAlign w:val="center"/>
          </w:tcPr>
          <w:p w14:paraId="3440C2D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31.37</w:t>
            </w:r>
          </w:p>
        </w:tc>
        <w:tc>
          <w:tcPr>
            <w:tcW w:w="900" w:type="pct"/>
            <w:noWrap w:val="0"/>
            <w:vAlign w:val="center"/>
          </w:tcPr>
          <w:p w14:paraId="4BEF93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1114" w:type="pct"/>
            <w:noWrap w:val="0"/>
            <w:vAlign w:val="center"/>
          </w:tcPr>
          <w:p w14:paraId="5E6A0B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0.0524</w:t>
            </w:r>
          </w:p>
        </w:tc>
        <w:tc>
          <w:tcPr>
            <w:tcW w:w="1115" w:type="pct"/>
            <w:noWrap w:val="0"/>
            <w:vAlign w:val="center"/>
          </w:tcPr>
          <w:p w14:paraId="4A8CA8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5C43F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0" w:type="pct"/>
            <w:gridSpan w:val="3"/>
            <w:noWrap w:val="0"/>
            <w:vAlign w:val="center"/>
          </w:tcPr>
          <w:p w14:paraId="4CD89F0D">
            <w:pPr>
              <w:pStyle w:val="24"/>
              <w:bidi w:val="0"/>
              <w:rPr>
                <w:rFonts w:hint="eastAsia"/>
                <w:color w:val="auto"/>
                <w:u w:val="none" w:color="auto"/>
                <w:lang w:val="en-US" w:eastAsia="zh-CN"/>
              </w:rPr>
            </w:pPr>
            <w:r>
              <w:rPr>
                <w:color w:val="auto"/>
                <w:u w:val="none" w:color="auto"/>
              </w:rPr>
              <w:t>下风向最大质量浓度及占标率</w:t>
            </w:r>
          </w:p>
        </w:tc>
        <w:tc>
          <w:tcPr>
            <w:tcW w:w="1114" w:type="pct"/>
            <w:noWrap w:val="0"/>
            <w:vAlign w:val="center"/>
          </w:tcPr>
          <w:p w14:paraId="63D3714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1.296</w:t>
            </w:r>
          </w:p>
        </w:tc>
        <w:tc>
          <w:tcPr>
            <w:tcW w:w="1115" w:type="pct"/>
            <w:noWrap w:val="0"/>
            <w:vAlign w:val="center"/>
          </w:tcPr>
          <w:p w14:paraId="7ECE414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0.29</w:t>
            </w:r>
          </w:p>
        </w:tc>
      </w:tr>
      <w:tr w14:paraId="7330B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70" w:type="pct"/>
            <w:gridSpan w:val="3"/>
            <w:noWrap w:val="0"/>
            <w:vAlign w:val="center"/>
          </w:tcPr>
          <w:p w14:paraId="2CE4FDDE">
            <w:pPr>
              <w:pStyle w:val="24"/>
              <w:bidi w:val="0"/>
              <w:rPr>
                <w:color w:val="auto"/>
                <w:u w:val="none" w:color="auto"/>
              </w:rPr>
            </w:pPr>
            <w:r>
              <w:rPr>
                <w:color w:val="auto"/>
                <w:u w:val="none" w:color="auto"/>
              </w:rPr>
              <w:t>D10%最远距离/m</w:t>
            </w:r>
          </w:p>
        </w:tc>
        <w:tc>
          <w:tcPr>
            <w:tcW w:w="2229" w:type="pct"/>
            <w:gridSpan w:val="2"/>
            <w:noWrap w:val="0"/>
            <w:vAlign w:val="center"/>
          </w:tcPr>
          <w:p w14:paraId="2DCA29D7">
            <w:pPr>
              <w:pStyle w:val="24"/>
              <w:bidi w:val="0"/>
              <w:rPr>
                <w:color w:val="auto"/>
                <w:u w:val="none" w:color="auto"/>
              </w:rPr>
            </w:pPr>
            <w:r>
              <w:rPr>
                <w:color w:val="auto"/>
                <w:u w:val="none" w:color="auto"/>
              </w:rPr>
              <w:t>/</w:t>
            </w:r>
          </w:p>
        </w:tc>
      </w:tr>
    </w:tbl>
    <w:p w14:paraId="2F8F8AC1">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6.2-7</w:t>
      </w:r>
      <w:r>
        <w:rPr>
          <w:rFonts w:hint="default"/>
          <w:color w:val="auto"/>
          <w:u w:val="none" w:color="auto"/>
        </w:rPr>
        <w:t xml:space="preserve"> </w:t>
      </w:r>
      <w:r>
        <w:rPr>
          <w:rFonts w:hint="default"/>
          <w:color w:val="auto"/>
          <w:u w:val="none" w:color="auto"/>
          <w:lang w:eastAsia="zh-CN"/>
        </w:rPr>
        <w:t>有组织废气</w:t>
      </w:r>
      <w:r>
        <w:rPr>
          <w:rFonts w:hint="default"/>
          <w:color w:val="auto"/>
          <w:u w:val="none" w:color="auto"/>
        </w:rPr>
        <w:t>估算模式计算结果表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965"/>
        <w:gridCol w:w="1105"/>
        <w:gridCol w:w="1323"/>
        <w:gridCol w:w="1325"/>
        <w:gridCol w:w="1323"/>
        <w:gridCol w:w="1325"/>
      </w:tblGrid>
      <w:tr w14:paraId="6FE31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noWrap w:val="0"/>
            <w:vAlign w:val="center"/>
          </w:tcPr>
          <w:p w14:paraId="10F92537">
            <w:pPr>
              <w:pStyle w:val="24"/>
              <w:bidi w:val="0"/>
              <w:rPr>
                <w:color w:val="auto"/>
                <w:u w:val="none" w:color="auto"/>
              </w:rPr>
            </w:pPr>
            <w:r>
              <w:rPr>
                <w:rFonts w:hint="eastAsia"/>
                <w:color w:val="auto"/>
                <w:u w:val="none" w:color="auto"/>
              </w:rPr>
              <w:t>方位角(度)</w:t>
            </w:r>
          </w:p>
        </w:tc>
        <w:tc>
          <w:tcPr>
            <w:tcW w:w="566" w:type="pct"/>
            <w:vMerge w:val="restart"/>
            <w:noWrap w:val="0"/>
            <w:vAlign w:val="center"/>
          </w:tcPr>
          <w:p w14:paraId="728BBACB">
            <w:pPr>
              <w:pStyle w:val="24"/>
              <w:bidi w:val="0"/>
              <w:rPr>
                <w:color w:val="auto"/>
                <w:u w:val="none" w:color="auto"/>
              </w:rPr>
            </w:pPr>
            <w:r>
              <w:rPr>
                <w:rFonts w:hint="eastAsia"/>
                <w:color w:val="auto"/>
                <w:u w:val="none" w:color="auto"/>
              </w:rPr>
              <w:t>相对源高(m)</w:t>
            </w:r>
          </w:p>
        </w:tc>
        <w:tc>
          <w:tcPr>
            <w:tcW w:w="648" w:type="pct"/>
            <w:vMerge w:val="restart"/>
            <w:noWrap w:val="0"/>
            <w:vAlign w:val="center"/>
          </w:tcPr>
          <w:p w14:paraId="726B2AAE">
            <w:pPr>
              <w:pStyle w:val="24"/>
              <w:bidi w:val="0"/>
              <w:rPr>
                <w:color w:val="auto"/>
                <w:u w:val="none" w:color="auto"/>
              </w:rPr>
            </w:pPr>
            <w:r>
              <w:rPr>
                <w:rFonts w:hint="eastAsia"/>
                <w:color w:val="auto"/>
                <w:u w:val="none" w:color="auto"/>
              </w:rPr>
              <w:t>离源距离(m)</w:t>
            </w:r>
          </w:p>
        </w:tc>
        <w:tc>
          <w:tcPr>
            <w:tcW w:w="3107" w:type="pct"/>
            <w:gridSpan w:val="4"/>
            <w:noWrap w:val="0"/>
            <w:vAlign w:val="center"/>
          </w:tcPr>
          <w:p w14:paraId="7FBEAD7F">
            <w:pPr>
              <w:pStyle w:val="24"/>
              <w:bidi w:val="0"/>
              <w:rPr>
                <w:rFonts w:hint="eastAsia"/>
                <w:color w:val="auto"/>
                <w:u w:val="none" w:color="auto"/>
                <w:lang w:val="en-US" w:eastAsia="zh-CN"/>
              </w:rPr>
            </w:pPr>
            <w:r>
              <w:rPr>
                <w:rFonts w:hint="eastAsia"/>
                <w:color w:val="auto"/>
                <w:u w:val="none" w:color="auto"/>
                <w:lang w:val="en-US" w:eastAsia="zh-CN"/>
              </w:rPr>
              <w:t>DA002排气筒</w:t>
            </w:r>
          </w:p>
        </w:tc>
      </w:tr>
      <w:tr w14:paraId="009621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0828CBDD">
            <w:pPr>
              <w:pStyle w:val="24"/>
              <w:bidi w:val="0"/>
              <w:rPr>
                <w:color w:val="auto"/>
                <w:u w:val="none" w:color="auto"/>
              </w:rPr>
            </w:pPr>
          </w:p>
        </w:tc>
        <w:tc>
          <w:tcPr>
            <w:tcW w:w="566" w:type="pct"/>
            <w:vMerge w:val="continue"/>
            <w:noWrap w:val="0"/>
            <w:vAlign w:val="center"/>
          </w:tcPr>
          <w:p w14:paraId="631CB562">
            <w:pPr>
              <w:pStyle w:val="24"/>
              <w:bidi w:val="0"/>
              <w:rPr>
                <w:rFonts w:hint="eastAsia"/>
                <w:color w:val="auto"/>
                <w:u w:val="none" w:color="auto"/>
                <w:lang w:eastAsia="zh-CN"/>
              </w:rPr>
            </w:pPr>
          </w:p>
        </w:tc>
        <w:tc>
          <w:tcPr>
            <w:tcW w:w="648" w:type="pct"/>
            <w:vMerge w:val="continue"/>
            <w:noWrap w:val="0"/>
            <w:vAlign w:val="center"/>
          </w:tcPr>
          <w:p w14:paraId="3855E47A">
            <w:pPr>
              <w:pStyle w:val="24"/>
              <w:bidi w:val="0"/>
              <w:rPr>
                <w:rFonts w:hint="eastAsia"/>
                <w:color w:val="auto"/>
                <w:u w:val="none" w:color="auto"/>
                <w:lang w:eastAsia="zh-CN"/>
              </w:rPr>
            </w:pPr>
          </w:p>
        </w:tc>
        <w:tc>
          <w:tcPr>
            <w:tcW w:w="1553" w:type="pct"/>
            <w:gridSpan w:val="2"/>
            <w:noWrap w:val="0"/>
            <w:vAlign w:val="center"/>
          </w:tcPr>
          <w:p w14:paraId="0EC04AE9">
            <w:pPr>
              <w:pStyle w:val="24"/>
              <w:bidi w:val="0"/>
              <w:rPr>
                <w:rFonts w:hint="eastAsia"/>
                <w:color w:val="auto"/>
                <w:u w:val="none" w:color="auto"/>
                <w:lang w:eastAsia="zh-CN"/>
              </w:rPr>
            </w:pPr>
            <w:r>
              <w:rPr>
                <w:rFonts w:hint="eastAsia"/>
                <w:color w:val="auto"/>
                <w:u w:val="none" w:color="auto"/>
                <w:lang w:val="en-US" w:eastAsia="zh-CN"/>
              </w:rPr>
              <w:t>TVOC</w:t>
            </w:r>
          </w:p>
        </w:tc>
        <w:tc>
          <w:tcPr>
            <w:tcW w:w="1553" w:type="pct"/>
            <w:gridSpan w:val="2"/>
            <w:noWrap w:val="0"/>
            <w:vAlign w:val="center"/>
          </w:tcPr>
          <w:p w14:paraId="05E778AF">
            <w:pPr>
              <w:pStyle w:val="24"/>
              <w:bidi w:val="0"/>
              <w:rPr>
                <w:rFonts w:hint="default"/>
                <w:color w:val="auto"/>
                <w:u w:val="none" w:color="auto"/>
                <w:lang w:val="en-US" w:eastAsia="zh-CN"/>
              </w:rPr>
            </w:pPr>
            <w:r>
              <w:rPr>
                <w:rFonts w:hint="eastAsia"/>
                <w:color w:val="auto"/>
                <w:u w:val="none" w:color="auto"/>
                <w:lang w:val="en-US" w:eastAsia="zh-CN"/>
              </w:rPr>
              <w:t>氯化氢</w:t>
            </w:r>
          </w:p>
        </w:tc>
      </w:tr>
      <w:tr w14:paraId="336862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131F3BE6">
            <w:pPr>
              <w:pStyle w:val="24"/>
              <w:bidi w:val="0"/>
              <w:rPr>
                <w:color w:val="auto"/>
                <w:u w:val="none" w:color="auto"/>
              </w:rPr>
            </w:pPr>
          </w:p>
        </w:tc>
        <w:tc>
          <w:tcPr>
            <w:tcW w:w="566" w:type="pct"/>
            <w:vMerge w:val="continue"/>
            <w:noWrap w:val="0"/>
            <w:vAlign w:val="center"/>
          </w:tcPr>
          <w:p w14:paraId="4203B9E9">
            <w:pPr>
              <w:pStyle w:val="24"/>
              <w:bidi w:val="0"/>
              <w:rPr>
                <w:color w:val="auto"/>
                <w:u w:val="none" w:color="auto"/>
              </w:rPr>
            </w:pPr>
          </w:p>
        </w:tc>
        <w:tc>
          <w:tcPr>
            <w:tcW w:w="648" w:type="pct"/>
            <w:vMerge w:val="continue"/>
            <w:noWrap w:val="0"/>
            <w:vAlign w:val="center"/>
          </w:tcPr>
          <w:p w14:paraId="7D762780">
            <w:pPr>
              <w:pStyle w:val="24"/>
              <w:bidi w:val="0"/>
              <w:rPr>
                <w:color w:val="auto"/>
                <w:u w:val="none" w:color="auto"/>
              </w:rPr>
            </w:pPr>
          </w:p>
        </w:tc>
        <w:tc>
          <w:tcPr>
            <w:tcW w:w="776" w:type="pct"/>
            <w:noWrap w:val="0"/>
            <w:vAlign w:val="center"/>
          </w:tcPr>
          <w:p w14:paraId="20138EB9">
            <w:pPr>
              <w:pStyle w:val="24"/>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18969924">
            <w:pPr>
              <w:pStyle w:val="24"/>
              <w:bidi w:val="0"/>
              <w:rPr>
                <w:color w:val="auto"/>
                <w:u w:val="none" w:color="auto"/>
              </w:rPr>
            </w:pPr>
            <w:r>
              <w:rPr>
                <w:color w:val="auto"/>
                <w:u w:val="none" w:color="auto"/>
              </w:rPr>
              <w:t>占标率%</w:t>
            </w:r>
          </w:p>
        </w:tc>
        <w:tc>
          <w:tcPr>
            <w:tcW w:w="776" w:type="pct"/>
            <w:noWrap w:val="0"/>
            <w:vAlign w:val="center"/>
          </w:tcPr>
          <w:p w14:paraId="0482C51C">
            <w:pPr>
              <w:pStyle w:val="24"/>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73BDB5C9">
            <w:pPr>
              <w:pStyle w:val="24"/>
              <w:bidi w:val="0"/>
              <w:rPr>
                <w:color w:val="auto"/>
                <w:u w:val="none" w:color="auto"/>
                <w:lang w:val="en-US" w:eastAsia="zh-CN"/>
              </w:rPr>
            </w:pPr>
            <w:r>
              <w:rPr>
                <w:color w:val="auto"/>
                <w:u w:val="none" w:color="auto"/>
              </w:rPr>
              <w:t>占标率%</w:t>
            </w:r>
          </w:p>
        </w:tc>
      </w:tr>
      <w:tr w14:paraId="380A8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9CD88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66" w:type="pct"/>
            <w:noWrap w:val="0"/>
            <w:vAlign w:val="center"/>
          </w:tcPr>
          <w:p w14:paraId="64BA04F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0.52</w:t>
            </w:r>
          </w:p>
        </w:tc>
        <w:tc>
          <w:tcPr>
            <w:tcW w:w="648" w:type="pct"/>
            <w:noWrap w:val="0"/>
            <w:vAlign w:val="center"/>
          </w:tcPr>
          <w:p w14:paraId="0EA67A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76" w:type="pct"/>
            <w:noWrap w:val="0"/>
            <w:vAlign w:val="center"/>
          </w:tcPr>
          <w:p w14:paraId="70B5DD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0.0027</w:t>
            </w:r>
          </w:p>
        </w:tc>
        <w:tc>
          <w:tcPr>
            <w:tcW w:w="777" w:type="pct"/>
            <w:noWrap w:val="0"/>
            <w:vAlign w:val="center"/>
          </w:tcPr>
          <w:p w14:paraId="764621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0F20E0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777" w:type="pct"/>
            <w:noWrap w:val="0"/>
            <w:vAlign w:val="center"/>
          </w:tcPr>
          <w:p w14:paraId="7C089F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7E02C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2FD72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661EE6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3.24</w:t>
            </w:r>
          </w:p>
        </w:tc>
        <w:tc>
          <w:tcPr>
            <w:tcW w:w="648" w:type="pct"/>
            <w:noWrap w:val="0"/>
            <w:vAlign w:val="center"/>
          </w:tcPr>
          <w:p w14:paraId="626A59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76" w:type="pct"/>
            <w:noWrap w:val="0"/>
            <w:vAlign w:val="center"/>
          </w:tcPr>
          <w:p w14:paraId="2355514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4.7256</w:t>
            </w:r>
          </w:p>
        </w:tc>
        <w:tc>
          <w:tcPr>
            <w:tcW w:w="777" w:type="pct"/>
            <w:noWrap w:val="0"/>
            <w:vAlign w:val="center"/>
          </w:tcPr>
          <w:p w14:paraId="69363A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0.39</w:t>
            </w:r>
          </w:p>
        </w:tc>
        <w:tc>
          <w:tcPr>
            <w:tcW w:w="776" w:type="pct"/>
            <w:noWrap w:val="0"/>
            <w:vAlign w:val="center"/>
          </w:tcPr>
          <w:p w14:paraId="2FDF9A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2.7003</w:t>
            </w:r>
          </w:p>
        </w:tc>
        <w:tc>
          <w:tcPr>
            <w:tcW w:w="777" w:type="pct"/>
            <w:noWrap w:val="0"/>
            <w:vAlign w:val="center"/>
          </w:tcPr>
          <w:p w14:paraId="55BEE2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w:t>
            </w:r>
          </w:p>
        </w:tc>
      </w:tr>
      <w:tr w14:paraId="4D4972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5AEF97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36EAC3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8.99</w:t>
            </w:r>
          </w:p>
        </w:tc>
        <w:tc>
          <w:tcPr>
            <w:tcW w:w="648" w:type="pct"/>
            <w:noWrap w:val="0"/>
            <w:vAlign w:val="center"/>
          </w:tcPr>
          <w:p w14:paraId="61AAA6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776" w:type="pct"/>
            <w:noWrap w:val="0"/>
            <w:vAlign w:val="center"/>
          </w:tcPr>
          <w:p w14:paraId="4C3BDB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8.5067</w:t>
            </w:r>
          </w:p>
        </w:tc>
        <w:tc>
          <w:tcPr>
            <w:tcW w:w="777" w:type="pct"/>
            <w:noWrap w:val="0"/>
            <w:vAlign w:val="center"/>
          </w:tcPr>
          <w:p w14:paraId="316042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0.71</w:t>
            </w:r>
          </w:p>
        </w:tc>
        <w:tc>
          <w:tcPr>
            <w:tcW w:w="776" w:type="pct"/>
            <w:noWrap w:val="0"/>
            <w:vAlign w:val="center"/>
          </w:tcPr>
          <w:p w14:paraId="6B5AF0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4.861</w:t>
            </w:r>
          </w:p>
        </w:tc>
        <w:tc>
          <w:tcPr>
            <w:tcW w:w="777" w:type="pct"/>
            <w:noWrap w:val="0"/>
            <w:vAlign w:val="center"/>
          </w:tcPr>
          <w:p w14:paraId="720153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9.72</w:t>
            </w:r>
          </w:p>
        </w:tc>
      </w:tr>
      <w:tr w14:paraId="5750C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0F6AC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2C962A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9.52</w:t>
            </w:r>
          </w:p>
        </w:tc>
        <w:tc>
          <w:tcPr>
            <w:tcW w:w="648" w:type="pct"/>
            <w:noWrap w:val="0"/>
            <w:vAlign w:val="center"/>
          </w:tcPr>
          <w:p w14:paraId="4AC26F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76" w:type="pct"/>
            <w:noWrap w:val="0"/>
            <w:vAlign w:val="center"/>
          </w:tcPr>
          <w:p w14:paraId="5F4CB1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8.4977</w:t>
            </w:r>
          </w:p>
        </w:tc>
        <w:tc>
          <w:tcPr>
            <w:tcW w:w="777" w:type="pct"/>
            <w:noWrap w:val="0"/>
            <w:vAlign w:val="center"/>
          </w:tcPr>
          <w:p w14:paraId="57A18E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0.71</w:t>
            </w:r>
          </w:p>
        </w:tc>
        <w:tc>
          <w:tcPr>
            <w:tcW w:w="776" w:type="pct"/>
            <w:noWrap w:val="0"/>
            <w:vAlign w:val="center"/>
          </w:tcPr>
          <w:p w14:paraId="4196E4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4.8558</w:t>
            </w:r>
          </w:p>
        </w:tc>
        <w:tc>
          <w:tcPr>
            <w:tcW w:w="777" w:type="pct"/>
            <w:noWrap w:val="0"/>
            <w:vAlign w:val="center"/>
          </w:tcPr>
          <w:p w14:paraId="425890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9.71</w:t>
            </w:r>
          </w:p>
        </w:tc>
      </w:tr>
      <w:tr w14:paraId="59F2F9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75CFF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566" w:type="pct"/>
            <w:noWrap w:val="0"/>
            <w:vAlign w:val="center"/>
          </w:tcPr>
          <w:p w14:paraId="6FF817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16.23</w:t>
            </w:r>
          </w:p>
        </w:tc>
        <w:tc>
          <w:tcPr>
            <w:tcW w:w="648" w:type="pct"/>
            <w:noWrap w:val="0"/>
            <w:vAlign w:val="center"/>
          </w:tcPr>
          <w:p w14:paraId="266F83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76" w:type="pct"/>
            <w:noWrap w:val="0"/>
            <w:vAlign w:val="center"/>
          </w:tcPr>
          <w:p w14:paraId="70627B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5.4336</w:t>
            </w:r>
          </w:p>
        </w:tc>
        <w:tc>
          <w:tcPr>
            <w:tcW w:w="777" w:type="pct"/>
            <w:noWrap w:val="0"/>
            <w:vAlign w:val="center"/>
          </w:tcPr>
          <w:p w14:paraId="5B7786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0.45</w:t>
            </w:r>
          </w:p>
        </w:tc>
        <w:tc>
          <w:tcPr>
            <w:tcW w:w="776" w:type="pct"/>
            <w:noWrap w:val="0"/>
            <w:vAlign w:val="center"/>
          </w:tcPr>
          <w:p w14:paraId="591BE1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3.1049</w:t>
            </w:r>
          </w:p>
        </w:tc>
        <w:tc>
          <w:tcPr>
            <w:tcW w:w="777" w:type="pct"/>
            <w:noWrap w:val="0"/>
            <w:vAlign w:val="center"/>
          </w:tcPr>
          <w:p w14:paraId="1F54F1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6.21</w:t>
            </w:r>
          </w:p>
        </w:tc>
      </w:tr>
      <w:tr w14:paraId="54B1A2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CAD56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234346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16.57</w:t>
            </w:r>
          </w:p>
        </w:tc>
        <w:tc>
          <w:tcPr>
            <w:tcW w:w="648" w:type="pct"/>
            <w:noWrap w:val="0"/>
            <w:vAlign w:val="center"/>
          </w:tcPr>
          <w:p w14:paraId="2064EB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76" w:type="pct"/>
            <w:noWrap w:val="0"/>
            <w:vAlign w:val="center"/>
          </w:tcPr>
          <w:p w14:paraId="470DB5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3.6963</w:t>
            </w:r>
          </w:p>
        </w:tc>
        <w:tc>
          <w:tcPr>
            <w:tcW w:w="777" w:type="pct"/>
            <w:noWrap w:val="0"/>
            <w:vAlign w:val="center"/>
          </w:tcPr>
          <w:p w14:paraId="00AB45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w:t>
            </w:r>
          </w:p>
        </w:tc>
        <w:tc>
          <w:tcPr>
            <w:tcW w:w="776" w:type="pct"/>
            <w:noWrap w:val="0"/>
            <w:vAlign w:val="center"/>
          </w:tcPr>
          <w:p w14:paraId="58FD5B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2.1122</w:t>
            </w:r>
          </w:p>
        </w:tc>
        <w:tc>
          <w:tcPr>
            <w:tcW w:w="777" w:type="pct"/>
            <w:noWrap w:val="0"/>
            <w:vAlign w:val="center"/>
          </w:tcPr>
          <w:p w14:paraId="43F2EE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4.22</w:t>
            </w:r>
          </w:p>
        </w:tc>
      </w:tr>
      <w:tr w14:paraId="284196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DE303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77FE36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16.53</w:t>
            </w:r>
          </w:p>
        </w:tc>
        <w:tc>
          <w:tcPr>
            <w:tcW w:w="648" w:type="pct"/>
            <w:noWrap w:val="0"/>
            <w:vAlign w:val="center"/>
          </w:tcPr>
          <w:p w14:paraId="2C4EFF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76" w:type="pct"/>
            <w:noWrap w:val="0"/>
            <w:vAlign w:val="center"/>
          </w:tcPr>
          <w:p w14:paraId="7474EE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2.7552</w:t>
            </w:r>
          </w:p>
        </w:tc>
        <w:tc>
          <w:tcPr>
            <w:tcW w:w="777" w:type="pct"/>
            <w:noWrap w:val="0"/>
            <w:vAlign w:val="center"/>
          </w:tcPr>
          <w:p w14:paraId="7F02ED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776" w:type="pct"/>
            <w:noWrap w:val="0"/>
            <w:vAlign w:val="center"/>
          </w:tcPr>
          <w:p w14:paraId="4929A5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1.5744</w:t>
            </w:r>
          </w:p>
        </w:tc>
        <w:tc>
          <w:tcPr>
            <w:tcW w:w="777" w:type="pct"/>
            <w:noWrap w:val="0"/>
            <w:vAlign w:val="center"/>
          </w:tcPr>
          <w:p w14:paraId="578313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3.15</w:t>
            </w:r>
          </w:p>
        </w:tc>
      </w:tr>
      <w:tr w14:paraId="2BB78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8D2B2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458DA2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15.76</w:t>
            </w:r>
          </w:p>
        </w:tc>
        <w:tc>
          <w:tcPr>
            <w:tcW w:w="648" w:type="pct"/>
            <w:noWrap w:val="0"/>
            <w:vAlign w:val="center"/>
          </w:tcPr>
          <w:p w14:paraId="733992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76" w:type="pct"/>
            <w:noWrap w:val="0"/>
            <w:vAlign w:val="center"/>
          </w:tcPr>
          <w:p w14:paraId="56319E7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2.156</w:t>
            </w:r>
          </w:p>
        </w:tc>
        <w:tc>
          <w:tcPr>
            <w:tcW w:w="777" w:type="pct"/>
            <w:noWrap w:val="0"/>
            <w:vAlign w:val="center"/>
          </w:tcPr>
          <w:p w14:paraId="6DFF73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776" w:type="pct"/>
            <w:noWrap w:val="0"/>
            <w:vAlign w:val="center"/>
          </w:tcPr>
          <w:p w14:paraId="05A0CD5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1.232</w:t>
            </w:r>
          </w:p>
        </w:tc>
        <w:tc>
          <w:tcPr>
            <w:tcW w:w="777" w:type="pct"/>
            <w:noWrap w:val="0"/>
            <w:vAlign w:val="center"/>
          </w:tcPr>
          <w:p w14:paraId="713CD1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w:t>
            </w:r>
          </w:p>
        </w:tc>
      </w:tr>
      <w:tr w14:paraId="59B626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7F0075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11CBFF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15.99</w:t>
            </w:r>
          </w:p>
        </w:tc>
        <w:tc>
          <w:tcPr>
            <w:tcW w:w="648" w:type="pct"/>
            <w:noWrap w:val="0"/>
            <w:vAlign w:val="center"/>
          </w:tcPr>
          <w:p w14:paraId="57C2FC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776" w:type="pct"/>
            <w:noWrap w:val="0"/>
            <w:vAlign w:val="center"/>
          </w:tcPr>
          <w:p w14:paraId="3279F2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1.7553</w:t>
            </w:r>
          </w:p>
        </w:tc>
        <w:tc>
          <w:tcPr>
            <w:tcW w:w="777" w:type="pct"/>
            <w:noWrap w:val="0"/>
            <w:vAlign w:val="center"/>
          </w:tcPr>
          <w:p w14:paraId="00AF36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776" w:type="pct"/>
            <w:noWrap w:val="0"/>
            <w:vAlign w:val="center"/>
          </w:tcPr>
          <w:p w14:paraId="28999F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1.003</w:t>
            </w:r>
          </w:p>
        </w:tc>
        <w:tc>
          <w:tcPr>
            <w:tcW w:w="777" w:type="pct"/>
            <w:noWrap w:val="0"/>
            <w:vAlign w:val="center"/>
          </w:tcPr>
          <w:p w14:paraId="4E666D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w:t>
            </w:r>
          </w:p>
        </w:tc>
      </w:tr>
      <w:tr w14:paraId="6BAE1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728B9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566" w:type="pct"/>
            <w:noWrap w:val="0"/>
            <w:vAlign w:val="center"/>
          </w:tcPr>
          <w:p w14:paraId="4E3EEB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48" w:type="pct"/>
            <w:noWrap w:val="0"/>
            <w:vAlign w:val="center"/>
          </w:tcPr>
          <w:p w14:paraId="5113E7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776" w:type="pct"/>
            <w:noWrap w:val="0"/>
            <w:vAlign w:val="center"/>
          </w:tcPr>
          <w:p w14:paraId="7435E88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1.4899</w:t>
            </w:r>
          </w:p>
        </w:tc>
        <w:tc>
          <w:tcPr>
            <w:tcW w:w="777" w:type="pct"/>
            <w:noWrap w:val="0"/>
            <w:vAlign w:val="center"/>
          </w:tcPr>
          <w:p w14:paraId="51C969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776" w:type="pct"/>
            <w:noWrap w:val="0"/>
            <w:vAlign w:val="center"/>
          </w:tcPr>
          <w:p w14:paraId="4EF3E7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0.8514</w:t>
            </w:r>
          </w:p>
        </w:tc>
        <w:tc>
          <w:tcPr>
            <w:tcW w:w="777" w:type="pct"/>
            <w:noWrap w:val="0"/>
            <w:vAlign w:val="center"/>
          </w:tcPr>
          <w:p w14:paraId="12D0D1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w:t>
            </w:r>
          </w:p>
        </w:tc>
      </w:tr>
      <w:tr w14:paraId="3BC9EC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9B49D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66" w:type="pct"/>
            <w:noWrap w:val="0"/>
            <w:vAlign w:val="center"/>
          </w:tcPr>
          <w:p w14:paraId="6F4D36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19.32</w:t>
            </w:r>
          </w:p>
        </w:tc>
        <w:tc>
          <w:tcPr>
            <w:tcW w:w="648" w:type="pct"/>
            <w:noWrap w:val="0"/>
            <w:vAlign w:val="center"/>
          </w:tcPr>
          <w:p w14:paraId="77BA7C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76" w:type="pct"/>
            <w:noWrap w:val="0"/>
            <w:vAlign w:val="center"/>
          </w:tcPr>
          <w:p w14:paraId="7AF770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1.2859</w:t>
            </w:r>
          </w:p>
        </w:tc>
        <w:tc>
          <w:tcPr>
            <w:tcW w:w="777" w:type="pct"/>
            <w:noWrap w:val="0"/>
            <w:vAlign w:val="center"/>
          </w:tcPr>
          <w:p w14:paraId="23AF1C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776" w:type="pct"/>
            <w:noWrap w:val="0"/>
            <w:vAlign w:val="center"/>
          </w:tcPr>
          <w:p w14:paraId="70F080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0.7348</w:t>
            </w:r>
          </w:p>
        </w:tc>
        <w:tc>
          <w:tcPr>
            <w:tcW w:w="777" w:type="pct"/>
            <w:noWrap w:val="0"/>
            <w:vAlign w:val="center"/>
          </w:tcPr>
          <w:p w14:paraId="136D8B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1.47</w:t>
            </w:r>
          </w:p>
        </w:tc>
      </w:tr>
      <w:tr w14:paraId="3849D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9AAD0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24BFF1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648" w:type="pct"/>
            <w:noWrap w:val="0"/>
            <w:vAlign w:val="center"/>
          </w:tcPr>
          <w:p w14:paraId="2D36BC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776" w:type="pct"/>
            <w:noWrap w:val="0"/>
            <w:vAlign w:val="center"/>
          </w:tcPr>
          <w:p w14:paraId="24FE6D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1.1324</w:t>
            </w:r>
          </w:p>
        </w:tc>
        <w:tc>
          <w:tcPr>
            <w:tcW w:w="777" w:type="pct"/>
            <w:noWrap w:val="0"/>
            <w:vAlign w:val="center"/>
          </w:tcPr>
          <w:p w14:paraId="3BE3C3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776" w:type="pct"/>
            <w:noWrap w:val="0"/>
            <w:vAlign w:val="center"/>
          </w:tcPr>
          <w:p w14:paraId="04A78A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0.6471</w:t>
            </w:r>
          </w:p>
        </w:tc>
        <w:tc>
          <w:tcPr>
            <w:tcW w:w="777" w:type="pct"/>
            <w:noWrap w:val="0"/>
            <w:vAlign w:val="center"/>
          </w:tcPr>
          <w:p w14:paraId="170391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1.29</w:t>
            </w:r>
          </w:p>
        </w:tc>
      </w:tr>
      <w:tr w14:paraId="7682A2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F0B86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24646B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19.43</w:t>
            </w:r>
          </w:p>
        </w:tc>
        <w:tc>
          <w:tcPr>
            <w:tcW w:w="648" w:type="pct"/>
            <w:noWrap w:val="0"/>
            <w:vAlign w:val="center"/>
          </w:tcPr>
          <w:p w14:paraId="3DEF6E7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76" w:type="pct"/>
            <w:noWrap w:val="0"/>
            <w:vAlign w:val="center"/>
          </w:tcPr>
          <w:p w14:paraId="22CEED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0.9865</w:t>
            </w:r>
          </w:p>
        </w:tc>
        <w:tc>
          <w:tcPr>
            <w:tcW w:w="777" w:type="pct"/>
            <w:noWrap w:val="0"/>
            <w:vAlign w:val="center"/>
          </w:tcPr>
          <w:p w14:paraId="009202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776" w:type="pct"/>
            <w:noWrap w:val="0"/>
            <w:vAlign w:val="center"/>
          </w:tcPr>
          <w:p w14:paraId="007306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0.5637</w:t>
            </w:r>
          </w:p>
        </w:tc>
        <w:tc>
          <w:tcPr>
            <w:tcW w:w="777" w:type="pct"/>
            <w:noWrap w:val="0"/>
            <w:vAlign w:val="center"/>
          </w:tcPr>
          <w:p w14:paraId="1495D5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w:t>
            </w:r>
          </w:p>
        </w:tc>
      </w:tr>
      <w:tr w14:paraId="10CD0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D48CA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2752B4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16.38</w:t>
            </w:r>
          </w:p>
        </w:tc>
        <w:tc>
          <w:tcPr>
            <w:tcW w:w="648" w:type="pct"/>
            <w:noWrap w:val="0"/>
            <w:vAlign w:val="center"/>
          </w:tcPr>
          <w:p w14:paraId="69B04C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776" w:type="pct"/>
            <w:noWrap w:val="0"/>
            <w:vAlign w:val="center"/>
          </w:tcPr>
          <w:p w14:paraId="7325BB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0.8459</w:t>
            </w:r>
          </w:p>
        </w:tc>
        <w:tc>
          <w:tcPr>
            <w:tcW w:w="777" w:type="pct"/>
            <w:noWrap w:val="0"/>
            <w:vAlign w:val="center"/>
          </w:tcPr>
          <w:p w14:paraId="250778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776" w:type="pct"/>
            <w:noWrap w:val="0"/>
            <w:vAlign w:val="center"/>
          </w:tcPr>
          <w:p w14:paraId="150379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0.4834</w:t>
            </w:r>
          </w:p>
        </w:tc>
        <w:tc>
          <w:tcPr>
            <w:tcW w:w="777" w:type="pct"/>
            <w:noWrap w:val="0"/>
            <w:vAlign w:val="center"/>
          </w:tcPr>
          <w:p w14:paraId="6D72CC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0.97</w:t>
            </w:r>
          </w:p>
        </w:tc>
      </w:tr>
      <w:tr w14:paraId="46E50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F79CF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3AEF30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22.58</w:t>
            </w:r>
          </w:p>
        </w:tc>
        <w:tc>
          <w:tcPr>
            <w:tcW w:w="648" w:type="pct"/>
            <w:noWrap w:val="0"/>
            <w:vAlign w:val="center"/>
          </w:tcPr>
          <w:p w14:paraId="569520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776" w:type="pct"/>
            <w:noWrap w:val="0"/>
            <w:vAlign w:val="center"/>
          </w:tcPr>
          <w:p w14:paraId="7D13EED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0.8093</w:t>
            </w:r>
          </w:p>
        </w:tc>
        <w:tc>
          <w:tcPr>
            <w:tcW w:w="777" w:type="pct"/>
            <w:noWrap w:val="0"/>
            <w:vAlign w:val="center"/>
          </w:tcPr>
          <w:p w14:paraId="4D7FC49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776" w:type="pct"/>
            <w:noWrap w:val="0"/>
            <w:vAlign w:val="center"/>
          </w:tcPr>
          <w:p w14:paraId="4DF906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0.4625</w:t>
            </w:r>
          </w:p>
        </w:tc>
        <w:tc>
          <w:tcPr>
            <w:tcW w:w="777" w:type="pct"/>
            <w:noWrap w:val="0"/>
            <w:vAlign w:val="center"/>
          </w:tcPr>
          <w:p w14:paraId="2D3D1B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0.92</w:t>
            </w:r>
          </w:p>
        </w:tc>
      </w:tr>
      <w:tr w14:paraId="728226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2CEB3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467ACD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23.41</w:t>
            </w:r>
          </w:p>
        </w:tc>
        <w:tc>
          <w:tcPr>
            <w:tcW w:w="648" w:type="pct"/>
            <w:noWrap w:val="0"/>
            <w:vAlign w:val="center"/>
          </w:tcPr>
          <w:p w14:paraId="4A4EA4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776" w:type="pct"/>
            <w:noWrap w:val="0"/>
            <w:vAlign w:val="center"/>
          </w:tcPr>
          <w:p w14:paraId="5BC58B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0.738</w:t>
            </w:r>
          </w:p>
        </w:tc>
        <w:tc>
          <w:tcPr>
            <w:tcW w:w="777" w:type="pct"/>
            <w:noWrap w:val="0"/>
            <w:vAlign w:val="center"/>
          </w:tcPr>
          <w:p w14:paraId="528707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776" w:type="pct"/>
            <w:noWrap w:val="0"/>
            <w:vAlign w:val="center"/>
          </w:tcPr>
          <w:p w14:paraId="2F1D81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0.4217</w:t>
            </w:r>
          </w:p>
        </w:tc>
        <w:tc>
          <w:tcPr>
            <w:tcW w:w="777" w:type="pct"/>
            <w:noWrap w:val="0"/>
            <w:vAlign w:val="center"/>
          </w:tcPr>
          <w:p w14:paraId="69C4B3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0.84</w:t>
            </w:r>
          </w:p>
        </w:tc>
      </w:tr>
      <w:tr w14:paraId="6B9787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EC2F93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1A8A312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23.66</w:t>
            </w:r>
          </w:p>
        </w:tc>
        <w:tc>
          <w:tcPr>
            <w:tcW w:w="648" w:type="pct"/>
            <w:noWrap w:val="0"/>
            <w:vAlign w:val="center"/>
          </w:tcPr>
          <w:p w14:paraId="7AB1A4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776" w:type="pct"/>
            <w:noWrap w:val="0"/>
            <w:vAlign w:val="center"/>
          </w:tcPr>
          <w:p w14:paraId="7141A4B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0.6754</w:t>
            </w:r>
          </w:p>
        </w:tc>
        <w:tc>
          <w:tcPr>
            <w:tcW w:w="777" w:type="pct"/>
            <w:noWrap w:val="0"/>
            <w:vAlign w:val="center"/>
          </w:tcPr>
          <w:p w14:paraId="6AEEEE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776" w:type="pct"/>
            <w:noWrap w:val="0"/>
            <w:vAlign w:val="center"/>
          </w:tcPr>
          <w:p w14:paraId="4D0D89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0.3859</w:t>
            </w:r>
          </w:p>
        </w:tc>
        <w:tc>
          <w:tcPr>
            <w:tcW w:w="777" w:type="pct"/>
            <w:noWrap w:val="0"/>
            <w:vAlign w:val="center"/>
          </w:tcPr>
          <w:p w14:paraId="1DE829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0.77</w:t>
            </w:r>
          </w:p>
        </w:tc>
      </w:tr>
      <w:tr w14:paraId="1B54D2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14668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32A2CC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21.61</w:t>
            </w:r>
          </w:p>
        </w:tc>
        <w:tc>
          <w:tcPr>
            <w:tcW w:w="648" w:type="pct"/>
            <w:noWrap w:val="0"/>
            <w:vAlign w:val="center"/>
          </w:tcPr>
          <w:p w14:paraId="36DE640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76" w:type="pct"/>
            <w:noWrap w:val="0"/>
            <w:vAlign w:val="center"/>
          </w:tcPr>
          <w:p w14:paraId="6C8256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0.6107</w:t>
            </w:r>
          </w:p>
        </w:tc>
        <w:tc>
          <w:tcPr>
            <w:tcW w:w="777" w:type="pct"/>
            <w:noWrap w:val="0"/>
            <w:vAlign w:val="center"/>
          </w:tcPr>
          <w:p w14:paraId="72E647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776" w:type="pct"/>
            <w:noWrap w:val="0"/>
            <w:vAlign w:val="center"/>
          </w:tcPr>
          <w:p w14:paraId="32169B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0.349</w:t>
            </w:r>
          </w:p>
        </w:tc>
        <w:tc>
          <w:tcPr>
            <w:tcW w:w="777" w:type="pct"/>
            <w:noWrap w:val="0"/>
            <w:vAlign w:val="center"/>
          </w:tcPr>
          <w:p w14:paraId="3BE75B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w:t>
            </w:r>
          </w:p>
        </w:tc>
      </w:tr>
      <w:tr w14:paraId="7536F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76746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392E28A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25.48</w:t>
            </w:r>
          </w:p>
        </w:tc>
        <w:tc>
          <w:tcPr>
            <w:tcW w:w="648" w:type="pct"/>
            <w:noWrap w:val="0"/>
            <w:vAlign w:val="center"/>
          </w:tcPr>
          <w:p w14:paraId="0C51C4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776" w:type="pct"/>
            <w:noWrap w:val="0"/>
            <w:vAlign w:val="center"/>
          </w:tcPr>
          <w:p w14:paraId="2A56EC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0.5795</w:t>
            </w:r>
          </w:p>
        </w:tc>
        <w:tc>
          <w:tcPr>
            <w:tcW w:w="777" w:type="pct"/>
            <w:noWrap w:val="0"/>
            <w:vAlign w:val="center"/>
          </w:tcPr>
          <w:p w14:paraId="3E15ED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776" w:type="pct"/>
            <w:noWrap w:val="0"/>
            <w:vAlign w:val="center"/>
          </w:tcPr>
          <w:p w14:paraId="035482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0.3311</w:t>
            </w:r>
          </w:p>
        </w:tc>
        <w:tc>
          <w:tcPr>
            <w:tcW w:w="777" w:type="pct"/>
            <w:noWrap w:val="0"/>
            <w:vAlign w:val="center"/>
          </w:tcPr>
          <w:p w14:paraId="29C08B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0.66</w:t>
            </w:r>
          </w:p>
        </w:tc>
      </w:tr>
      <w:tr w14:paraId="7AD1D2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59980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783AD2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23.91</w:t>
            </w:r>
          </w:p>
        </w:tc>
        <w:tc>
          <w:tcPr>
            <w:tcW w:w="648" w:type="pct"/>
            <w:noWrap w:val="0"/>
            <w:vAlign w:val="center"/>
          </w:tcPr>
          <w:p w14:paraId="0E30CA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776" w:type="pct"/>
            <w:noWrap w:val="0"/>
            <w:vAlign w:val="center"/>
          </w:tcPr>
          <w:p w14:paraId="2E5E8D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0.5323</w:t>
            </w:r>
          </w:p>
        </w:tc>
        <w:tc>
          <w:tcPr>
            <w:tcW w:w="777" w:type="pct"/>
            <w:noWrap w:val="0"/>
            <w:vAlign w:val="center"/>
          </w:tcPr>
          <w:p w14:paraId="490646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21D4D2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0.3042</w:t>
            </w:r>
          </w:p>
        </w:tc>
        <w:tc>
          <w:tcPr>
            <w:tcW w:w="777" w:type="pct"/>
            <w:noWrap w:val="0"/>
            <w:vAlign w:val="center"/>
          </w:tcPr>
          <w:p w14:paraId="47E89A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0.61</w:t>
            </w:r>
          </w:p>
        </w:tc>
      </w:tr>
      <w:tr w14:paraId="563FF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68B23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633D1B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23.18</w:t>
            </w:r>
          </w:p>
        </w:tc>
        <w:tc>
          <w:tcPr>
            <w:tcW w:w="648" w:type="pct"/>
            <w:noWrap w:val="0"/>
            <w:vAlign w:val="center"/>
          </w:tcPr>
          <w:p w14:paraId="71DCD6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776" w:type="pct"/>
            <w:noWrap w:val="0"/>
            <w:vAlign w:val="center"/>
          </w:tcPr>
          <w:p w14:paraId="0AEB0A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0.4925</w:t>
            </w:r>
          </w:p>
        </w:tc>
        <w:tc>
          <w:tcPr>
            <w:tcW w:w="777" w:type="pct"/>
            <w:noWrap w:val="0"/>
            <w:vAlign w:val="center"/>
          </w:tcPr>
          <w:p w14:paraId="3FBA6B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68798D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0.2814</w:t>
            </w:r>
          </w:p>
        </w:tc>
        <w:tc>
          <w:tcPr>
            <w:tcW w:w="777" w:type="pct"/>
            <w:noWrap w:val="0"/>
            <w:vAlign w:val="center"/>
          </w:tcPr>
          <w:p w14:paraId="596D1B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w:t>
            </w:r>
          </w:p>
        </w:tc>
      </w:tr>
      <w:tr w14:paraId="03D7D4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00304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7C6960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26.28</w:t>
            </w:r>
          </w:p>
        </w:tc>
        <w:tc>
          <w:tcPr>
            <w:tcW w:w="648" w:type="pct"/>
            <w:noWrap w:val="0"/>
            <w:vAlign w:val="center"/>
          </w:tcPr>
          <w:p w14:paraId="231F74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776" w:type="pct"/>
            <w:noWrap w:val="0"/>
            <w:vAlign w:val="center"/>
          </w:tcPr>
          <w:p w14:paraId="4456D0A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0.471</w:t>
            </w:r>
          </w:p>
        </w:tc>
        <w:tc>
          <w:tcPr>
            <w:tcW w:w="777" w:type="pct"/>
            <w:noWrap w:val="0"/>
            <w:vAlign w:val="center"/>
          </w:tcPr>
          <w:p w14:paraId="0E1EA4B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525CA7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0.2691</w:t>
            </w:r>
          </w:p>
        </w:tc>
        <w:tc>
          <w:tcPr>
            <w:tcW w:w="777" w:type="pct"/>
            <w:noWrap w:val="0"/>
            <w:vAlign w:val="center"/>
          </w:tcPr>
          <w:p w14:paraId="101B0A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0.54</w:t>
            </w:r>
          </w:p>
        </w:tc>
      </w:tr>
      <w:tr w14:paraId="6DF559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99E158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566" w:type="pct"/>
            <w:noWrap w:val="0"/>
            <w:vAlign w:val="center"/>
          </w:tcPr>
          <w:p w14:paraId="69CE7D2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25.08</w:t>
            </w:r>
          </w:p>
        </w:tc>
        <w:tc>
          <w:tcPr>
            <w:tcW w:w="648" w:type="pct"/>
            <w:noWrap w:val="0"/>
            <w:vAlign w:val="center"/>
          </w:tcPr>
          <w:p w14:paraId="045CA1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776" w:type="pct"/>
            <w:noWrap w:val="0"/>
            <w:vAlign w:val="center"/>
          </w:tcPr>
          <w:p w14:paraId="5EE3BC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0.438</w:t>
            </w:r>
          </w:p>
        </w:tc>
        <w:tc>
          <w:tcPr>
            <w:tcW w:w="777" w:type="pct"/>
            <w:noWrap w:val="0"/>
            <w:vAlign w:val="center"/>
          </w:tcPr>
          <w:p w14:paraId="7E2E767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776" w:type="pct"/>
            <w:noWrap w:val="0"/>
            <w:vAlign w:val="center"/>
          </w:tcPr>
          <w:p w14:paraId="1A11EF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0.2503</w:t>
            </w:r>
          </w:p>
        </w:tc>
        <w:tc>
          <w:tcPr>
            <w:tcW w:w="777" w:type="pct"/>
            <w:noWrap w:val="0"/>
            <w:vAlign w:val="center"/>
          </w:tcPr>
          <w:p w14:paraId="4FE9D9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w:t>
            </w:r>
          </w:p>
        </w:tc>
      </w:tr>
      <w:tr w14:paraId="4E35EE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F0CE2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1E7D11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24.1</w:t>
            </w:r>
          </w:p>
        </w:tc>
        <w:tc>
          <w:tcPr>
            <w:tcW w:w="648" w:type="pct"/>
            <w:noWrap w:val="0"/>
            <w:vAlign w:val="center"/>
          </w:tcPr>
          <w:p w14:paraId="5FFCC0D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776" w:type="pct"/>
            <w:noWrap w:val="0"/>
            <w:vAlign w:val="center"/>
          </w:tcPr>
          <w:p w14:paraId="0EDA0F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0.4083</w:t>
            </w:r>
          </w:p>
        </w:tc>
        <w:tc>
          <w:tcPr>
            <w:tcW w:w="777" w:type="pct"/>
            <w:noWrap w:val="0"/>
            <w:vAlign w:val="center"/>
          </w:tcPr>
          <w:p w14:paraId="3F0E07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5A7B0A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0.2333</w:t>
            </w:r>
          </w:p>
        </w:tc>
        <w:tc>
          <w:tcPr>
            <w:tcW w:w="777" w:type="pct"/>
            <w:noWrap w:val="0"/>
            <w:vAlign w:val="center"/>
          </w:tcPr>
          <w:p w14:paraId="41F11A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0.47</w:t>
            </w:r>
          </w:p>
        </w:tc>
      </w:tr>
      <w:tr w14:paraId="57302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8ED6B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67F0010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24.64</w:t>
            </w:r>
          </w:p>
        </w:tc>
        <w:tc>
          <w:tcPr>
            <w:tcW w:w="648" w:type="pct"/>
            <w:noWrap w:val="0"/>
            <w:vAlign w:val="center"/>
          </w:tcPr>
          <w:p w14:paraId="15F138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776" w:type="pct"/>
            <w:noWrap w:val="0"/>
            <w:vAlign w:val="center"/>
          </w:tcPr>
          <w:p w14:paraId="612598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0.3866</w:t>
            </w:r>
          </w:p>
        </w:tc>
        <w:tc>
          <w:tcPr>
            <w:tcW w:w="777" w:type="pct"/>
            <w:noWrap w:val="0"/>
            <w:vAlign w:val="center"/>
          </w:tcPr>
          <w:p w14:paraId="0A4BDD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430954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0.2209</w:t>
            </w:r>
          </w:p>
        </w:tc>
        <w:tc>
          <w:tcPr>
            <w:tcW w:w="777" w:type="pct"/>
            <w:noWrap w:val="0"/>
            <w:vAlign w:val="center"/>
          </w:tcPr>
          <w:p w14:paraId="37A835C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0.44</w:t>
            </w:r>
          </w:p>
        </w:tc>
      </w:tr>
      <w:tr w14:paraId="2E64A8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AC937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765D76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25.13</w:t>
            </w:r>
          </w:p>
        </w:tc>
        <w:tc>
          <w:tcPr>
            <w:tcW w:w="648" w:type="pct"/>
            <w:noWrap w:val="0"/>
            <w:vAlign w:val="center"/>
          </w:tcPr>
          <w:p w14:paraId="110722D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776" w:type="pct"/>
            <w:noWrap w:val="0"/>
            <w:vAlign w:val="center"/>
          </w:tcPr>
          <w:p w14:paraId="4707A0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0.3669</w:t>
            </w:r>
          </w:p>
        </w:tc>
        <w:tc>
          <w:tcPr>
            <w:tcW w:w="777" w:type="pct"/>
            <w:noWrap w:val="0"/>
            <w:vAlign w:val="center"/>
          </w:tcPr>
          <w:p w14:paraId="2A01C20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4899DF5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0.2096</w:t>
            </w:r>
          </w:p>
        </w:tc>
        <w:tc>
          <w:tcPr>
            <w:tcW w:w="777" w:type="pct"/>
            <w:noWrap w:val="0"/>
            <w:vAlign w:val="center"/>
          </w:tcPr>
          <w:p w14:paraId="48D66F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0.42</w:t>
            </w:r>
          </w:p>
        </w:tc>
      </w:tr>
      <w:tr w14:paraId="3BE22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6FE98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53935E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26.13</w:t>
            </w:r>
          </w:p>
        </w:tc>
        <w:tc>
          <w:tcPr>
            <w:tcW w:w="648" w:type="pct"/>
            <w:noWrap w:val="0"/>
            <w:vAlign w:val="center"/>
          </w:tcPr>
          <w:p w14:paraId="65EFAB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776" w:type="pct"/>
            <w:noWrap w:val="0"/>
            <w:vAlign w:val="center"/>
          </w:tcPr>
          <w:p w14:paraId="6B782E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0.3504</w:t>
            </w:r>
          </w:p>
        </w:tc>
        <w:tc>
          <w:tcPr>
            <w:tcW w:w="777" w:type="pct"/>
            <w:noWrap w:val="0"/>
            <w:vAlign w:val="center"/>
          </w:tcPr>
          <w:p w14:paraId="1241C1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261C53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0.2002</w:t>
            </w:r>
          </w:p>
        </w:tc>
        <w:tc>
          <w:tcPr>
            <w:tcW w:w="777" w:type="pct"/>
            <w:noWrap w:val="0"/>
            <w:vAlign w:val="center"/>
          </w:tcPr>
          <w:p w14:paraId="16B10B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w:t>
            </w:r>
          </w:p>
        </w:tc>
      </w:tr>
      <w:tr w14:paraId="28009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7128E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3F5CDA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31.37</w:t>
            </w:r>
          </w:p>
        </w:tc>
        <w:tc>
          <w:tcPr>
            <w:tcW w:w="648" w:type="pct"/>
            <w:noWrap w:val="0"/>
            <w:vAlign w:val="center"/>
          </w:tcPr>
          <w:p w14:paraId="0DB0B6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776" w:type="pct"/>
            <w:noWrap w:val="0"/>
            <w:vAlign w:val="center"/>
          </w:tcPr>
          <w:p w14:paraId="619CB5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0.3442</w:t>
            </w:r>
          </w:p>
        </w:tc>
        <w:tc>
          <w:tcPr>
            <w:tcW w:w="777" w:type="pct"/>
            <w:noWrap w:val="0"/>
            <w:vAlign w:val="center"/>
          </w:tcPr>
          <w:p w14:paraId="12530A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76" w:type="pct"/>
            <w:noWrap w:val="0"/>
            <w:vAlign w:val="center"/>
          </w:tcPr>
          <w:p w14:paraId="07219F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0.1967</w:t>
            </w:r>
          </w:p>
        </w:tc>
        <w:tc>
          <w:tcPr>
            <w:tcW w:w="777" w:type="pct"/>
            <w:noWrap w:val="0"/>
            <w:vAlign w:val="center"/>
          </w:tcPr>
          <w:p w14:paraId="13A7D9B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0.39</w:t>
            </w:r>
          </w:p>
        </w:tc>
      </w:tr>
      <w:tr w14:paraId="268BD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44C9851B">
            <w:pPr>
              <w:pStyle w:val="24"/>
              <w:bidi w:val="0"/>
              <w:rPr>
                <w:rFonts w:hint="eastAsia"/>
                <w:color w:val="auto"/>
                <w:u w:val="none" w:color="auto"/>
                <w:lang w:val="en-US" w:eastAsia="zh-CN"/>
              </w:rPr>
            </w:pPr>
            <w:r>
              <w:rPr>
                <w:color w:val="auto"/>
                <w:u w:val="none" w:color="auto"/>
              </w:rPr>
              <w:t>下风向最大质量浓度及占标率</w:t>
            </w:r>
          </w:p>
        </w:tc>
        <w:tc>
          <w:tcPr>
            <w:tcW w:w="776" w:type="pct"/>
            <w:noWrap w:val="0"/>
            <w:vAlign w:val="center"/>
          </w:tcPr>
          <w:p w14:paraId="2D2B5ACC">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8.5067</w:t>
            </w:r>
          </w:p>
        </w:tc>
        <w:tc>
          <w:tcPr>
            <w:tcW w:w="777" w:type="pct"/>
            <w:noWrap w:val="0"/>
            <w:vAlign w:val="center"/>
          </w:tcPr>
          <w:p w14:paraId="5B3EE7FC">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0.71</w:t>
            </w:r>
          </w:p>
        </w:tc>
        <w:tc>
          <w:tcPr>
            <w:tcW w:w="776" w:type="pct"/>
            <w:noWrap w:val="0"/>
            <w:vAlign w:val="center"/>
          </w:tcPr>
          <w:p w14:paraId="27E9ACE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4.861</w:t>
            </w:r>
          </w:p>
        </w:tc>
        <w:tc>
          <w:tcPr>
            <w:tcW w:w="777" w:type="pct"/>
            <w:noWrap w:val="0"/>
            <w:vAlign w:val="center"/>
          </w:tcPr>
          <w:p w14:paraId="7403C2AB">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9.72</w:t>
            </w:r>
          </w:p>
        </w:tc>
      </w:tr>
      <w:tr w14:paraId="08D6D8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3AFF76B2">
            <w:pPr>
              <w:pStyle w:val="24"/>
              <w:bidi w:val="0"/>
              <w:rPr>
                <w:rFonts w:hint="eastAsia"/>
                <w:color w:val="auto"/>
                <w:u w:val="none" w:color="auto"/>
                <w:lang w:val="en-US" w:eastAsia="zh-CN"/>
              </w:rPr>
            </w:pPr>
            <w:r>
              <w:rPr>
                <w:color w:val="auto"/>
                <w:u w:val="none" w:color="auto"/>
              </w:rPr>
              <w:t>D10%最远距离/m</w:t>
            </w:r>
          </w:p>
        </w:tc>
        <w:tc>
          <w:tcPr>
            <w:tcW w:w="776" w:type="pct"/>
            <w:noWrap w:val="0"/>
            <w:vAlign w:val="center"/>
          </w:tcPr>
          <w:p w14:paraId="40056090">
            <w:pPr>
              <w:pStyle w:val="24"/>
              <w:bidi w:val="0"/>
              <w:rPr>
                <w:rFonts w:hint="eastAsia"/>
                <w:color w:val="auto"/>
                <w:u w:val="none" w:color="auto"/>
                <w:lang w:val="en-US" w:eastAsia="zh-CN"/>
              </w:rPr>
            </w:pPr>
            <w:r>
              <w:rPr>
                <w:color w:val="auto"/>
                <w:u w:val="none" w:color="auto"/>
              </w:rPr>
              <w:t>/</w:t>
            </w:r>
          </w:p>
        </w:tc>
        <w:tc>
          <w:tcPr>
            <w:tcW w:w="777" w:type="pct"/>
            <w:noWrap w:val="0"/>
            <w:vAlign w:val="center"/>
          </w:tcPr>
          <w:p w14:paraId="50FC7798">
            <w:pPr>
              <w:pStyle w:val="24"/>
              <w:bidi w:val="0"/>
              <w:rPr>
                <w:color w:val="auto"/>
                <w:u w:val="none" w:color="auto"/>
              </w:rPr>
            </w:pPr>
          </w:p>
        </w:tc>
        <w:tc>
          <w:tcPr>
            <w:tcW w:w="776" w:type="pct"/>
            <w:noWrap w:val="0"/>
            <w:vAlign w:val="center"/>
          </w:tcPr>
          <w:p w14:paraId="41ED681E">
            <w:pPr>
              <w:pStyle w:val="24"/>
              <w:bidi w:val="0"/>
              <w:rPr>
                <w:color w:val="auto"/>
                <w:u w:val="none" w:color="auto"/>
              </w:rPr>
            </w:pPr>
          </w:p>
        </w:tc>
        <w:tc>
          <w:tcPr>
            <w:tcW w:w="777" w:type="pct"/>
            <w:noWrap w:val="0"/>
            <w:vAlign w:val="center"/>
          </w:tcPr>
          <w:p w14:paraId="5F27739D">
            <w:pPr>
              <w:pStyle w:val="24"/>
              <w:bidi w:val="0"/>
              <w:rPr>
                <w:color w:val="auto"/>
                <w:u w:val="none" w:color="auto"/>
              </w:rPr>
            </w:pPr>
          </w:p>
        </w:tc>
      </w:tr>
    </w:tbl>
    <w:p w14:paraId="30CECB5F">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6.2-8</w:t>
      </w:r>
      <w:r>
        <w:rPr>
          <w:rFonts w:hint="default"/>
          <w:color w:val="auto"/>
          <w:u w:val="none" w:color="auto"/>
        </w:rPr>
        <w:t xml:space="preserve"> </w:t>
      </w:r>
      <w:r>
        <w:rPr>
          <w:rFonts w:hint="default"/>
          <w:color w:val="auto"/>
          <w:u w:val="none" w:color="auto"/>
          <w:lang w:eastAsia="zh-CN"/>
        </w:rPr>
        <w:t>有组织废气</w:t>
      </w:r>
      <w:r>
        <w:rPr>
          <w:rFonts w:hint="default"/>
          <w:color w:val="auto"/>
          <w:u w:val="none" w:color="auto"/>
        </w:rPr>
        <w:t>估算模式计算结果表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56"/>
        <w:gridCol w:w="965"/>
        <w:gridCol w:w="1105"/>
        <w:gridCol w:w="1323"/>
        <w:gridCol w:w="1325"/>
        <w:gridCol w:w="1323"/>
        <w:gridCol w:w="1325"/>
      </w:tblGrid>
      <w:tr w14:paraId="3F284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restart"/>
            <w:noWrap w:val="0"/>
            <w:vAlign w:val="center"/>
          </w:tcPr>
          <w:p w14:paraId="76968ACC">
            <w:pPr>
              <w:pStyle w:val="24"/>
              <w:bidi w:val="0"/>
              <w:rPr>
                <w:color w:val="auto"/>
                <w:u w:val="none" w:color="auto"/>
              </w:rPr>
            </w:pPr>
            <w:r>
              <w:rPr>
                <w:rFonts w:hint="eastAsia"/>
                <w:color w:val="auto"/>
                <w:u w:val="none" w:color="auto"/>
              </w:rPr>
              <w:t>方位角(度)</w:t>
            </w:r>
          </w:p>
        </w:tc>
        <w:tc>
          <w:tcPr>
            <w:tcW w:w="566" w:type="pct"/>
            <w:vMerge w:val="restart"/>
            <w:noWrap w:val="0"/>
            <w:vAlign w:val="center"/>
          </w:tcPr>
          <w:p w14:paraId="1F9B0DFA">
            <w:pPr>
              <w:pStyle w:val="24"/>
              <w:bidi w:val="0"/>
              <w:rPr>
                <w:color w:val="auto"/>
                <w:u w:val="none" w:color="auto"/>
              </w:rPr>
            </w:pPr>
            <w:r>
              <w:rPr>
                <w:rFonts w:hint="eastAsia"/>
                <w:color w:val="auto"/>
                <w:u w:val="none" w:color="auto"/>
              </w:rPr>
              <w:t>相对源高(m)</w:t>
            </w:r>
          </w:p>
        </w:tc>
        <w:tc>
          <w:tcPr>
            <w:tcW w:w="648" w:type="pct"/>
            <w:vMerge w:val="restart"/>
            <w:noWrap w:val="0"/>
            <w:vAlign w:val="center"/>
          </w:tcPr>
          <w:p w14:paraId="7B6FAEEA">
            <w:pPr>
              <w:pStyle w:val="24"/>
              <w:bidi w:val="0"/>
              <w:rPr>
                <w:color w:val="auto"/>
                <w:u w:val="none" w:color="auto"/>
              </w:rPr>
            </w:pPr>
            <w:r>
              <w:rPr>
                <w:rFonts w:hint="eastAsia"/>
                <w:color w:val="auto"/>
                <w:u w:val="none" w:color="auto"/>
              </w:rPr>
              <w:t>离源距离(m)</w:t>
            </w:r>
          </w:p>
        </w:tc>
        <w:tc>
          <w:tcPr>
            <w:tcW w:w="3107" w:type="pct"/>
            <w:gridSpan w:val="4"/>
            <w:noWrap w:val="0"/>
            <w:vAlign w:val="center"/>
          </w:tcPr>
          <w:p w14:paraId="3907D549">
            <w:pPr>
              <w:pStyle w:val="24"/>
              <w:bidi w:val="0"/>
              <w:rPr>
                <w:rFonts w:hint="eastAsia"/>
                <w:color w:val="auto"/>
                <w:u w:val="none" w:color="auto"/>
                <w:lang w:val="en-US" w:eastAsia="zh-CN"/>
              </w:rPr>
            </w:pPr>
            <w:r>
              <w:rPr>
                <w:rFonts w:hint="eastAsia"/>
                <w:color w:val="auto"/>
                <w:u w:val="none" w:color="auto"/>
                <w:lang w:val="en-US" w:eastAsia="zh-CN"/>
              </w:rPr>
              <w:t>DA002排气筒</w:t>
            </w:r>
          </w:p>
        </w:tc>
      </w:tr>
      <w:tr w14:paraId="52183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6DEF18B2">
            <w:pPr>
              <w:pStyle w:val="24"/>
              <w:bidi w:val="0"/>
              <w:rPr>
                <w:color w:val="auto"/>
                <w:u w:val="none" w:color="auto"/>
              </w:rPr>
            </w:pPr>
          </w:p>
        </w:tc>
        <w:tc>
          <w:tcPr>
            <w:tcW w:w="566" w:type="pct"/>
            <w:vMerge w:val="continue"/>
            <w:noWrap w:val="0"/>
            <w:vAlign w:val="center"/>
          </w:tcPr>
          <w:p w14:paraId="27B2F865">
            <w:pPr>
              <w:pStyle w:val="24"/>
              <w:bidi w:val="0"/>
              <w:rPr>
                <w:rFonts w:hint="eastAsia"/>
                <w:color w:val="auto"/>
                <w:u w:val="none" w:color="auto"/>
                <w:lang w:eastAsia="zh-CN"/>
              </w:rPr>
            </w:pPr>
          </w:p>
        </w:tc>
        <w:tc>
          <w:tcPr>
            <w:tcW w:w="648" w:type="pct"/>
            <w:vMerge w:val="continue"/>
            <w:noWrap w:val="0"/>
            <w:vAlign w:val="center"/>
          </w:tcPr>
          <w:p w14:paraId="6D00A990">
            <w:pPr>
              <w:pStyle w:val="24"/>
              <w:bidi w:val="0"/>
              <w:rPr>
                <w:rFonts w:hint="eastAsia"/>
                <w:color w:val="auto"/>
                <w:u w:val="none" w:color="auto"/>
                <w:lang w:eastAsia="zh-CN"/>
              </w:rPr>
            </w:pPr>
          </w:p>
        </w:tc>
        <w:tc>
          <w:tcPr>
            <w:tcW w:w="1553" w:type="pct"/>
            <w:gridSpan w:val="2"/>
            <w:noWrap w:val="0"/>
            <w:vAlign w:val="center"/>
          </w:tcPr>
          <w:p w14:paraId="0F5CA545">
            <w:pPr>
              <w:pStyle w:val="24"/>
              <w:bidi w:val="0"/>
              <w:rPr>
                <w:rFonts w:hint="eastAsia"/>
                <w:color w:val="auto"/>
                <w:u w:val="none" w:color="auto"/>
                <w:lang w:eastAsia="zh-CN"/>
              </w:rPr>
            </w:pPr>
            <w:r>
              <w:rPr>
                <w:rFonts w:hint="eastAsia"/>
                <w:color w:val="auto"/>
                <w:u w:val="none" w:color="auto"/>
                <w:lang w:val="en-US" w:eastAsia="zh-CN"/>
              </w:rPr>
              <w:t>TVOC</w:t>
            </w:r>
          </w:p>
        </w:tc>
        <w:tc>
          <w:tcPr>
            <w:tcW w:w="1553" w:type="pct"/>
            <w:gridSpan w:val="2"/>
            <w:noWrap w:val="0"/>
            <w:vAlign w:val="center"/>
          </w:tcPr>
          <w:p w14:paraId="4874EA2B">
            <w:pPr>
              <w:pStyle w:val="24"/>
              <w:bidi w:val="0"/>
              <w:rPr>
                <w:rFonts w:hint="default"/>
                <w:color w:val="auto"/>
                <w:u w:val="none" w:color="auto"/>
                <w:lang w:val="en-US" w:eastAsia="zh-CN"/>
              </w:rPr>
            </w:pPr>
            <w:r>
              <w:rPr>
                <w:rFonts w:hint="eastAsia"/>
                <w:color w:val="auto"/>
                <w:u w:val="none" w:color="auto"/>
                <w:lang w:val="en-US" w:eastAsia="zh-CN"/>
              </w:rPr>
              <w:t>二甲苯</w:t>
            </w:r>
          </w:p>
        </w:tc>
      </w:tr>
      <w:tr w14:paraId="601389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vMerge w:val="continue"/>
            <w:noWrap w:val="0"/>
            <w:vAlign w:val="center"/>
          </w:tcPr>
          <w:p w14:paraId="1187DE7C">
            <w:pPr>
              <w:pStyle w:val="24"/>
              <w:bidi w:val="0"/>
              <w:rPr>
                <w:color w:val="auto"/>
                <w:u w:val="none" w:color="auto"/>
              </w:rPr>
            </w:pPr>
          </w:p>
        </w:tc>
        <w:tc>
          <w:tcPr>
            <w:tcW w:w="566" w:type="pct"/>
            <w:vMerge w:val="continue"/>
            <w:noWrap w:val="0"/>
            <w:vAlign w:val="center"/>
          </w:tcPr>
          <w:p w14:paraId="13BE7359">
            <w:pPr>
              <w:pStyle w:val="24"/>
              <w:bidi w:val="0"/>
              <w:rPr>
                <w:color w:val="auto"/>
                <w:u w:val="none" w:color="auto"/>
              </w:rPr>
            </w:pPr>
          </w:p>
        </w:tc>
        <w:tc>
          <w:tcPr>
            <w:tcW w:w="648" w:type="pct"/>
            <w:vMerge w:val="continue"/>
            <w:noWrap w:val="0"/>
            <w:vAlign w:val="center"/>
          </w:tcPr>
          <w:p w14:paraId="216DA53A">
            <w:pPr>
              <w:pStyle w:val="24"/>
              <w:bidi w:val="0"/>
              <w:rPr>
                <w:color w:val="auto"/>
                <w:u w:val="none" w:color="auto"/>
              </w:rPr>
            </w:pPr>
          </w:p>
        </w:tc>
        <w:tc>
          <w:tcPr>
            <w:tcW w:w="776" w:type="pct"/>
            <w:noWrap w:val="0"/>
            <w:vAlign w:val="center"/>
          </w:tcPr>
          <w:p w14:paraId="0FF8665D">
            <w:pPr>
              <w:pStyle w:val="24"/>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4995C5FF">
            <w:pPr>
              <w:pStyle w:val="24"/>
              <w:bidi w:val="0"/>
              <w:rPr>
                <w:color w:val="auto"/>
                <w:u w:val="none" w:color="auto"/>
              </w:rPr>
            </w:pPr>
            <w:r>
              <w:rPr>
                <w:color w:val="auto"/>
                <w:u w:val="none" w:color="auto"/>
              </w:rPr>
              <w:t>占标率%</w:t>
            </w:r>
          </w:p>
        </w:tc>
        <w:tc>
          <w:tcPr>
            <w:tcW w:w="776" w:type="pct"/>
            <w:noWrap w:val="0"/>
            <w:vAlign w:val="center"/>
          </w:tcPr>
          <w:p w14:paraId="1A3C3508">
            <w:pPr>
              <w:pStyle w:val="24"/>
              <w:bidi w:val="0"/>
              <w:rPr>
                <w:color w:val="auto"/>
                <w:u w:val="none" w:color="auto"/>
              </w:rPr>
            </w:pPr>
            <w:r>
              <w:rPr>
                <w:color w:val="auto"/>
                <w:u w:val="none" w:color="auto"/>
              </w:rPr>
              <w:t>预测质量浓度μg/m</w:t>
            </w:r>
            <w:r>
              <w:rPr>
                <w:color w:val="auto"/>
                <w:u w:val="none" w:color="auto"/>
                <w:vertAlign w:val="superscript"/>
              </w:rPr>
              <w:t>3</w:t>
            </w:r>
          </w:p>
        </w:tc>
        <w:tc>
          <w:tcPr>
            <w:tcW w:w="777" w:type="pct"/>
            <w:noWrap w:val="0"/>
            <w:vAlign w:val="center"/>
          </w:tcPr>
          <w:p w14:paraId="4681C9E2">
            <w:pPr>
              <w:pStyle w:val="24"/>
              <w:bidi w:val="0"/>
              <w:rPr>
                <w:color w:val="auto"/>
                <w:u w:val="none" w:color="auto"/>
                <w:lang w:val="en-US" w:eastAsia="zh-CN"/>
              </w:rPr>
            </w:pPr>
            <w:r>
              <w:rPr>
                <w:color w:val="auto"/>
                <w:u w:val="none" w:color="auto"/>
              </w:rPr>
              <w:t>占标率%</w:t>
            </w:r>
          </w:p>
        </w:tc>
      </w:tr>
      <w:tr w14:paraId="40FF32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CD7DD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w:t>
            </w:r>
          </w:p>
        </w:tc>
        <w:tc>
          <w:tcPr>
            <w:tcW w:w="566" w:type="pct"/>
            <w:noWrap w:val="0"/>
            <w:vAlign w:val="center"/>
          </w:tcPr>
          <w:p w14:paraId="2A9B5A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0.52</w:t>
            </w:r>
          </w:p>
        </w:tc>
        <w:tc>
          <w:tcPr>
            <w:tcW w:w="648" w:type="pct"/>
            <w:noWrap w:val="0"/>
            <w:vAlign w:val="center"/>
          </w:tcPr>
          <w:p w14:paraId="231ABD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776" w:type="pct"/>
            <w:noWrap w:val="0"/>
            <w:vAlign w:val="center"/>
          </w:tcPr>
          <w:p w14:paraId="32114D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0.0099</w:t>
            </w:r>
          </w:p>
        </w:tc>
        <w:tc>
          <w:tcPr>
            <w:tcW w:w="777" w:type="pct"/>
            <w:noWrap w:val="0"/>
            <w:vAlign w:val="center"/>
          </w:tcPr>
          <w:p w14:paraId="1BBDDE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776" w:type="pct"/>
            <w:noWrap w:val="0"/>
            <w:vAlign w:val="center"/>
          </w:tcPr>
          <w:p w14:paraId="4A8D12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0.0009</w:t>
            </w:r>
          </w:p>
        </w:tc>
        <w:tc>
          <w:tcPr>
            <w:tcW w:w="777" w:type="pct"/>
            <w:noWrap w:val="0"/>
            <w:vAlign w:val="center"/>
          </w:tcPr>
          <w:p w14:paraId="1966DB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r>
      <w:tr w14:paraId="1FA50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8A4D66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35B53C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3.24</w:t>
            </w:r>
          </w:p>
        </w:tc>
        <w:tc>
          <w:tcPr>
            <w:tcW w:w="648" w:type="pct"/>
            <w:noWrap w:val="0"/>
            <w:vAlign w:val="center"/>
          </w:tcPr>
          <w:p w14:paraId="2810D2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776" w:type="pct"/>
            <w:noWrap w:val="0"/>
            <w:vAlign w:val="center"/>
          </w:tcPr>
          <w:p w14:paraId="52FA9DC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17.545</w:t>
            </w:r>
          </w:p>
        </w:tc>
        <w:tc>
          <w:tcPr>
            <w:tcW w:w="777" w:type="pct"/>
            <w:noWrap w:val="0"/>
            <w:vAlign w:val="center"/>
          </w:tcPr>
          <w:p w14:paraId="015D4B5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1.46</w:t>
            </w:r>
          </w:p>
        </w:tc>
        <w:tc>
          <w:tcPr>
            <w:tcW w:w="776" w:type="pct"/>
            <w:noWrap w:val="0"/>
            <w:vAlign w:val="center"/>
          </w:tcPr>
          <w:p w14:paraId="5F4685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1.5296</w:t>
            </w:r>
          </w:p>
        </w:tc>
        <w:tc>
          <w:tcPr>
            <w:tcW w:w="777" w:type="pct"/>
            <w:noWrap w:val="0"/>
            <w:vAlign w:val="center"/>
          </w:tcPr>
          <w:p w14:paraId="157CBF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0.76</w:t>
            </w:r>
          </w:p>
        </w:tc>
      </w:tr>
      <w:tr w14:paraId="1052A6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0A76A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632296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8.99</w:t>
            </w:r>
          </w:p>
        </w:tc>
        <w:tc>
          <w:tcPr>
            <w:tcW w:w="648" w:type="pct"/>
            <w:noWrap w:val="0"/>
            <w:vAlign w:val="center"/>
          </w:tcPr>
          <w:p w14:paraId="277EDB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96</w:t>
            </w:r>
          </w:p>
        </w:tc>
        <w:tc>
          <w:tcPr>
            <w:tcW w:w="776" w:type="pct"/>
            <w:noWrap w:val="0"/>
            <w:vAlign w:val="center"/>
          </w:tcPr>
          <w:p w14:paraId="23670E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31.583</w:t>
            </w:r>
          </w:p>
        </w:tc>
        <w:tc>
          <w:tcPr>
            <w:tcW w:w="777" w:type="pct"/>
            <w:noWrap w:val="0"/>
            <w:vAlign w:val="center"/>
          </w:tcPr>
          <w:p w14:paraId="5A628B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776" w:type="pct"/>
            <w:noWrap w:val="0"/>
            <w:vAlign w:val="center"/>
          </w:tcPr>
          <w:p w14:paraId="6E8BB0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2.7534</w:t>
            </w:r>
          </w:p>
        </w:tc>
        <w:tc>
          <w:tcPr>
            <w:tcW w:w="777" w:type="pct"/>
            <w:noWrap w:val="0"/>
            <w:vAlign w:val="center"/>
          </w:tcPr>
          <w:p w14:paraId="68D0E7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1.38</w:t>
            </w:r>
          </w:p>
        </w:tc>
      </w:tr>
      <w:tr w14:paraId="27A25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2D556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083240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9.52</w:t>
            </w:r>
          </w:p>
        </w:tc>
        <w:tc>
          <w:tcPr>
            <w:tcW w:w="648" w:type="pct"/>
            <w:noWrap w:val="0"/>
            <w:vAlign w:val="center"/>
          </w:tcPr>
          <w:p w14:paraId="367D0E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776" w:type="pct"/>
            <w:noWrap w:val="0"/>
            <w:vAlign w:val="center"/>
          </w:tcPr>
          <w:p w14:paraId="6C44718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31.549</w:t>
            </w:r>
          </w:p>
        </w:tc>
        <w:tc>
          <w:tcPr>
            <w:tcW w:w="777" w:type="pct"/>
            <w:noWrap w:val="0"/>
            <w:vAlign w:val="center"/>
          </w:tcPr>
          <w:p w14:paraId="445874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2.63</w:t>
            </w:r>
          </w:p>
        </w:tc>
        <w:tc>
          <w:tcPr>
            <w:tcW w:w="776" w:type="pct"/>
            <w:noWrap w:val="0"/>
            <w:vAlign w:val="center"/>
          </w:tcPr>
          <w:p w14:paraId="5A46480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2.7504</w:t>
            </w:r>
          </w:p>
        </w:tc>
        <w:tc>
          <w:tcPr>
            <w:tcW w:w="777" w:type="pct"/>
            <w:noWrap w:val="0"/>
            <w:vAlign w:val="center"/>
          </w:tcPr>
          <w:p w14:paraId="743CCD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1.38</w:t>
            </w:r>
          </w:p>
        </w:tc>
      </w:tr>
      <w:tr w14:paraId="5FE566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D43B5D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260</w:t>
            </w:r>
          </w:p>
        </w:tc>
        <w:tc>
          <w:tcPr>
            <w:tcW w:w="566" w:type="pct"/>
            <w:noWrap w:val="0"/>
            <w:vAlign w:val="center"/>
          </w:tcPr>
          <w:p w14:paraId="130D86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16.23</w:t>
            </w:r>
          </w:p>
        </w:tc>
        <w:tc>
          <w:tcPr>
            <w:tcW w:w="648" w:type="pct"/>
            <w:noWrap w:val="0"/>
            <w:vAlign w:val="center"/>
          </w:tcPr>
          <w:p w14:paraId="74B736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776" w:type="pct"/>
            <w:noWrap w:val="0"/>
            <w:vAlign w:val="center"/>
          </w:tcPr>
          <w:p w14:paraId="477B89B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20.174</w:t>
            </w:r>
          </w:p>
        </w:tc>
        <w:tc>
          <w:tcPr>
            <w:tcW w:w="777" w:type="pct"/>
            <w:noWrap w:val="0"/>
            <w:vAlign w:val="center"/>
          </w:tcPr>
          <w:p w14:paraId="18B848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1.68</w:t>
            </w:r>
          </w:p>
        </w:tc>
        <w:tc>
          <w:tcPr>
            <w:tcW w:w="776" w:type="pct"/>
            <w:noWrap w:val="0"/>
            <w:vAlign w:val="center"/>
          </w:tcPr>
          <w:p w14:paraId="75188C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1.7588</w:t>
            </w:r>
          </w:p>
        </w:tc>
        <w:tc>
          <w:tcPr>
            <w:tcW w:w="777" w:type="pct"/>
            <w:noWrap w:val="0"/>
            <w:vAlign w:val="center"/>
          </w:tcPr>
          <w:p w14:paraId="49670F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0.88</w:t>
            </w:r>
          </w:p>
        </w:tc>
      </w:tr>
      <w:tr w14:paraId="57B6B2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9E8A6F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w:t>
            </w:r>
          </w:p>
        </w:tc>
        <w:tc>
          <w:tcPr>
            <w:tcW w:w="566" w:type="pct"/>
            <w:noWrap w:val="0"/>
            <w:vAlign w:val="center"/>
          </w:tcPr>
          <w:p w14:paraId="12C8E2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16.57</w:t>
            </w:r>
          </w:p>
        </w:tc>
        <w:tc>
          <w:tcPr>
            <w:tcW w:w="648" w:type="pct"/>
            <w:noWrap w:val="0"/>
            <w:vAlign w:val="center"/>
          </w:tcPr>
          <w:p w14:paraId="7F4261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776" w:type="pct"/>
            <w:noWrap w:val="0"/>
            <w:vAlign w:val="center"/>
          </w:tcPr>
          <w:p w14:paraId="29935E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13.723</w:t>
            </w:r>
          </w:p>
        </w:tc>
        <w:tc>
          <w:tcPr>
            <w:tcW w:w="777" w:type="pct"/>
            <w:noWrap w:val="0"/>
            <w:vAlign w:val="center"/>
          </w:tcPr>
          <w:p w14:paraId="48B0E5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1.14</w:t>
            </w:r>
          </w:p>
        </w:tc>
        <w:tc>
          <w:tcPr>
            <w:tcW w:w="776" w:type="pct"/>
            <w:noWrap w:val="0"/>
            <w:vAlign w:val="center"/>
          </w:tcPr>
          <w:p w14:paraId="0D4008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1.1964</w:t>
            </w:r>
          </w:p>
        </w:tc>
        <w:tc>
          <w:tcPr>
            <w:tcW w:w="777" w:type="pct"/>
            <w:noWrap w:val="0"/>
            <w:vAlign w:val="center"/>
          </w:tcPr>
          <w:p w14:paraId="2BABC3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w:t>
            </w:r>
          </w:p>
        </w:tc>
      </w:tr>
      <w:tr w14:paraId="0AE30B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DAE677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319DFE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16.53</w:t>
            </w:r>
          </w:p>
        </w:tc>
        <w:tc>
          <w:tcPr>
            <w:tcW w:w="648" w:type="pct"/>
            <w:noWrap w:val="0"/>
            <w:vAlign w:val="center"/>
          </w:tcPr>
          <w:p w14:paraId="0F41BD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776" w:type="pct"/>
            <w:noWrap w:val="0"/>
            <w:vAlign w:val="center"/>
          </w:tcPr>
          <w:p w14:paraId="1D93781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10.229</w:t>
            </w:r>
          </w:p>
        </w:tc>
        <w:tc>
          <w:tcPr>
            <w:tcW w:w="777" w:type="pct"/>
            <w:noWrap w:val="0"/>
            <w:vAlign w:val="center"/>
          </w:tcPr>
          <w:p w14:paraId="4D6140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0.85</w:t>
            </w:r>
          </w:p>
        </w:tc>
        <w:tc>
          <w:tcPr>
            <w:tcW w:w="776" w:type="pct"/>
            <w:noWrap w:val="0"/>
            <w:vAlign w:val="center"/>
          </w:tcPr>
          <w:p w14:paraId="3CA61C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0.8918</w:t>
            </w:r>
          </w:p>
        </w:tc>
        <w:tc>
          <w:tcPr>
            <w:tcW w:w="777" w:type="pct"/>
            <w:noWrap w:val="0"/>
            <w:vAlign w:val="center"/>
          </w:tcPr>
          <w:p w14:paraId="6B25DE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0.45</w:t>
            </w:r>
          </w:p>
        </w:tc>
      </w:tr>
      <w:tr w14:paraId="40500D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D7D09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791145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15.76</w:t>
            </w:r>
          </w:p>
        </w:tc>
        <w:tc>
          <w:tcPr>
            <w:tcW w:w="648" w:type="pct"/>
            <w:noWrap w:val="0"/>
            <w:vAlign w:val="center"/>
          </w:tcPr>
          <w:p w14:paraId="0D0812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776" w:type="pct"/>
            <w:noWrap w:val="0"/>
            <w:vAlign w:val="center"/>
          </w:tcPr>
          <w:p w14:paraId="329432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8.0045</w:t>
            </w:r>
          </w:p>
        </w:tc>
        <w:tc>
          <w:tcPr>
            <w:tcW w:w="777" w:type="pct"/>
            <w:noWrap w:val="0"/>
            <w:vAlign w:val="center"/>
          </w:tcPr>
          <w:p w14:paraId="51A146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0.67</w:t>
            </w:r>
          </w:p>
        </w:tc>
        <w:tc>
          <w:tcPr>
            <w:tcW w:w="776" w:type="pct"/>
            <w:noWrap w:val="0"/>
            <w:vAlign w:val="center"/>
          </w:tcPr>
          <w:p w14:paraId="5F3A01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0.6978</w:t>
            </w:r>
          </w:p>
        </w:tc>
        <w:tc>
          <w:tcPr>
            <w:tcW w:w="777" w:type="pct"/>
            <w:noWrap w:val="0"/>
            <w:vAlign w:val="center"/>
          </w:tcPr>
          <w:p w14:paraId="41068F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0.35</w:t>
            </w:r>
          </w:p>
        </w:tc>
      </w:tr>
      <w:tr w14:paraId="7A7BA5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C4810F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0BE8C6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15.99</w:t>
            </w:r>
          </w:p>
        </w:tc>
        <w:tc>
          <w:tcPr>
            <w:tcW w:w="648" w:type="pct"/>
            <w:noWrap w:val="0"/>
            <w:vAlign w:val="center"/>
          </w:tcPr>
          <w:p w14:paraId="4867CFA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776" w:type="pct"/>
            <w:noWrap w:val="0"/>
            <w:vAlign w:val="center"/>
          </w:tcPr>
          <w:p w14:paraId="382877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6.517</w:t>
            </w:r>
          </w:p>
        </w:tc>
        <w:tc>
          <w:tcPr>
            <w:tcW w:w="777" w:type="pct"/>
            <w:noWrap w:val="0"/>
            <w:vAlign w:val="center"/>
          </w:tcPr>
          <w:p w14:paraId="40D864B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0.54</w:t>
            </w:r>
          </w:p>
        </w:tc>
        <w:tc>
          <w:tcPr>
            <w:tcW w:w="776" w:type="pct"/>
            <w:noWrap w:val="0"/>
            <w:vAlign w:val="center"/>
          </w:tcPr>
          <w:p w14:paraId="4C052D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0.5681</w:t>
            </w:r>
          </w:p>
        </w:tc>
        <w:tc>
          <w:tcPr>
            <w:tcW w:w="777" w:type="pct"/>
            <w:noWrap w:val="0"/>
            <w:vAlign w:val="center"/>
          </w:tcPr>
          <w:p w14:paraId="4956E9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w:t>
            </w:r>
          </w:p>
        </w:tc>
      </w:tr>
      <w:tr w14:paraId="6ED40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EA28B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566" w:type="pct"/>
            <w:noWrap w:val="0"/>
            <w:vAlign w:val="center"/>
          </w:tcPr>
          <w:p w14:paraId="564BA4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648" w:type="pct"/>
            <w:noWrap w:val="0"/>
            <w:vAlign w:val="center"/>
          </w:tcPr>
          <w:p w14:paraId="434214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776" w:type="pct"/>
            <w:noWrap w:val="0"/>
            <w:vAlign w:val="center"/>
          </w:tcPr>
          <w:p w14:paraId="6944861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5.5316</w:t>
            </w:r>
          </w:p>
        </w:tc>
        <w:tc>
          <w:tcPr>
            <w:tcW w:w="777" w:type="pct"/>
            <w:noWrap w:val="0"/>
            <w:vAlign w:val="center"/>
          </w:tcPr>
          <w:p w14:paraId="1CB1B0E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0.46</w:t>
            </w:r>
          </w:p>
        </w:tc>
        <w:tc>
          <w:tcPr>
            <w:tcW w:w="776" w:type="pct"/>
            <w:noWrap w:val="0"/>
            <w:vAlign w:val="center"/>
          </w:tcPr>
          <w:p w14:paraId="0AD38F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0.4822</w:t>
            </w:r>
          </w:p>
        </w:tc>
        <w:tc>
          <w:tcPr>
            <w:tcW w:w="777" w:type="pct"/>
            <w:noWrap w:val="0"/>
            <w:vAlign w:val="center"/>
          </w:tcPr>
          <w:p w14:paraId="51DBF6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0.24</w:t>
            </w:r>
          </w:p>
        </w:tc>
      </w:tr>
      <w:tr w14:paraId="42AB7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92208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w:t>
            </w:r>
          </w:p>
        </w:tc>
        <w:tc>
          <w:tcPr>
            <w:tcW w:w="566" w:type="pct"/>
            <w:noWrap w:val="0"/>
            <w:vAlign w:val="center"/>
          </w:tcPr>
          <w:p w14:paraId="2AA2DD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19.32</w:t>
            </w:r>
          </w:p>
        </w:tc>
        <w:tc>
          <w:tcPr>
            <w:tcW w:w="648" w:type="pct"/>
            <w:noWrap w:val="0"/>
            <w:vAlign w:val="center"/>
          </w:tcPr>
          <w:p w14:paraId="2BB9F4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776" w:type="pct"/>
            <w:noWrap w:val="0"/>
            <w:vAlign w:val="center"/>
          </w:tcPr>
          <w:p w14:paraId="5C0948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4.774</w:t>
            </w:r>
          </w:p>
        </w:tc>
        <w:tc>
          <w:tcPr>
            <w:tcW w:w="777" w:type="pct"/>
            <w:noWrap w:val="0"/>
            <w:vAlign w:val="center"/>
          </w:tcPr>
          <w:p w14:paraId="484B58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w:t>
            </w:r>
          </w:p>
        </w:tc>
        <w:tc>
          <w:tcPr>
            <w:tcW w:w="776" w:type="pct"/>
            <w:noWrap w:val="0"/>
            <w:vAlign w:val="center"/>
          </w:tcPr>
          <w:p w14:paraId="55A92F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0.4162</w:t>
            </w:r>
          </w:p>
        </w:tc>
        <w:tc>
          <w:tcPr>
            <w:tcW w:w="777" w:type="pct"/>
            <w:noWrap w:val="0"/>
            <w:vAlign w:val="center"/>
          </w:tcPr>
          <w:p w14:paraId="7E670E4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w:t>
            </w:r>
          </w:p>
        </w:tc>
      </w:tr>
      <w:tr w14:paraId="5ED52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8A916E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0A920C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21.4</w:t>
            </w:r>
          </w:p>
        </w:tc>
        <w:tc>
          <w:tcPr>
            <w:tcW w:w="648" w:type="pct"/>
            <w:noWrap w:val="0"/>
            <w:vAlign w:val="center"/>
          </w:tcPr>
          <w:p w14:paraId="41031E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776" w:type="pct"/>
            <w:noWrap w:val="0"/>
            <w:vAlign w:val="center"/>
          </w:tcPr>
          <w:p w14:paraId="3DB2A3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4.2044</w:t>
            </w:r>
          </w:p>
        </w:tc>
        <w:tc>
          <w:tcPr>
            <w:tcW w:w="777" w:type="pct"/>
            <w:noWrap w:val="0"/>
            <w:vAlign w:val="center"/>
          </w:tcPr>
          <w:p w14:paraId="00606B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0.35</w:t>
            </w:r>
          </w:p>
        </w:tc>
        <w:tc>
          <w:tcPr>
            <w:tcW w:w="776" w:type="pct"/>
            <w:noWrap w:val="0"/>
            <w:vAlign w:val="center"/>
          </w:tcPr>
          <w:p w14:paraId="218BC9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0.3665</w:t>
            </w:r>
          </w:p>
        </w:tc>
        <w:tc>
          <w:tcPr>
            <w:tcW w:w="777" w:type="pct"/>
            <w:noWrap w:val="0"/>
            <w:vAlign w:val="center"/>
          </w:tcPr>
          <w:p w14:paraId="79B4CE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w:t>
            </w:r>
          </w:p>
        </w:tc>
      </w:tr>
      <w:tr w14:paraId="05DCCC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56D3A0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723862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19.43</w:t>
            </w:r>
          </w:p>
        </w:tc>
        <w:tc>
          <w:tcPr>
            <w:tcW w:w="648" w:type="pct"/>
            <w:noWrap w:val="0"/>
            <w:vAlign w:val="center"/>
          </w:tcPr>
          <w:p w14:paraId="6D6415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776" w:type="pct"/>
            <w:noWrap w:val="0"/>
            <w:vAlign w:val="center"/>
          </w:tcPr>
          <w:p w14:paraId="21A0ECA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3.6625</w:t>
            </w:r>
          </w:p>
        </w:tc>
        <w:tc>
          <w:tcPr>
            <w:tcW w:w="777" w:type="pct"/>
            <w:noWrap w:val="0"/>
            <w:vAlign w:val="center"/>
          </w:tcPr>
          <w:p w14:paraId="56E8DFD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w:t>
            </w:r>
          </w:p>
        </w:tc>
        <w:tc>
          <w:tcPr>
            <w:tcW w:w="776" w:type="pct"/>
            <w:noWrap w:val="0"/>
            <w:vAlign w:val="center"/>
          </w:tcPr>
          <w:p w14:paraId="2EC7BD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0.3193</w:t>
            </w:r>
          </w:p>
        </w:tc>
        <w:tc>
          <w:tcPr>
            <w:tcW w:w="777" w:type="pct"/>
            <w:noWrap w:val="0"/>
            <w:vAlign w:val="center"/>
          </w:tcPr>
          <w:p w14:paraId="2E5BD9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r>
      <w:tr w14:paraId="6039B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104C2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24DDCF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16.38</w:t>
            </w:r>
          </w:p>
        </w:tc>
        <w:tc>
          <w:tcPr>
            <w:tcW w:w="648" w:type="pct"/>
            <w:noWrap w:val="0"/>
            <w:vAlign w:val="center"/>
          </w:tcPr>
          <w:p w14:paraId="733E54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776" w:type="pct"/>
            <w:noWrap w:val="0"/>
            <w:vAlign w:val="center"/>
          </w:tcPr>
          <w:p w14:paraId="01A110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3.1407</w:t>
            </w:r>
          </w:p>
        </w:tc>
        <w:tc>
          <w:tcPr>
            <w:tcW w:w="777" w:type="pct"/>
            <w:noWrap w:val="0"/>
            <w:vAlign w:val="center"/>
          </w:tcPr>
          <w:p w14:paraId="5A4507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w:t>
            </w:r>
          </w:p>
        </w:tc>
        <w:tc>
          <w:tcPr>
            <w:tcW w:w="776" w:type="pct"/>
            <w:noWrap w:val="0"/>
            <w:vAlign w:val="center"/>
          </w:tcPr>
          <w:p w14:paraId="33F386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0.2738</w:t>
            </w:r>
          </w:p>
        </w:tc>
        <w:tc>
          <w:tcPr>
            <w:tcW w:w="777" w:type="pct"/>
            <w:noWrap w:val="0"/>
            <w:vAlign w:val="center"/>
          </w:tcPr>
          <w:p w14:paraId="0C0B05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r>
      <w:tr w14:paraId="52E0FE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70571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414E35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22.58</w:t>
            </w:r>
          </w:p>
        </w:tc>
        <w:tc>
          <w:tcPr>
            <w:tcW w:w="648" w:type="pct"/>
            <w:noWrap w:val="0"/>
            <w:vAlign w:val="center"/>
          </w:tcPr>
          <w:p w14:paraId="2D36799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776" w:type="pct"/>
            <w:noWrap w:val="0"/>
            <w:vAlign w:val="center"/>
          </w:tcPr>
          <w:p w14:paraId="22E0D3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3.0048</w:t>
            </w:r>
          </w:p>
        </w:tc>
        <w:tc>
          <w:tcPr>
            <w:tcW w:w="777" w:type="pct"/>
            <w:noWrap w:val="0"/>
            <w:vAlign w:val="center"/>
          </w:tcPr>
          <w:p w14:paraId="6A945E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776" w:type="pct"/>
            <w:noWrap w:val="0"/>
            <w:vAlign w:val="center"/>
          </w:tcPr>
          <w:p w14:paraId="789543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0.262</w:t>
            </w:r>
          </w:p>
        </w:tc>
        <w:tc>
          <w:tcPr>
            <w:tcW w:w="777" w:type="pct"/>
            <w:noWrap w:val="0"/>
            <w:vAlign w:val="center"/>
          </w:tcPr>
          <w:p w14:paraId="14961F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r>
      <w:tr w14:paraId="4E73A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14F70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5B4A0B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23.41</w:t>
            </w:r>
          </w:p>
        </w:tc>
        <w:tc>
          <w:tcPr>
            <w:tcW w:w="648" w:type="pct"/>
            <w:noWrap w:val="0"/>
            <w:vAlign w:val="center"/>
          </w:tcPr>
          <w:p w14:paraId="188E36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776" w:type="pct"/>
            <w:noWrap w:val="0"/>
            <w:vAlign w:val="center"/>
          </w:tcPr>
          <w:p w14:paraId="3510BF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2.7401</w:t>
            </w:r>
          </w:p>
        </w:tc>
        <w:tc>
          <w:tcPr>
            <w:tcW w:w="777" w:type="pct"/>
            <w:noWrap w:val="0"/>
            <w:vAlign w:val="center"/>
          </w:tcPr>
          <w:p w14:paraId="4AD213E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776" w:type="pct"/>
            <w:noWrap w:val="0"/>
            <w:vAlign w:val="center"/>
          </w:tcPr>
          <w:p w14:paraId="0C42DB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0.2389</w:t>
            </w:r>
          </w:p>
        </w:tc>
        <w:tc>
          <w:tcPr>
            <w:tcW w:w="777" w:type="pct"/>
            <w:noWrap w:val="0"/>
            <w:vAlign w:val="center"/>
          </w:tcPr>
          <w:p w14:paraId="79B0F4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r>
      <w:tr w14:paraId="7723E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B76A6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7D123F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23.66</w:t>
            </w:r>
          </w:p>
        </w:tc>
        <w:tc>
          <w:tcPr>
            <w:tcW w:w="648" w:type="pct"/>
            <w:noWrap w:val="0"/>
            <w:vAlign w:val="center"/>
          </w:tcPr>
          <w:p w14:paraId="571EA4A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776" w:type="pct"/>
            <w:noWrap w:val="0"/>
            <w:vAlign w:val="center"/>
          </w:tcPr>
          <w:p w14:paraId="3AC2D7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2.5076</w:t>
            </w:r>
          </w:p>
        </w:tc>
        <w:tc>
          <w:tcPr>
            <w:tcW w:w="777" w:type="pct"/>
            <w:noWrap w:val="0"/>
            <w:vAlign w:val="center"/>
          </w:tcPr>
          <w:p w14:paraId="47847A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776" w:type="pct"/>
            <w:noWrap w:val="0"/>
            <w:vAlign w:val="center"/>
          </w:tcPr>
          <w:p w14:paraId="36F7FA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0.2186</w:t>
            </w:r>
          </w:p>
        </w:tc>
        <w:tc>
          <w:tcPr>
            <w:tcW w:w="777" w:type="pct"/>
            <w:noWrap w:val="0"/>
            <w:vAlign w:val="center"/>
          </w:tcPr>
          <w:p w14:paraId="4A677D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r>
      <w:tr w14:paraId="5D65FB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E25BD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566" w:type="pct"/>
            <w:noWrap w:val="0"/>
            <w:vAlign w:val="center"/>
          </w:tcPr>
          <w:p w14:paraId="0A4E58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21.61</w:t>
            </w:r>
          </w:p>
        </w:tc>
        <w:tc>
          <w:tcPr>
            <w:tcW w:w="648" w:type="pct"/>
            <w:noWrap w:val="0"/>
            <w:vAlign w:val="center"/>
          </w:tcPr>
          <w:p w14:paraId="6B24422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776" w:type="pct"/>
            <w:noWrap w:val="0"/>
            <w:vAlign w:val="center"/>
          </w:tcPr>
          <w:p w14:paraId="0D9E63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2.2673</w:t>
            </w:r>
          </w:p>
        </w:tc>
        <w:tc>
          <w:tcPr>
            <w:tcW w:w="777" w:type="pct"/>
            <w:noWrap w:val="0"/>
            <w:vAlign w:val="center"/>
          </w:tcPr>
          <w:p w14:paraId="523FB5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776" w:type="pct"/>
            <w:noWrap w:val="0"/>
            <w:vAlign w:val="center"/>
          </w:tcPr>
          <w:p w14:paraId="05782F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0.1977</w:t>
            </w:r>
          </w:p>
        </w:tc>
        <w:tc>
          <w:tcPr>
            <w:tcW w:w="777" w:type="pct"/>
            <w:noWrap w:val="0"/>
            <w:vAlign w:val="center"/>
          </w:tcPr>
          <w:p w14:paraId="33416A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r>
      <w:tr w14:paraId="496264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03AEE6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039761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25.48</w:t>
            </w:r>
          </w:p>
        </w:tc>
        <w:tc>
          <w:tcPr>
            <w:tcW w:w="648" w:type="pct"/>
            <w:noWrap w:val="0"/>
            <w:vAlign w:val="center"/>
          </w:tcPr>
          <w:p w14:paraId="78D26E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776" w:type="pct"/>
            <w:noWrap w:val="0"/>
            <w:vAlign w:val="center"/>
          </w:tcPr>
          <w:p w14:paraId="7033F2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2.1515</w:t>
            </w:r>
          </w:p>
        </w:tc>
        <w:tc>
          <w:tcPr>
            <w:tcW w:w="777" w:type="pct"/>
            <w:noWrap w:val="0"/>
            <w:vAlign w:val="center"/>
          </w:tcPr>
          <w:p w14:paraId="7BDF2A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776" w:type="pct"/>
            <w:noWrap w:val="0"/>
            <w:vAlign w:val="center"/>
          </w:tcPr>
          <w:p w14:paraId="5E0EA0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0.1876</w:t>
            </w:r>
          </w:p>
        </w:tc>
        <w:tc>
          <w:tcPr>
            <w:tcW w:w="777" w:type="pct"/>
            <w:noWrap w:val="0"/>
            <w:vAlign w:val="center"/>
          </w:tcPr>
          <w:p w14:paraId="09BC08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r>
      <w:tr w14:paraId="14BBFC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0FBFD32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49F509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23.91</w:t>
            </w:r>
          </w:p>
        </w:tc>
        <w:tc>
          <w:tcPr>
            <w:tcW w:w="648" w:type="pct"/>
            <w:noWrap w:val="0"/>
            <w:vAlign w:val="center"/>
          </w:tcPr>
          <w:p w14:paraId="4523F9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776" w:type="pct"/>
            <w:noWrap w:val="0"/>
            <w:vAlign w:val="center"/>
          </w:tcPr>
          <w:p w14:paraId="186E85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1.9763</w:t>
            </w:r>
          </w:p>
        </w:tc>
        <w:tc>
          <w:tcPr>
            <w:tcW w:w="777" w:type="pct"/>
            <w:noWrap w:val="0"/>
            <w:vAlign w:val="center"/>
          </w:tcPr>
          <w:p w14:paraId="39A1FFD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776" w:type="pct"/>
            <w:noWrap w:val="0"/>
            <w:vAlign w:val="center"/>
          </w:tcPr>
          <w:p w14:paraId="0EADEF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0.1723</w:t>
            </w:r>
          </w:p>
        </w:tc>
        <w:tc>
          <w:tcPr>
            <w:tcW w:w="777" w:type="pct"/>
            <w:noWrap w:val="0"/>
            <w:vAlign w:val="center"/>
          </w:tcPr>
          <w:p w14:paraId="0AC64D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r>
      <w:tr w14:paraId="4CDCFE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16C16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2BC6A7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23.18</w:t>
            </w:r>
          </w:p>
        </w:tc>
        <w:tc>
          <w:tcPr>
            <w:tcW w:w="648" w:type="pct"/>
            <w:noWrap w:val="0"/>
            <w:vAlign w:val="center"/>
          </w:tcPr>
          <w:p w14:paraId="1BD6129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776" w:type="pct"/>
            <w:noWrap w:val="0"/>
            <w:vAlign w:val="center"/>
          </w:tcPr>
          <w:p w14:paraId="08DB69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1.8284</w:t>
            </w:r>
          </w:p>
        </w:tc>
        <w:tc>
          <w:tcPr>
            <w:tcW w:w="777" w:type="pct"/>
            <w:noWrap w:val="0"/>
            <w:vAlign w:val="center"/>
          </w:tcPr>
          <w:p w14:paraId="3A1B56F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776" w:type="pct"/>
            <w:noWrap w:val="0"/>
            <w:vAlign w:val="center"/>
          </w:tcPr>
          <w:p w14:paraId="2F444BA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0.1594</w:t>
            </w:r>
          </w:p>
        </w:tc>
        <w:tc>
          <w:tcPr>
            <w:tcW w:w="777" w:type="pct"/>
            <w:noWrap w:val="0"/>
            <w:vAlign w:val="center"/>
          </w:tcPr>
          <w:p w14:paraId="22577B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1B782C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7D5976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290FC70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26.28</w:t>
            </w:r>
          </w:p>
        </w:tc>
        <w:tc>
          <w:tcPr>
            <w:tcW w:w="648" w:type="pct"/>
            <w:noWrap w:val="0"/>
            <w:vAlign w:val="center"/>
          </w:tcPr>
          <w:p w14:paraId="2DC6BA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776" w:type="pct"/>
            <w:noWrap w:val="0"/>
            <w:vAlign w:val="center"/>
          </w:tcPr>
          <w:p w14:paraId="1228CB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1.7485</w:t>
            </w:r>
          </w:p>
        </w:tc>
        <w:tc>
          <w:tcPr>
            <w:tcW w:w="777" w:type="pct"/>
            <w:noWrap w:val="0"/>
            <w:vAlign w:val="center"/>
          </w:tcPr>
          <w:p w14:paraId="022136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776" w:type="pct"/>
            <w:noWrap w:val="0"/>
            <w:vAlign w:val="center"/>
          </w:tcPr>
          <w:p w14:paraId="59783D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0.1524</w:t>
            </w:r>
          </w:p>
        </w:tc>
        <w:tc>
          <w:tcPr>
            <w:tcW w:w="777" w:type="pct"/>
            <w:noWrap w:val="0"/>
            <w:vAlign w:val="center"/>
          </w:tcPr>
          <w:p w14:paraId="6F0D04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69F0E2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6F419CB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w:t>
            </w:r>
          </w:p>
        </w:tc>
        <w:tc>
          <w:tcPr>
            <w:tcW w:w="566" w:type="pct"/>
            <w:noWrap w:val="0"/>
            <w:vAlign w:val="center"/>
          </w:tcPr>
          <w:p w14:paraId="3CF969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25.08</w:t>
            </w:r>
          </w:p>
        </w:tc>
        <w:tc>
          <w:tcPr>
            <w:tcW w:w="648" w:type="pct"/>
            <w:noWrap w:val="0"/>
            <w:vAlign w:val="center"/>
          </w:tcPr>
          <w:p w14:paraId="7AE1D8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776" w:type="pct"/>
            <w:noWrap w:val="0"/>
            <w:vAlign w:val="center"/>
          </w:tcPr>
          <w:p w14:paraId="01892C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1.6261</w:t>
            </w:r>
          </w:p>
        </w:tc>
        <w:tc>
          <w:tcPr>
            <w:tcW w:w="777" w:type="pct"/>
            <w:noWrap w:val="0"/>
            <w:vAlign w:val="center"/>
          </w:tcPr>
          <w:p w14:paraId="2748B1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776" w:type="pct"/>
            <w:noWrap w:val="0"/>
            <w:vAlign w:val="center"/>
          </w:tcPr>
          <w:p w14:paraId="639617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0.1418</w:t>
            </w:r>
          </w:p>
        </w:tc>
        <w:tc>
          <w:tcPr>
            <w:tcW w:w="777" w:type="pct"/>
            <w:noWrap w:val="0"/>
            <w:vAlign w:val="center"/>
          </w:tcPr>
          <w:p w14:paraId="59C1C7D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r>
      <w:tr w14:paraId="4ECC8D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6EC3E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75C5A4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24.1</w:t>
            </w:r>
          </w:p>
        </w:tc>
        <w:tc>
          <w:tcPr>
            <w:tcW w:w="648" w:type="pct"/>
            <w:noWrap w:val="0"/>
            <w:vAlign w:val="center"/>
          </w:tcPr>
          <w:p w14:paraId="6230B9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776" w:type="pct"/>
            <w:noWrap w:val="0"/>
            <w:vAlign w:val="center"/>
          </w:tcPr>
          <w:p w14:paraId="2ACBAAE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1.5159</w:t>
            </w:r>
          </w:p>
        </w:tc>
        <w:tc>
          <w:tcPr>
            <w:tcW w:w="777" w:type="pct"/>
            <w:noWrap w:val="0"/>
            <w:vAlign w:val="center"/>
          </w:tcPr>
          <w:p w14:paraId="2E67ED3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776" w:type="pct"/>
            <w:noWrap w:val="0"/>
            <w:vAlign w:val="center"/>
          </w:tcPr>
          <w:p w14:paraId="79B305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0.1322</w:t>
            </w:r>
          </w:p>
        </w:tc>
        <w:tc>
          <w:tcPr>
            <w:tcW w:w="777" w:type="pct"/>
            <w:noWrap w:val="0"/>
            <w:vAlign w:val="center"/>
          </w:tcPr>
          <w:p w14:paraId="0CC8CA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r>
      <w:tr w14:paraId="68B40D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36F7A1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w:t>
            </w:r>
          </w:p>
        </w:tc>
        <w:tc>
          <w:tcPr>
            <w:tcW w:w="566" w:type="pct"/>
            <w:noWrap w:val="0"/>
            <w:vAlign w:val="center"/>
          </w:tcPr>
          <w:p w14:paraId="0A5C949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24.64</w:t>
            </w:r>
          </w:p>
        </w:tc>
        <w:tc>
          <w:tcPr>
            <w:tcW w:w="648" w:type="pct"/>
            <w:noWrap w:val="0"/>
            <w:vAlign w:val="center"/>
          </w:tcPr>
          <w:p w14:paraId="0591C2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776" w:type="pct"/>
            <w:noWrap w:val="0"/>
            <w:vAlign w:val="center"/>
          </w:tcPr>
          <w:p w14:paraId="29DF0D1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1.4354</w:t>
            </w:r>
          </w:p>
        </w:tc>
        <w:tc>
          <w:tcPr>
            <w:tcW w:w="777" w:type="pct"/>
            <w:noWrap w:val="0"/>
            <w:vAlign w:val="center"/>
          </w:tcPr>
          <w:p w14:paraId="4B42E54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776" w:type="pct"/>
            <w:noWrap w:val="0"/>
            <w:vAlign w:val="center"/>
          </w:tcPr>
          <w:p w14:paraId="47AFEB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0.1251</w:t>
            </w:r>
          </w:p>
        </w:tc>
        <w:tc>
          <w:tcPr>
            <w:tcW w:w="777" w:type="pct"/>
            <w:noWrap w:val="0"/>
            <w:vAlign w:val="center"/>
          </w:tcPr>
          <w:p w14:paraId="658533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66DDD2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11C103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56260B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25.13</w:t>
            </w:r>
          </w:p>
        </w:tc>
        <w:tc>
          <w:tcPr>
            <w:tcW w:w="648" w:type="pct"/>
            <w:noWrap w:val="0"/>
            <w:vAlign w:val="center"/>
          </w:tcPr>
          <w:p w14:paraId="3240AB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776" w:type="pct"/>
            <w:noWrap w:val="0"/>
            <w:vAlign w:val="center"/>
          </w:tcPr>
          <w:p w14:paraId="1591B6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1.3621</w:t>
            </w:r>
          </w:p>
        </w:tc>
        <w:tc>
          <w:tcPr>
            <w:tcW w:w="777" w:type="pct"/>
            <w:noWrap w:val="0"/>
            <w:vAlign w:val="center"/>
          </w:tcPr>
          <w:p w14:paraId="109B84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776" w:type="pct"/>
            <w:noWrap w:val="0"/>
            <w:vAlign w:val="center"/>
          </w:tcPr>
          <w:p w14:paraId="7B1A30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0.1187</w:t>
            </w:r>
          </w:p>
        </w:tc>
        <w:tc>
          <w:tcPr>
            <w:tcW w:w="777" w:type="pct"/>
            <w:noWrap w:val="0"/>
            <w:vAlign w:val="center"/>
          </w:tcPr>
          <w:p w14:paraId="65CA3E2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569552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231640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w:t>
            </w:r>
          </w:p>
        </w:tc>
        <w:tc>
          <w:tcPr>
            <w:tcW w:w="566" w:type="pct"/>
            <w:noWrap w:val="0"/>
            <w:vAlign w:val="center"/>
          </w:tcPr>
          <w:p w14:paraId="01F2B7B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26.13</w:t>
            </w:r>
          </w:p>
        </w:tc>
        <w:tc>
          <w:tcPr>
            <w:tcW w:w="648" w:type="pct"/>
            <w:noWrap w:val="0"/>
            <w:vAlign w:val="center"/>
          </w:tcPr>
          <w:p w14:paraId="68FEF8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776" w:type="pct"/>
            <w:noWrap w:val="0"/>
            <w:vAlign w:val="center"/>
          </w:tcPr>
          <w:p w14:paraId="4B14FFC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1.301</w:t>
            </w:r>
          </w:p>
        </w:tc>
        <w:tc>
          <w:tcPr>
            <w:tcW w:w="777" w:type="pct"/>
            <w:noWrap w:val="0"/>
            <w:vAlign w:val="center"/>
          </w:tcPr>
          <w:p w14:paraId="3591543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776" w:type="pct"/>
            <w:noWrap w:val="0"/>
            <w:vAlign w:val="center"/>
          </w:tcPr>
          <w:p w14:paraId="54F549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0.1134</w:t>
            </w:r>
          </w:p>
        </w:tc>
        <w:tc>
          <w:tcPr>
            <w:tcW w:w="777" w:type="pct"/>
            <w:noWrap w:val="0"/>
            <w:vAlign w:val="center"/>
          </w:tcPr>
          <w:p w14:paraId="088DED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3025D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8" w:type="pct"/>
            <w:noWrap w:val="0"/>
            <w:vAlign w:val="center"/>
          </w:tcPr>
          <w:p w14:paraId="46EBC7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w:t>
            </w:r>
          </w:p>
        </w:tc>
        <w:tc>
          <w:tcPr>
            <w:tcW w:w="566" w:type="pct"/>
            <w:noWrap w:val="0"/>
            <w:vAlign w:val="center"/>
          </w:tcPr>
          <w:p w14:paraId="39ECEC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31.37</w:t>
            </w:r>
          </w:p>
        </w:tc>
        <w:tc>
          <w:tcPr>
            <w:tcW w:w="648" w:type="pct"/>
            <w:noWrap w:val="0"/>
            <w:vAlign w:val="center"/>
          </w:tcPr>
          <w:p w14:paraId="1E5FDA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776" w:type="pct"/>
            <w:noWrap w:val="0"/>
            <w:vAlign w:val="center"/>
          </w:tcPr>
          <w:p w14:paraId="656A4B3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1.2778</w:t>
            </w:r>
          </w:p>
        </w:tc>
        <w:tc>
          <w:tcPr>
            <w:tcW w:w="777" w:type="pct"/>
            <w:noWrap w:val="0"/>
            <w:vAlign w:val="center"/>
          </w:tcPr>
          <w:p w14:paraId="114682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776" w:type="pct"/>
            <w:noWrap w:val="0"/>
            <w:vAlign w:val="center"/>
          </w:tcPr>
          <w:p w14:paraId="7399A2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0.1114</w:t>
            </w:r>
          </w:p>
        </w:tc>
        <w:tc>
          <w:tcPr>
            <w:tcW w:w="777" w:type="pct"/>
            <w:noWrap w:val="0"/>
            <w:vAlign w:val="center"/>
          </w:tcPr>
          <w:p w14:paraId="7B5B2E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7D7FE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7122F295">
            <w:pPr>
              <w:pStyle w:val="24"/>
              <w:bidi w:val="0"/>
              <w:rPr>
                <w:rFonts w:hint="eastAsia"/>
                <w:color w:val="auto"/>
                <w:u w:val="none" w:color="auto"/>
                <w:lang w:val="en-US" w:eastAsia="zh-CN"/>
              </w:rPr>
            </w:pPr>
            <w:r>
              <w:rPr>
                <w:color w:val="auto"/>
                <w:u w:val="none" w:color="auto"/>
              </w:rPr>
              <w:t>下风向最大质量浓度及占标率</w:t>
            </w:r>
          </w:p>
        </w:tc>
        <w:tc>
          <w:tcPr>
            <w:tcW w:w="776" w:type="pct"/>
            <w:noWrap w:val="0"/>
            <w:vAlign w:val="center"/>
          </w:tcPr>
          <w:p w14:paraId="67FEE4B6">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31.583</w:t>
            </w:r>
          </w:p>
        </w:tc>
        <w:tc>
          <w:tcPr>
            <w:tcW w:w="777" w:type="pct"/>
            <w:noWrap w:val="0"/>
            <w:vAlign w:val="center"/>
          </w:tcPr>
          <w:p w14:paraId="61D2A2BD">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2.63</w:t>
            </w:r>
          </w:p>
        </w:tc>
        <w:tc>
          <w:tcPr>
            <w:tcW w:w="776" w:type="pct"/>
            <w:noWrap w:val="0"/>
            <w:vAlign w:val="center"/>
          </w:tcPr>
          <w:p w14:paraId="719A60F2">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2.7534</w:t>
            </w:r>
          </w:p>
        </w:tc>
        <w:tc>
          <w:tcPr>
            <w:tcW w:w="777" w:type="pct"/>
            <w:noWrap w:val="0"/>
            <w:vAlign w:val="center"/>
          </w:tcPr>
          <w:p w14:paraId="4507DC3A">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1.38</w:t>
            </w:r>
          </w:p>
        </w:tc>
      </w:tr>
      <w:tr w14:paraId="43C0D5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2" w:type="pct"/>
            <w:gridSpan w:val="3"/>
            <w:noWrap w:val="0"/>
            <w:vAlign w:val="center"/>
          </w:tcPr>
          <w:p w14:paraId="076484AD">
            <w:pPr>
              <w:pStyle w:val="24"/>
              <w:bidi w:val="0"/>
              <w:rPr>
                <w:rFonts w:hint="eastAsia"/>
                <w:color w:val="auto"/>
                <w:u w:val="none" w:color="auto"/>
                <w:lang w:val="en-US" w:eastAsia="zh-CN"/>
              </w:rPr>
            </w:pPr>
            <w:r>
              <w:rPr>
                <w:color w:val="auto"/>
                <w:u w:val="none" w:color="auto"/>
              </w:rPr>
              <w:t>D10%最远距离/m</w:t>
            </w:r>
          </w:p>
        </w:tc>
        <w:tc>
          <w:tcPr>
            <w:tcW w:w="776" w:type="pct"/>
            <w:noWrap w:val="0"/>
            <w:vAlign w:val="center"/>
          </w:tcPr>
          <w:p w14:paraId="37DECD4E">
            <w:pPr>
              <w:pStyle w:val="24"/>
              <w:bidi w:val="0"/>
              <w:rPr>
                <w:rFonts w:hint="eastAsia"/>
                <w:color w:val="auto"/>
                <w:u w:val="none" w:color="auto"/>
                <w:lang w:val="en-US" w:eastAsia="zh-CN"/>
              </w:rPr>
            </w:pPr>
            <w:r>
              <w:rPr>
                <w:color w:val="auto"/>
                <w:u w:val="none" w:color="auto"/>
              </w:rPr>
              <w:t>/</w:t>
            </w:r>
          </w:p>
        </w:tc>
        <w:tc>
          <w:tcPr>
            <w:tcW w:w="777" w:type="pct"/>
            <w:noWrap w:val="0"/>
            <w:vAlign w:val="center"/>
          </w:tcPr>
          <w:p w14:paraId="1CB5033D">
            <w:pPr>
              <w:pStyle w:val="24"/>
              <w:bidi w:val="0"/>
              <w:rPr>
                <w:color w:val="auto"/>
                <w:u w:val="none" w:color="auto"/>
              </w:rPr>
            </w:pPr>
          </w:p>
        </w:tc>
        <w:tc>
          <w:tcPr>
            <w:tcW w:w="776" w:type="pct"/>
            <w:noWrap w:val="0"/>
            <w:vAlign w:val="center"/>
          </w:tcPr>
          <w:p w14:paraId="558F87DD">
            <w:pPr>
              <w:pStyle w:val="24"/>
              <w:bidi w:val="0"/>
              <w:rPr>
                <w:color w:val="auto"/>
                <w:u w:val="none" w:color="auto"/>
              </w:rPr>
            </w:pPr>
          </w:p>
        </w:tc>
        <w:tc>
          <w:tcPr>
            <w:tcW w:w="777" w:type="pct"/>
            <w:noWrap w:val="0"/>
            <w:vAlign w:val="center"/>
          </w:tcPr>
          <w:p w14:paraId="33D30210">
            <w:pPr>
              <w:pStyle w:val="24"/>
              <w:bidi w:val="0"/>
              <w:rPr>
                <w:color w:val="auto"/>
                <w:u w:val="none" w:color="auto"/>
              </w:rPr>
            </w:pPr>
          </w:p>
        </w:tc>
      </w:tr>
    </w:tbl>
    <w:p w14:paraId="30931292">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6.2-9</w:t>
      </w:r>
      <w:r>
        <w:rPr>
          <w:rFonts w:hint="default"/>
          <w:color w:val="auto"/>
          <w:u w:val="none" w:color="auto"/>
        </w:rPr>
        <w:t xml:space="preserve"> </w:t>
      </w:r>
      <w:r>
        <w:rPr>
          <w:rFonts w:hint="eastAsia"/>
          <w:color w:val="auto"/>
          <w:u w:val="none" w:color="auto"/>
          <w:lang w:val="en-US" w:eastAsia="zh-CN"/>
        </w:rPr>
        <w:t>无</w:t>
      </w:r>
      <w:r>
        <w:rPr>
          <w:rFonts w:hint="default"/>
          <w:color w:val="auto"/>
          <w:u w:val="none" w:color="auto"/>
          <w:lang w:eastAsia="zh-CN"/>
        </w:rPr>
        <w:t>组织废气</w:t>
      </w:r>
      <w:r>
        <w:rPr>
          <w:rFonts w:hint="default"/>
          <w:color w:val="auto"/>
          <w:u w:val="none" w:color="auto"/>
        </w:rPr>
        <w:t>估算模式计算结果表</w:t>
      </w:r>
    </w:p>
    <w:tbl>
      <w:tblPr>
        <w:tblStyle w:val="16"/>
        <w:tblW w:w="498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5"/>
        <w:gridCol w:w="1061"/>
        <w:gridCol w:w="1061"/>
        <w:gridCol w:w="1"/>
        <w:gridCol w:w="1060"/>
        <w:gridCol w:w="1061"/>
        <w:gridCol w:w="2"/>
        <w:gridCol w:w="1059"/>
        <w:gridCol w:w="1064"/>
        <w:gridCol w:w="1"/>
      </w:tblGrid>
      <w:tr w14:paraId="594FCF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restart"/>
            <w:noWrap w:val="0"/>
            <w:vAlign w:val="center"/>
          </w:tcPr>
          <w:p w14:paraId="724CB710">
            <w:pPr>
              <w:pStyle w:val="24"/>
              <w:bidi w:val="0"/>
              <w:jc w:val="center"/>
              <w:rPr>
                <w:color w:val="auto"/>
                <w:u w:val="none" w:color="auto"/>
              </w:rPr>
            </w:pPr>
            <w:r>
              <w:rPr>
                <w:rFonts w:hint="eastAsia"/>
                <w:color w:val="auto"/>
                <w:u w:val="none" w:color="auto"/>
              </w:rPr>
              <w:t>方位角(度)</w:t>
            </w:r>
          </w:p>
        </w:tc>
        <w:tc>
          <w:tcPr>
            <w:tcW w:w="626" w:type="pct"/>
            <w:vMerge w:val="restart"/>
            <w:noWrap w:val="0"/>
            <w:vAlign w:val="center"/>
          </w:tcPr>
          <w:p w14:paraId="65CEBE7C">
            <w:pPr>
              <w:pStyle w:val="24"/>
              <w:bidi w:val="0"/>
              <w:jc w:val="center"/>
              <w:rPr>
                <w:color w:val="auto"/>
                <w:u w:val="none" w:color="auto"/>
              </w:rPr>
            </w:pPr>
            <w:r>
              <w:rPr>
                <w:rFonts w:hint="eastAsia"/>
                <w:color w:val="auto"/>
                <w:u w:val="none" w:color="auto"/>
              </w:rPr>
              <w:t>离源距离(m)</w:t>
            </w:r>
          </w:p>
        </w:tc>
        <w:tc>
          <w:tcPr>
            <w:tcW w:w="3745" w:type="pct"/>
            <w:gridSpan w:val="9"/>
            <w:noWrap w:val="0"/>
            <w:vAlign w:val="center"/>
          </w:tcPr>
          <w:p w14:paraId="446F7C66">
            <w:pPr>
              <w:pStyle w:val="24"/>
              <w:bidi w:val="0"/>
              <w:jc w:val="center"/>
              <w:rPr>
                <w:rFonts w:hint="default"/>
                <w:color w:val="auto"/>
                <w:u w:val="none" w:color="auto"/>
                <w:lang w:val="en-US" w:eastAsia="zh-CN"/>
              </w:rPr>
            </w:pPr>
            <w:r>
              <w:rPr>
                <w:rFonts w:hint="eastAsia"/>
                <w:color w:val="auto"/>
                <w:u w:val="none" w:color="auto"/>
                <w:lang w:val="en-US" w:eastAsia="zh-CN"/>
              </w:rPr>
              <w:t>1#厂房</w:t>
            </w:r>
          </w:p>
        </w:tc>
      </w:tr>
      <w:tr w14:paraId="400410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noWrap w:val="0"/>
            <w:vAlign w:val="center"/>
          </w:tcPr>
          <w:p w14:paraId="0771FBD6">
            <w:pPr>
              <w:pStyle w:val="24"/>
              <w:bidi w:val="0"/>
              <w:jc w:val="center"/>
              <w:rPr>
                <w:rFonts w:hint="eastAsia"/>
                <w:color w:val="auto"/>
                <w:u w:val="none" w:color="auto"/>
                <w:lang w:eastAsia="zh-CN"/>
              </w:rPr>
            </w:pPr>
          </w:p>
        </w:tc>
        <w:tc>
          <w:tcPr>
            <w:tcW w:w="626" w:type="pct"/>
            <w:vMerge w:val="continue"/>
            <w:noWrap w:val="0"/>
            <w:vAlign w:val="center"/>
          </w:tcPr>
          <w:p w14:paraId="204DAA90">
            <w:pPr>
              <w:pStyle w:val="24"/>
              <w:bidi w:val="0"/>
              <w:jc w:val="center"/>
              <w:rPr>
                <w:rFonts w:hint="eastAsia"/>
                <w:color w:val="auto"/>
                <w:u w:val="none" w:color="auto"/>
                <w:lang w:eastAsia="zh-CN"/>
              </w:rPr>
            </w:pPr>
          </w:p>
        </w:tc>
        <w:tc>
          <w:tcPr>
            <w:tcW w:w="1248" w:type="pct"/>
            <w:gridSpan w:val="3"/>
            <w:noWrap w:val="0"/>
            <w:vAlign w:val="center"/>
          </w:tcPr>
          <w:p w14:paraId="0C87C44B">
            <w:pPr>
              <w:pStyle w:val="24"/>
              <w:bidi w:val="0"/>
              <w:jc w:val="center"/>
              <w:rPr>
                <w:rFonts w:hint="eastAsia"/>
                <w:color w:val="auto"/>
                <w:u w:val="none" w:color="auto"/>
                <w:lang w:eastAsia="zh-CN"/>
              </w:rPr>
            </w:pPr>
            <w:r>
              <w:rPr>
                <w:rFonts w:hint="eastAsia" w:cs="Times New Roman"/>
                <w:b w:val="0"/>
                <w:bCs w:val="0"/>
                <w:color w:val="auto"/>
                <w:sz w:val="21"/>
                <w:szCs w:val="21"/>
                <w:u w:val="none" w:color="auto"/>
                <w:lang w:val="en-US" w:eastAsia="zh-CN"/>
              </w:rPr>
              <w:t>TSP</w:t>
            </w:r>
          </w:p>
        </w:tc>
        <w:tc>
          <w:tcPr>
            <w:tcW w:w="1248" w:type="pct"/>
            <w:gridSpan w:val="3"/>
            <w:noWrap w:val="0"/>
            <w:vAlign w:val="center"/>
          </w:tcPr>
          <w:p w14:paraId="0CB9DC46">
            <w:pPr>
              <w:pStyle w:val="24"/>
              <w:bidi w:val="0"/>
              <w:jc w:val="center"/>
              <w:rPr>
                <w:rFonts w:hint="eastAsia"/>
                <w:color w:val="auto"/>
                <w:u w:val="none" w:color="auto"/>
                <w:lang w:val="en-US" w:eastAsia="zh-CN"/>
              </w:rPr>
            </w:pPr>
            <w:r>
              <w:rPr>
                <w:rFonts w:hint="eastAsia"/>
                <w:color w:val="auto"/>
                <w:u w:val="none" w:color="auto"/>
                <w:lang w:val="en-US" w:eastAsia="zh-CN"/>
              </w:rPr>
              <w:t>TVOC</w:t>
            </w:r>
          </w:p>
        </w:tc>
        <w:tc>
          <w:tcPr>
            <w:tcW w:w="1248" w:type="pct"/>
            <w:gridSpan w:val="3"/>
            <w:noWrap w:val="0"/>
            <w:vAlign w:val="center"/>
          </w:tcPr>
          <w:p w14:paraId="464DDF2C">
            <w:pPr>
              <w:pStyle w:val="24"/>
              <w:bidi w:val="0"/>
              <w:jc w:val="center"/>
              <w:rPr>
                <w:rFonts w:hint="eastAsia"/>
                <w:color w:val="auto"/>
                <w:u w:val="none" w:color="auto"/>
                <w:lang w:val="en-US" w:eastAsia="zh-CN"/>
              </w:rPr>
            </w:pPr>
            <w:r>
              <w:rPr>
                <w:rFonts w:hint="eastAsia" w:cs="Times New Roman"/>
                <w:b w:val="0"/>
                <w:bCs w:val="0"/>
                <w:color w:val="auto"/>
                <w:sz w:val="21"/>
                <w:szCs w:val="21"/>
                <w:u w:val="none" w:color="auto"/>
                <w:lang w:val="en-US" w:eastAsia="zh-CN"/>
              </w:rPr>
              <w:t>苯乙烯</w:t>
            </w:r>
          </w:p>
        </w:tc>
      </w:tr>
      <w:tr w14:paraId="0A1D60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noWrap w:val="0"/>
            <w:vAlign w:val="center"/>
          </w:tcPr>
          <w:p w14:paraId="07514553">
            <w:pPr>
              <w:pStyle w:val="24"/>
              <w:bidi w:val="0"/>
              <w:jc w:val="center"/>
              <w:rPr>
                <w:color w:val="auto"/>
                <w:u w:val="none" w:color="auto"/>
              </w:rPr>
            </w:pPr>
          </w:p>
        </w:tc>
        <w:tc>
          <w:tcPr>
            <w:tcW w:w="626" w:type="pct"/>
            <w:vMerge w:val="continue"/>
            <w:noWrap w:val="0"/>
            <w:vAlign w:val="center"/>
          </w:tcPr>
          <w:p w14:paraId="3F678F04">
            <w:pPr>
              <w:pStyle w:val="24"/>
              <w:bidi w:val="0"/>
              <w:jc w:val="center"/>
              <w:rPr>
                <w:color w:val="auto"/>
                <w:u w:val="none" w:color="auto"/>
              </w:rPr>
            </w:pPr>
          </w:p>
        </w:tc>
        <w:tc>
          <w:tcPr>
            <w:tcW w:w="623" w:type="pct"/>
            <w:noWrap w:val="0"/>
            <w:vAlign w:val="center"/>
          </w:tcPr>
          <w:p w14:paraId="6BFC0481">
            <w:pPr>
              <w:pStyle w:val="24"/>
              <w:bidi w:val="0"/>
              <w:jc w:val="center"/>
              <w:rPr>
                <w:color w:val="auto"/>
                <w:u w:val="none" w:color="auto"/>
              </w:rPr>
            </w:pPr>
            <w:r>
              <w:rPr>
                <w:color w:val="auto"/>
                <w:u w:val="none" w:color="auto"/>
              </w:rPr>
              <w:t>预测质量浓度μg/m</w:t>
            </w:r>
            <w:r>
              <w:rPr>
                <w:color w:val="auto"/>
                <w:u w:val="none" w:color="auto"/>
                <w:vertAlign w:val="superscript"/>
              </w:rPr>
              <w:t>3</w:t>
            </w:r>
          </w:p>
        </w:tc>
        <w:tc>
          <w:tcPr>
            <w:tcW w:w="623" w:type="pct"/>
            <w:noWrap w:val="0"/>
            <w:vAlign w:val="center"/>
          </w:tcPr>
          <w:p w14:paraId="79A90F87">
            <w:pPr>
              <w:pStyle w:val="24"/>
              <w:bidi w:val="0"/>
              <w:jc w:val="center"/>
              <w:rPr>
                <w:color w:val="auto"/>
                <w:u w:val="none" w:color="auto"/>
              </w:rPr>
            </w:pPr>
            <w:r>
              <w:rPr>
                <w:color w:val="auto"/>
                <w:u w:val="none" w:color="auto"/>
              </w:rPr>
              <w:t>占标率%</w:t>
            </w:r>
          </w:p>
        </w:tc>
        <w:tc>
          <w:tcPr>
            <w:tcW w:w="623" w:type="pct"/>
            <w:gridSpan w:val="2"/>
            <w:noWrap w:val="0"/>
            <w:vAlign w:val="center"/>
          </w:tcPr>
          <w:p w14:paraId="5D5EFC95">
            <w:pPr>
              <w:pStyle w:val="24"/>
              <w:bidi w:val="0"/>
              <w:jc w:val="center"/>
              <w:rPr>
                <w:color w:val="auto"/>
                <w:u w:val="none" w:color="auto"/>
              </w:rPr>
            </w:pPr>
            <w:r>
              <w:rPr>
                <w:color w:val="auto"/>
                <w:u w:val="none" w:color="auto"/>
              </w:rPr>
              <w:t>预测质量浓度μg/m</w:t>
            </w:r>
            <w:r>
              <w:rPr>
                <w:color w:val="auto"/>
                <w:u w:val="none" w:color="auto"/>
                <w:vertAlign w:val="superscript"/>
              </w:rPr>
              <w:t>3</w:t>
            </w:r>
          </w:p>
        </w:tc>
        <w:tc>
          <w:tcPr>
            <w:tcW w:w="623" w:type="pct"/>
            <w:noWrap w:val="0"/>
            <w:vAlign w:val="center"/>
          </w:tcPr>
          <w:p w14:paraId="1E3FB0A7">
            <w:pPr>
              <w:pStyle w:val="24"/>
              <w:bidi w:val="0"/>
              <w:jc w:val="center"/>
              <w:rPr>
                <w:rFonts w:ascii="Times New Roman" w:hAnsi="Times New Roman" w:eastAsia="宋体" w:cs="Times New Roman"/>
                <w:color w:val="auto"/>
                <w:kern w:val="2"/>
                <w:sz w:val="21"/>
                <w:szCs w:val="21"/>
                <w:u w:val="none" w:color="auto"/>
                <w:lang w:val="en-US" w:eastAsia="zh-CN" w:bidi="ar-SA"/>
              </w:rPr>
            </w:pPr>
            <w:r>
              <w:rPr>
                <w:color w:val="auto"/>
                <w:u w:val="none" w:color="auto"/>
              </w:rPr>
              <w:t>占标率%</w:t>
            </w:r>
          </w:p>
        </w:tc>
        <w:tc>
          <w:tcPr>
            <w:tcW w:w="623" w:type="pct"/>
            <w:gridSpan w:val="2"/>
            <w:noWrap w:val="0"/>
            <w:vAlign w:val="center"/>
          </w:tcPr>
          <w:p w14:paraId="1C485086">
            <w:pPr>
              <w:pStyle w:val="24"/>
              <w:bidi w:val="0"/>
              <w:jc w:val="center"/>
              <w:rPr>
                <w:color w:val="auto"/>
                <w:u w:val="none" w:color="auto"/>
              </w:rPr>
            </w:pPr>
            <w:r>
              <w:rPr>
                <w:color w:val="auto"/>
                <w:u w:val="none" w:color="auto"/>
              </w:rPr>
              <w:t>预测质量浓度μg/m</w:t>
            </w:r>
            <w:r>
              <w:rPr>
                <w:color w:val="auto"/>
                <w:u w:val="none" w:color="auto"/>
                <w:vertAlign w:val="superscript"/>
              </w:rPr>
              <w:t>3</w:t>
            </w:r>
          </w:p>
        </w:tc>
        <w:tc>
          <w:tcPr>
            <w:tcW w:w="625" w:type="pct"/>
            <w:noWrap w:val="0"/>
            <w:vAlign w:val="center"/>
          </w:tcPr>
          <w:p w14:paraId="13B816E6">
            <w:pPr>
              <w:pStyle w:val="24"/>
              <w:bidi w:val="0"/>
              <w:jc w:val="center"/>
              <w:rPr>
                <w:color w:val="auto"/>
                <w:u w:val="none" w:color="auto"/>
              </w:rPr>
            </w:pPr>
            <w:r>
              <w:rPr>
                <w:color w:val="auto"/>
                <w:u w:val="none" w:color="auto"/>
              </w:rPr>
              <w:t>占标率%</w:t>
            </w:r>
          </w:p>
        </w:tc>
        <w:tc>
          <w:tcPr>
            <w:tcW w:w="0" w:type="auto"/>
            <w:noWrap w:val="0"/>
            <w:vAlign w:val="center"/>
          </w:tcPr>
          <w:p w14:paraId="42D65B01">
            <w:pPr>
              <w:pStyle w:val="24"/>
              <w:bidi w:val="0"/>
              <w:jc w:val="center"/>
              <w:rPr>
                <w:color w:val="auto"/>
                <w:u w:val="none" w:color="auto"/>
              </w:rPr>
            </w:pPr>
          </w:p>
        </w:tc>
      </w:tr>
      <w:tr w14:paraId="3B3CB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21C5B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349BD37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23" w:type="pct"/>
            <w:noWrap w:val="0"/>
            <w:vAlign w:val="center"/>
          </w:tcPr>
          <w:p w14:paraId="740FCA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33.011</w:t>
            </w:r>
          </w:p>
        </w:tc>
        <w:tc>
          <w:tcPr>
            <w:tcW w:w="623" w:type="pct"/>
            <w:noWrap w:val="0"/>
            <w:vAlign w:val="center"/>
          </w:tcPr>
          <w:p w14:paraId="432B8B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3.67</w:t>
            </w:r>
          </w:p>
        </w:tc>
        <w:tc>
          <w:tcPr>
            <w:tcW w:w="623" w:type="pct"/>
            <w:gridSpan w:val="2"/>
            <w:noWrap w:val="0"/>
            <w:vAlign w:val="center"/>
          </w:tcPr>
          <w:p w14:paraId="0C2FF31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5.4145</w:t>
            </w:r>
          </w:p>
        </w:tc>
        <w:tc>
          <w:tcPr>
            <w:tcW w:w="623" w:type="pct"/>
            <w:noWrap w:val="0"/>
            <w:vAlign w:val="center"/>
          </w:tcPr>
          <w:p w14:paraId="096935F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0.45</w:t>
            </w:r>
          </w:p>
        </w:tc>
        <w:tc>
          <w:tcPr>
            <w:tcW w:w="623" w:type="pct"/>
            <w:gridSpan w:val="2"/>
            <w:noWrap w:val="0"/>
            <w:vAlign w:val="center"/>
          </w:tcPr>
          <w:p w14:paraId="2F73C0C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1.572</w:t>
            </w:r>
          </w:p>
        </w:tc>
        <w:tc>
          <w:tcPr>
            <w:tcW w:w="625" w:type="pct"/>
            <w:noWrap w:val="0"/>
            <w:vAlign w:val="center"/>
          </w:tcPr>
          <w:p w14:paraId="2CB32B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3.14</w:t>
            </w:r>
          </w:p>
        </w:tc>
        <w:tc>
          <w:tcPr>
            <w:tcW w:w="0" w:type="auto"/>
            <w:noWrap w:val="0"/>
            <w:vAlign w:val="center"/>
          </w:tcPr>
          <w:p w14:paraId="0DFAFEB5">
            <w:pPr>
              <w:pStyle w:val="24"/>
              <w:bidi w:val="0"/>
              <w:jc w:val="center"/>
              <w:rPr>
                <w:color w:val="auto"/>
                <w:u w:val="none" w:color="auto"/>
              </w:rPr>
            </w:pPr>
          </w:p>
        </w:tc>
      </w:tr>
      <w:tr w14:paraId="32080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79BC17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423AD4E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623" w:type="pct"/>
            <w:noWrap w:val="0"/>
            <w:vAlign w:val="center"/>
          </w:tcPr>
          <w:p w14:paraId="731442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50.344</w:t>
            </w:r>
          </w:p>
        </w:tc>
        <w:tc>
          <w:tcPr>
            <w:tcW w:w="623" w:type="pct"/>
            <w:noWrap w:val="0"/>
            <w:vAlign w:val="center"/>
          </w:tcPr>
          <w:p w14:paraId="56488C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5.59</w:t>
            </w:r>
          </w:p>
        </w:tc>
        <w:tc>
          <w:tcPr>
            <w:tcW w:w="623" w:type="pct"/>
            <w:gridSpan w:val="2"/>
            <w:noWrap w:val="0"/>
            <w:vAlign w:val="center"/>
          </w:tcPr>
          <w:p w14:paraId="635C3C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8.2575</w:t>
            </w:r>
          </w:p>
        </w:tc>
        <w:tc>
          <w:tcPr>
            <w:tcW w:w="623" w:type="pct"/>
            <w:noWrap w:val="0"/>
            <w:vAlign w:val="center"/>
          </w:tcPr>
          <w:p w14:paraId="693CBAB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0.69</w:t>
            </w:r>
          </w:p>
        </w:tc>
        <w:tc>
          <w:tcPr>
            <w:tcW w:w="623" w:type="pct"/>
            <w:gridSpan w:val="2"/>
            <w:noWrap w:val="0"/>
            <w:vAlign w:val="center"/>
          </w:tcPr>
          <w:p w14:paraId="361EFF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2.3973</w:t>
            </w:r>
          </w:p>
        </w:tc>
        <w:tc>
          <w:tcPr>
            <w:tcW w:w="625" w:type="pct"/>
            <w:noWrap w:val="0"/>
            <w:vAlign w:val="center"/>
          </w:tcPr>
          <w:p w14:paraId="2466DE1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4.79</w:t>
            </w:r>
          </w:p>
        </w:tc>
        <w:tc>
          <w:tcPr>
            <w:tcW w:w="0" w:type="auto"/>
            <w:noWrap w:val="0"/>
            <w:vAlign w:val="center"/>
          </w:tcPr>
          <w:p w14:paraId="1C3DBB18">
            <w:pPr>
              <w:pStyle w:val="24"/>
              <w:bidi w:val="0"/>
              <w:jc w:val="center"/>
              <w:rPr>
                <w:color w:val="auto"/>
                <w:u w:val="none" w:color="auto"/>
              </w:rPr>
            </w:pPr>
          </w:p>
        </w:tc>
      </w:tr>
      <w:tr w14:paraId="76A35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BAC10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626" w:type="pct"/>
            <w:noWrap w:val="0"/>
            <w:vAlign w:val="center"/>
          </w:tcPr>
          <w:p w14:paraId="744FD6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75</w:t>
            </w:r>
          </w:p>
        </w:tc>
        <w:tc>
          <w:tcPr>
            <w:tcW w:w="623" w:type="pct"/>
            <w:noWrap w:val="0"/>
            <w:vAlign w:val="center"/>
          </w:tcPr>
          <w:p w14:paraId="32FE26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57.093</w:t>
            </w:r>
          </w:p>
        </w:tc>
        <w:tc>
          <w:tcPr>
            <w:tcW w:w="623" w:type="pct"/>
            <w:noWrap w:val="0"/>
            <w:vAlign w:val="center"/>
          </w:tcPr>
          <w:p w14:paraId="3A0199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6.34</w:t>
            </w:r>
          </w:p>
        </w:tc>
        <w:tc>
          <w:tcPr>
            <w:tcW w:w="623" w:type="pct"/>
            <w:gridSpan w:val="2"/>
            <w:noWrap w:val="0"/>
            <w:vAlign w:val="center"/>
          </w:tcPr>
          <w:p w14:paraId="339076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9.3645</w:t>
            </w:r>
          </w:p>
        </w:tc>
        <w:tc>
          <w:tcPr>
            <w:tcW w:w="623" w:type="pct"/>
            <w:noWrap w:val="0"/>
            <w:vAlign w:val="center"/>
          </w:tcPr>
          <w:p w14:paraId="088C060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0.78</w:t>
            </w:r>
          </w:p>
        </w:tc>
        <w:tc>
          <w:tcPr>
            <w:tcW w:w="623" w:type="pct"/>
            <w:gridSpan w:val="2"/>
            <w:noWrap w:val="0"/>
            <w:vAlign w:val="center"/>
          </w:tcPr>
          <w:p w14:paraId="22EEAC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2.7187</w:t>
            </w:r>
          </w:p>
        </w:tc>
        <w:tc>
          <w:tcPr>
            <w:tcW w:w="625" w:type="pct"/>
            <w:noWrap w:val="0"/>
            <w:vAlign w:val="center"/>
          </w:tcPr>
          <w:p w14:paraId="431FE4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5.44</w:t>
            </w:r>
          </w:p>
        </w:tc>
        <w:tc>
          <w:tcPr>
            <w:tcW w:w="0" w:type="auto"/>
            <w:noWrap w:val="0"/>
            <w:vAlign w:val="center"/>
          </w:tcPr>
          <w:p w14:paraId="004911C8">
            <w:pPr>
              <w:pStyle w:val="24"/>
              <w:bidi w:val="0"/>
              <w:jc w:val="center"/>
              <w:rPr>
                <w:color w:val="auto"/>
                <w:u w:val="none" w:color="auto"/>
              </w:rPr>
            </w:pPr>
          </w:p>
        </w:tc>
      </w:tr>
      <w:tr w14:paraId="3075B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DA2E4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626" w:type="pct"/>
            <w:noWrap w:val="0"/>
            <w:vAlign w:val="center"/>
          </w:tcPr>
          <w:p w14:paraId="6DBC2C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623" w:type="pct"/>
            <w:noWrap w:val="0"/>
            <w:vAlign w:val="center"/>
          </w:tcPr>
          <w:p w14:paraId="342FB3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49.898</w:t>
            </w:r>
          </w:p>
        </w:tc>
        <w:tc>
          <w:tcPr>
            <w:tcW w:w="623" w:type="pct"/>
            <w:noWrap w:val="0"/>
            <w:vAlign w:val="center"/>
          </w:tcPr>
          <w:p w14:paraId="15FC9F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5.54</w:t>
            </w:r>
          </w:p>
        </w:tc>
        <w:tc>
          <w:tcPr>
            <w:tcW w:w="623" w:type="pct"/>
            <w:gridSpan w:val="2"/>
            <w:noWrap w:val="0"/>
            <w:vAlign w:val="center"/>
          </w:tcPr>
          <w:p w14:paraId="5AB203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8.1843</w:t>
            </w:r>
          </w:p>
        </w:tc>
        <w:tc>
          <w:tcPr>
            <w:tcW w:w="623" w:type="pct"/>
            <w:noWrap w:val="0"/>
            <w:vAlign w:val="center"/>
          </w:tcPr>
          <w:p w14:paraId="2444472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0.68</w:t>
            </w:r>
          </w:p>
        </w:tc>
        <w:tc>
          <w:tcPr>
            <w:tcW w:w="623" w:type="pct"/>
            <w:gridSpan w:val="2"/>
            <w:noWrap w:val="0"/>
            <w:vAlign w:val="center"/>
          </w:tcPr>
          <w:p w14:paraId="2B3517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2.3761</w:t>
            </w:r>
          </w:p>
        </w:tc>
        <w:tc>
          <w:tcPr>
            <w:tcW w:w="625" w:type="pct"/>
            <w:noWrap w:val="0"/>
            <w:vAlign w:val="center"/>
          </w:tcPr>
          <w:p w14:paraId="599F1C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4.75</w:t>
            </w:r>
          </w:p>
        </w:tc>
        <w:tc>
          <w:tcPr>
            <w:tcW w:w="0" w:type="auto"/>
            <w:noWrap w:val="0"/>
            <w:vAlign w:val="center"/>
          </w:tcPr>
          <w:p w14:paraId="058A4264">
            <w:pPr>
              <w:pStyle w:val="24"/>
              <w:bidi w:val="0"/>
              <w:jc w:val="center"/>
              <w:rPr>
                <w:color w:val="auto"/>
                <w:u w:val="none" w:color="auto"/>
              </w:rPr>
            </w:pPr>
          </w:p>
        </w:tc>
      </w:tr>
      <w:tr w14:paraId="782745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21964B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495860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623" w:type="pct"/>
            <w:noWrap w:val="0"/>
            <w:vAlign w:val="center"/>
          </w:tcPr>
          <w:p w14:paraId="4FE833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23.774</w:t>
            </w:r>
          </w:p>
        </w:tc>
        <w:tc>
          <w:tcPr>
            <w:tcW w:w="623" w:type="pct"/>
            <w:noWrap w:val="0"/>
            <w:vAlign w:val="center"/>
          </w:tcPr>
          <w:p w14:paraId="3F8DE7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2.64</w:t>
            </w:r>
          </w:p>
        </w:tc>
        <w:tc>
          <w:tcPr>
            <w:tcW w:w="623" w:type="pct"/>
            <w:gridSpan w:val="2"/>
            <w:noWrap w:val="0"/>
            <w:vAlign w:val="center"/>
          </w:tcPr>
          <w:p w14:paraId="1FB52C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3.8994</w:t>
            </w:r>
          </w:p>
        </w:tc>
        <w:tc>
          <w:tcPr>
            <w:tcW w:w="623" w:type="pct"/>
            <w:noWrap w:val="0"/>
            <w:vAlign w:val="center"/>
          </w:tcPr>
          <w:p w14:paraId="6DA214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w:t>
            </w:r>
          </w:p>
        </w:tc>
        <w:tc>
          <w:tcPr>
            <w:tcW w:w="623" w:type="pct"/>
            <w:gridSpan w:val="2"/>
            <w:noWrap w:val="0"/>
            <w:vAlign w:val="center"/>
          </w:tcPr>
          <w:p w14:paraId="24E9DF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1.1321</w:t>
            </w:r>
          </w:p>
        </w:tc>
        <w:tc>
          <w:tcPr>
            <w:tcW w:w="625" w:type="pct"/>
            <w:noWrap w:val="0"/>
            <w:vAlign w:val="center"/>
          </w:tcPr>
          <w:p w14:paraId="4A54F6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2.26</w:t>
            </w:r>
          </w:p>
        </w:tc>
        <w:tc>
          <w:tcPr>
            <w:tcW w:w="0" w:type="auto"/>
            <w:noWrap w:val="0"/>
            <w:vAlign w:val="center"/>
          </w:tcPr>
          <w:p w14:paraId="447598BE">
            <w:pPr>
              <w:pStyle w:val="24"/>
              <w:bidi w:val="0"/>
              <w:jc w:val="center"/>
              <w:rPr>
                <w:color w:val="auto"/>
                <w:u w:val="none" w:color="auto"/>
              </w:rPr>
            </w:pPr>
          </w:p>
        </w:tc>
      </w:tr>
      <w:tr w14:paraId="74816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CFF423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648C14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623" w:type="pct"/>
            <w:noWrap w:val="0"/>
            <w:vAlign w:val="center"/>
          </w:tcPr>
          <w:p w14:paraId="7945D0F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14.12</w:t>
            </w:r>
          </w:p>
        </w:tc>
        <w:tc>
          <w:tcPr>
            <w:tcW w:w="623" w:type="pct"/>
            <w:noWrap w:val="0"/>
            <w:vAlign w:val="center"/>
          </w:tcPr>
          <w:p w14:paraId="420F3F4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1.57</w:t>
            </w:r>
          </w:p>
        </w:tc>
        <w:tc>
          <w:tcPr>
            <w:tcW w:w="623" w:type="pct"/>
            <w:gridSpan w:val="2"/>
            <w:noWrap w:val="0"/>
            <w:vAlign w:val="center"/>
          </w:tcPr>
          <w:p w14:paraId="1D9795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2.316</w:t>
            </w:r>
          </w:p>
        </w:tc>
        <w:tc>
          <w:tcPr>
            <w:tcW w:w="623" w:type="pct"/>
            <w:noWrap w:val="0"/>
            <w:vAlign w:val="center"/>
          </w:tcPr>
          <w:p w14:paraId="3B3CC0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623" w:type="pct"/>
            <w:gridSpan w:val="2"/>
            <w:noWrap w:val="0"/>
            <w:vAlign w:val="center"/>
          </w:tcPr>
          <w:p w14:paraId="1879B0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0.6724</w:t>
            </w:r>
          </w:p>
        </w:tc>
        <w:tc>
          <w:tcPr>
            <w:tcW w:w="625" w:type="pct"/>
            <w:noWrap w:val="0"/>
            <w:vAlign w:val="center"/>
          </w:tcPr>
          <w:p w14:paraId="3C2F72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1.34</w:t>
            </w:r>
          </w:p>
        </w:tc>
        <w:tc>
          <w:tcPr>
            <w:tcW w:w="0" w:type="auto"/>
            <w:noWrap w:val="0"/>
            <w:vAlign w:val="center"/>
          </w:tcPr>
          <w:p w14:paraId="0514053C">
            <w:pPr>
              <w:pStyle w:val="24"/>
              <w:bidi w:val="0"/>
              <w:jc w:val="center"/>
              <w:rPr>
                <w:color w:val="auto"/>
                <w:u w:val="none" w:color="auto"/>
              </w:rPr>
            </w:pPr>
          </w:p>
        </w:tc>
      </w:tr>
      <w:tr w14:paraId="4607D5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756C2D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50B95C7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623" w:type="pct"/>
            <w:noWrap w:val="0"/>
            <w:vAlign w:val="center"/>
          </w:tcPr>
          <w:p w14:paraId="2111C0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9.6433</w:t>
            </w:r>
          </w:p>
        </w:tc>
        <w:tc>
          <w:tcPr>
            <w:tcW w:w="623" w:type="pct"/>
            <w:noWrap w:val="0"/>
            <w:vAlign w:val="center"/>
          </w:tcPr>
          <w:p w14:paraId="055816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1.07</w:t>
            </w:r>
          </w:p>
        </w:tc>
        <w:tc>
          <w:tcPr>
            <w:tcW w:w="623" w:type="pct"/>
            <w:gridSpan w:val="2"/>
            <w:noWrap w:val="0"/>
            <w:vAlign w:val="center"/>
          </w:tcPr>
          <w:p w14:paraId="701A2E3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1.5817</w:t>
            </w:r>
          </w:p>
        </w:tc>
        <w:tc>
          <w:tcPr>
            <w:tcW w:w="623" w:type="pct"/>
            <w:noWrap w:val="0"/>
            <w:vAlign w:val="center"/>
          </w:tcPr>
          <w:p w14:paraId="0BDF49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623" w:type="pct"/>
            <w:gridSpan w:val="2"/>
            <w:noWrap w:val="0"/>
            <w:vAlign w:val="center"/>
          </w:tcPr>
          <w:p w14:paraId="47FE674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0.4592</w:t>
            </w:r>
          </w:p>
        </w:tc>
        <w:tc>
          <w:tcPr>
            <w:tcW w:w="625" w:type="pct"/>
            <w:noWrap w:val="0"/>
            <w:vAlign w:val="center"/>
          </w:tcPr>
          <w:p w14:paraId="6B4099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0.92</w:t>
            </w:r>
          </w:p>
        </w:tc>
        <w:tc>
          <w:tcPr>
            <w:tcW w:w="0" w:type="auto"/>
            <w:noWrap w:val="0"/>
            <w:vAlign w:val="center"/>
          </w:tcPr>
          <w:p w14:paraId="290EE72B">
            <w:pPr>
              <w:pStyle w:val="24"/>
              <w:bidi w:val="0"/>
              <w:jc w:val="center"/>
              <w:rPr>
                <w:color w:val="auto"/>
                <w:u w:val="none" w:color="auto"/>
              </w:rPr>
            </w:pPr>
          </w:p>
        </w:tc>
      </w:tr>
      <w:tr w14:paraId="724DBC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6B41DF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4A28A5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623" w:type="pct"/>
            <w:noWrap w:val="0"/>
            <w:vAlign w:val="center"/>
          </w:tcPr>
          <w:p w14:paraId="2CCFBF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7.15</w:t>
            </w:r>
          </w:p>
        </w:tc>
        <w:tc>
          <w:tcPr>
            <w:tcW w:w="623" w:type="pct"/>
            <w:noWrap w:val="0"/>
            <w:vAlign w:val="center"/>
          </w:tcPr>
          <w:p w14:paraId="17EEDF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0.79</w:t>
            </w:r>
          </w:p>
        </w:tc>
        <w:tc>
          <w:tcPr>
            <w:tcW w:w="623" w:type="pct"/>
            <w:gridSpan w:val="2"/>
            <w:noWrap w:val="0"/>
            <w:vAlign w:val="center"/>
          </w:tcPr>
          <w:p w14:paraId="7B77FC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1.1728</w:t>
            </w:r>
          </w:p>
        </w:tc>
        <w:tc>
          <w:tcPr>
            <w:tcW w:w="623" w:type="pct"/>
            <w:noWrap w:val="0"/>
            <w:vAlign w:val="center"/>
          </w:tcPr>
          <w:p w14:paraId="1185DB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23" w:type="pct"/>
            <w:gridSpan w:val="2"/>
            <w:noWrap w:val="0"/>
            <w:vAlign w:val="center"/>
          </w:tcPr>
          <w:p w14:paraId="6613C1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0.3405</w:t>
            </w:r>
          </w:p>
        </w:tc>
        <w:tc>
          <w:tcPr>
            <w:tcW w:w="625" w:type="pct"/>
            <w:noWrap w:val="0"/>
            <w:vAlign w:val="center"/>
          </w:tcPr>
          <w:p w14:paraId="6082D55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0.68</w:t>
            </w:r>
          </w:p>
        </w:tc>
        <w:tc>
          <w:tcPr>
            <w:tcW w:w="0" w:type="auto"/>
            <w:noWrap w:val="0"/>
            <w:vAlign w:val="center"/>
          </w:tcPr>
          <w:p w14:paraId="406C0FD4">
            <w:pPr>
              <w:pStyle w:val="24"/>
              <w:bidi w:val="0"/>
              <w:jc w:val="center"/>
              <w:rPr>
                <w:color w:val="auto"/>
                <w:u w:val="none" w:color="auto"/>
              </w:rPr>
            </w:pPr>
          </w:p>
        </w:tc>
      </w:tr>
      <w:tr w14:paraId="4F381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64EEEC0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59C0A3A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623" w:type="pct"/>
            <w:noWrap w:val="0"/>
            <w:vAlign w:val="center"/>
          </w:tcPr>
          <w:p w14:paraId="12C308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5.5921</w:t>
            </w:r>
          </w:p>
        </w:tc>
        <w:tc>
          <w:tcPr>
            <w:tcW w:w="623" w:type="pct"/>
            <w:noWrap w:val="0"/>
            <w:vAlign w:val="center"/>
          </w:tcPr>
          <w:p w14:paraId="29B141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0.62</w:t>
            </w:r>
          </w:p>
        </w:tc>
        <w:tc>
          <w:tcPr>
            <w:tcW w:w="623" w:type="pct"/>
            <w:gridSpan w:val="2"/>
            <w:noWrap w:val="0"/>
            <w:vAlign w:val="center"/>
          </w:tcPr>
          <w:p w14:paraId="01529B4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0.9172</w:t>
            </w:r>
          </w:p>
        </w:tc>
        <w:tc>
          <w:tcPr>
            <w:tcW w:w="623" w:type="pct"/>
            <w:noWrap w:val="0"/>
            <w:vAlign w:val="center"/>
          </w:tcPr>
          <w:p w14:paraId="502AB1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623" w:type="pct"/>
            <w:gridSpan w:val="2"/>
            <w:noWrap w:val="0"/>
            <w:vAlign w:val="center"/>
          </w:tcPr>
          <w:p w14:paraId="63DE695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0.2663</w:t>
            </w:r>
          </w:p>
        </w:tc>
        <w:tc>
          <w:tcPr>
            <w:tcW w:w="625" w:type="pct"/>
            <w:noWrap w:val="0"/>
            <w:vAlign w:val="center"/>
          </w:tcPr>
          <w:p w14:paraId="590F81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0.53</w:t>
            </w:r>
          </w:p>
        </w:tc>
        <w:tc>
          <w:tcPr>
            <w:tcW w:w="0" w:type="auto"/>
            <w:noWrap w:val="0"/>
            <w:vAlign w:val="center"/>
          </w:tcPr>
          <w:p w14:paraId="1F88DA4F">
            <w:pPr>
              <w:pStyle w:val="24"/>
              <w:bidi w:val="0"/>
              <w:jc w:val="center"/>
              <w:rPr>
                <w:color w:val="auto"/>
                <w:u w:val="none" w:color="auto"/>
              </w:rPr>
            </w:pPr>
          </w:p>
        </w:tc>
      </w:tr>
      <w:tr w14:paraId="545B2F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765B1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626" w:type="pct"/>
            <w:noWrap w:val="0"/>
            <w:vAlign w:val="center"/>
          </w:tcPr>
          <w:p w14:paraId="3CD189B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623" w:type="pct"/>
            <w:noWrap w:val="0"/>
            <w:vAlign w:val="center"/>
          </w:tcPr>
          <w:p w14:paraId="238BA1F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4.5408</w:t>
            </w:r>
          </w:p>
        </w:tc>
        <w:tc>
          <w:tcPr>
            <w:tcW w:w="623" w:type="pct"/>
            <w:noWrap w:val="0"/>
            <w:vAlign w:val="center"/>
          </w:tcPr>
          <w:p w14:paraId="3A84B42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w:t>
            </w:r>
          </w:p>
        </w:tc>
        <w:tc>
          <w:tcPr>
            <w:tcW w:w="623" w:type="pct"/>
            <w:gridSpan w:val="2"/>
            <w:noWrap w:val="0"/>
            <w:vAlign w:val="center"/>
          </w:tcPr>
          <w:p w14:paraId="6B2A67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0.7448</w:t>
            </w:r>
          </w:p>
        </w:tc>
        <w:tc>
          <w:tcPr>
            <w:tcW w:w="623" w:type="pct"/>
            <w:noWrap w:val="0"/>
            <w:vAlign w:val="center"/>
          </w:tcPr>
          <w:p w14:paraId="032E17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623" w:type="pct"/>
            <w:gridSpan w:val="2"/>
            <w:noWrap w:val="0"/>
            <w:vAlign w:val="center"/>
          </w:tcPr>
          <w:p w14:paraId="449217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0.2162</w:t>
            </w:r>
          </w:p>
        </w:tc>
        <w:tc>
          <w:tcPr>
            <w:tcW w:w="625" w:type="pct"/>
            <w:noWrap w:val="0"/>
            <w:vAlign w:val="center"/>
          </w:tcPr>
          <w:p w14:paraId="132B0A2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0.43</w:t>
            </w:r>
          </w:p>
        </w:tc>
        <w:tc>
          <w:tcPr>
            <w:tcW w:w="0" w:type="auto"/>
            <w:noWrap w:val="0"/>
            <w:vAlign w:val="center"/>
          </w:tcPr>
          <w:p w14:paraId="06399F93">
            <w:pPr>
              <w:pStyle w:val="24"/>
              <w:bidi w:val="0"/>
              <w:jc w:val="center"/>
              <w:rPr>
                <w:color w:val="auto"/>
                <w:u w:val="none" w:color="auto"/>
              </w:rPr>
            </w:pPr>
          </w:p>
        </w:tc>
      </w:tr>
      <w:tr w14:paraId="4104C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7C9FEA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26" w:type="pct"/>
            <w:noWrap w:val="0"/>
            <w:vAlign w:val="center"/>
          </w:tcPr>
          <w:p w14:paraId="7AC29F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623" w:type="pct"/>
            <w:noWrap w:val="0"/>
            <w:vAlign w:val="center"/>
          </w:tcPr>
          <w:p w14:paraId="3C506D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3.7902</w:t>
            </w:r>
          </w:p>
        </w:tc>
        <w:tc>
          <w:tcPr>
            <w:tcW w:w="623" w:type="pct"/>
            <w:noWrap w:val="0"/>
            <w:vAlign w:val="center"/>
          </w:tcPr>
          <w:p w14:paraId="6CC8A6C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0.42</w:t>
            </w:r>
          </w:p>
        </w:tc>
        <w:tc>
          <w:tcPr>
            <w:tcW w:w="623" w:type="pct"/>
            <w:gridSpan w:val="2"/>
            <w:noWrap w:val="0"/>
            <w:vAlign w:val="center"/>
          </w:tcPr>
          <w:p w14:paraId="7B09BC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0.6217</w:t>
            </w:r>
          </w:p>
        </w:tc>
        <w:tc>
          <w:tcPr>
            <w:tcW w:w="623" w:type="pct"/>
            <w:noWrap w:val="0"/>
            <w:vAlign w:val="center"/>
          </w:tcPr>
          <w:p w14:paraId="21B4F0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623" w:type="pct"/>
            <w:gridSpan w:val="2"/>
            <w:noWrap w:val="0"/>
            <w:vAlign w:val="center"/>
          </w:tcPr>
          <w:p w14:paraId="259315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0.1805</w:t>
            </w:r>
          </w:p>
        </w:tc>
        <w:tc>
          <w:tcPr>
            <w:tcW w:w="625" w:type="pct"/>
            <w:noWrap w:val="0"/>
            <w:vAlign w:val="center"/>
          </w:tcPr>
          <w:p w14:paraId="10599F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0" w:type="auto"/>
            <w:noWrap w:val="0"/>
            <w:vAlign w:val="center"/>
          </w:tcPr>
          <w:p w14:paraId="1317B117">
            <w:pPr>
              <w:pStyle w:val="24"/>
              <w:bidi w:val="0"/>
              <w:jc w:val="center"/>
              <w:rPr>
                <w:color w:val="auto"/>
                <w:u w:val="none" w:color="auto"/>
              </w:rPr>
            </w:pPr>
          </w:p>
        </w:tc>
      </w:tr>
      <w:tr w14:paraId="4910E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EC17A0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74368B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623" w:type="pct"/>
            <w:noWrap w:val="0"/>
            <w:vAlign w:val="center"/>
          </w:tcPr>
          <w:p w14:paraId="00302A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3.2329</w:t>
            </w:r>
          </w:p>
        </w:tc>
        <w:tc>
          <w:tcPr>
            <w:tcW w:w="623" w:type="pct"/>
            <w:noWrap w:val="0"/>
            <w:vAlign w:val="center"/>
          </w:tcPr>
          <w:p w14:paraId="61ABD51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0.36</w:t>
            </w:r>
          </w:p>
        </w:tc>
        <w:tc>
          <w:tcPr>
            <w:tcW w:w="623" w:type="pct"/>
            <w:gridSpan w:val="2"/>
            <w:noWrap w:val="0"/>
            <w:vAlign w:val="center"/>
          </w:tcPr>
          <w:p w14:paraId="0DF2D6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0.5303</w:t>
            </w:r>
          </w:p>
        </w:tc>
        <w:tc>
          <w:tcPr>
            <w:tcW w:w="623" w:type="pct"/>
            <w:noWrap w:val="0"/>
            <w:vAlign w:val="center"/>
          </w:tcPr>
          <w:p w14:paraId="624A0A9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623" w:type="pct"/>
            <w:gridSpan w:val="2"/>
            <w:noWrap w:val="0"/>
            <w:vAlign w:val="center"/>
          </w:tcPr>
          <w:p w14:paraId="6105F3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0.1539</w:t>
            </w:r>
          </w:p>
        </w:tc>
        <w:tc>
          <w:tcPr>
            <w:tcW w:w="625" w:type="pct"/>
            <w:noWrap w:val="0"/>
            <w:vAlign w:val="center"/>
          </w:tcPr>
          <w:p w14:paraId="533BB03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w:t>
            </w:r>
          </w:p>
        </w:tc>
        <w:tc>
          <w:tcPr>
            <w:tcW w:w="0" w:type="auto"/>
            <w:noWrap w:val="0"/>
            <w:vAlign w:val="center"/>
          </w:tcPr>
          <w:p w14:paraId="4D088C3D">
            <w:pPr>
              <w:pStyle w:val="24"/>
              <w:bidi w:val="0"/>
              <w:jc w:val="center"/>
              <w:rPr>
                <w:color w:val="auto"/>
                <w:u w:val="none" w:color="auto"/>
              </w:rPr>
            </w:pPr>
          </w:p>
        </w:tc>
      </w:tr>
      <w:tr w14:paraId="66CE0D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C58CFE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165389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623" w:type="pct"/>
            <w:noWrap w:val="0"/>
            <w:vAlign w:val="center"/>
          </w:tcPr>
          <w:p w14:paraId="6FA290F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2.802</w:t>
            </w:r>
          </w:p>
        </w:tc>
        <w:tc>
          <w:tcPr>
            <w:tcW w:w="623" w:type="pct"/>
            <w:noWrap w:val="0"/>
            <w:vAlign w:val="center"/>
          </w:tcPr>
          <w:p w14:paraId="55D56FB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0.31</w:t>
            </w:r>
          </w:p>
        </w:tc>
        <w:tc>
          <w:tcPr>
            <w:tcW w:w="623" w:type="pct"/>
            <w:gridSpan w:val="2"/>
            <w:noWrap w:val="0"/>
            <w:vAlign w:val="center"/>
          </w:tcPr>
          <w:p w14:paraId="47C9CD0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0.4596</w:t>
            </w:r>
          </w:p>
        </w:tc>
        <w:tc>
          <w:tcPr>
            <w:tcW w:w="623" w:type="pct"/>
            <w:noWrap w:val="0"/>
            <w:vAlign w:val="center"/>
          </w:tcPr>
          <w:p w14:paraId="4EF9E68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623" w:type="pct"/>
            <w:gridSpan w:val="2"/>
            <w:noWrap w:val="0"/>
            <w:vAlign w:val="center"/>
          </w:tcPr>
          <w:p w14:paraId="1A6C93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0.1334</w:t>
            </w:r>
          </w:p>
        </w:tc>
        <w:tc>
          <w:tcPr>
            <w:tcW w:w="625" w:type="pct"/>
            <w:noWrap w:val="0"/>
            <w:vAlign w:val="center"/>
          </w:tcPr>
          <w:p w14:paraId="292B8A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w:t>
            </w:r>
          </w:p>
        </w:tc>
        <w:tc>
          <w:tcPr>
            <w:tcW w:w="0" w:type="auto"/>
            <w:noWrap w:val="0"/>
            <w:vAlign w:val="center"/>
          </w:tcPr>
          <w:p w14:paraId="7A72D97A">
            <w:pPr>
              <w:pStyle w:val="24"/>
              <w:bidi w:val="0"/>
              <w:jc w:val="center"/>
              <w:rPr>
                <w:color w:val="auto"/>
                <w:u w:val="none" w:color="auto"/>
              </w:rPr>
            </w:pPr>
          </w:p>
        </w:tc>
      </w:tr>
      <w:tr w14:paraId="2C54C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7AA20F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626" w:type="pct"/>
            <w:noWrap w:val="0"/>
            <w:vAlign w:val="center"/>
          </w:tcPr>
          <w:p w14:paraId="334FC12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623" w:type="pct"/>
            <w:noWrap w:val="0"/>
            <w:vAlign w:val="center"/>
          </w:tcPr>
          <w:p w14:paraId="18A2097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2.4604</w:t>
            </w:r>
          </w:p>
        </w:tc>
        <w:tc>
          <w:tcPr>
            <w:tcW w:w="623" w:type="pct"/>
            <w:noWrap w:val="0"/>
            <w:vAlign w:val="center"/>
          </w:tcPr>
          <w:p w14:paraId="224507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0.27</w:t>
            </w:r>
          </w:p>
        </w:tc>
        <w:tc>
          <w:tcPr>
            <w:tcW w:w="623" w:type="pct"/>
            <w:gridSpan w:val="2"/>
            <w:noWrap w:val="0"/>
            <w:vAlign w:val="center"/>
          </w:tcPr>
          <w:p w14:paraId="175472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0.4036</w:t>
            </w:r>
          </w:p>
        </w:tc>
        <w:tc>
          <w:tcPr>
            <w:tcW w:w="623" w:type="pct"/>
            <w:noWrap w:val="0"/>
            <w:vAlign w:val="center"/>
          </w:tcPr>
          <w:p w14:paraId="41F283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623" w:type="pct"/>
            <w:gridSpan w:val="2"/>
            <w:noWrap w:val="0"/>
            <w:vAlign w:val="center"/>
          </w:tcPr>
          <w:p w14:paraId="354556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0.1172</w:t>
            </w:r>
          </w:p>
        </w:tc>
        <w:tc>
          <w:tcPr>
            <w:tcW w:w="625" w:type="pct"/>
            <w:noWrap w:val="0"/>
            <w:vAlign w:val="center"/>
          </w:tcPr>
          <w:p w14:paraId="7F29FA5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0.23</w:t>
            </w:r>
          </w:p>
        </w:tc>
        <w:tc>
          <w:tcPr>
            <w:tcW w:w="0" w:type="auto"/>
            <w:noWrap w:val="0"/>
            <w:vAlign w:val="center"/>
          </w:tcPr>
          <w:p w14:paraId="2F6E1574">
            <w:pPr>
              <w:pStyle w:val="24"/>
              <w:bidi w:val="0"/>
              <w:jc w:val="center"/>
              <w:rPr>
                <w:color w:val="auto"/>
                <w:u w:val="none" w:color="auto"/>
              </w:rPr>
            </w:pPr>
          </w:p>
        </w:tc>
      </w:tr>
      <w:tr w14:paraId="065F65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7DD80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6" w:type="pct"/>
            <w:noWrap w:val="0"/>
            <w:vAlign w:val="center"/>
          </w:tcPr>
          <w:p w14:paraId="67D4CB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623" w:type="pct"/>
            <w:noWrap w:val="0"/>
            <w:vAlign w:val="center"/>
          </w:tcPr>
          <w:p w14:paraId="6068D0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2.1853</w:t>
            </w:r>
          </w:p>
        </w:tc>
        <w:tc>
          <w:tcPr>
            <w:tcW w:w="623" w:type="pct"/>
            <w:noWrap w:val="0"/>
            <w:vAlign w:val="center"/>
          </w:tcPr>
          <w:p w14:paraId="17DD7D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0.24</w:t>
            </w:r>
          </w:p>
        </w:tc>
        <w:tc>
          <w:tcPr>
            <w:tcW w:w="623" w:type="pct"/>
            <w:gridSpan w:val="2"/>
            <w:noWrap w:val="0"/>
            <w:vAlign w:val="center"/>
          </w:tcPr>
          <w:p w14:paraId="750D26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0.3584</w:t>
            </w:r>
          </w:p>
        </w:tc>
        <w:tc>
          <w:tcPr>
            <w:tcW w:w="623" w:type="pct"/>
            <w:noWrap w:val="0"/>
            <w:vAlign w:val="center"/>
          </w:tcPr>
          <w:p w14:paraId="5E6104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623" w:type="pct"/>
            <w:gridSpan w:val="2"/>
            <w:noWrap w:val="0"/>
            <w:vAlign w:val="center"/>
          </w:tcPr>
          <w:p w14:paraId="597875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0.1041</w:t>
            </w:r>
          </w:p>
        </w:tc>
        <w:tc>
          <w:tcPr>
            <w:tcW w:w="625" w:type="pct"/>
            <w:noWrap w:val="0"/>
            <w:vAlign w:val="center"/>
          </w:tcPr>
          <w:p w14:paraId="212705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0" w:type="auto"/>
            <w:noWrap w:val="0"/>
            <w:vAlign w:val="center"/>
          </w:tcPr>
          <w:p w14:paraId="679AC31B">
            <w:pPr>
              <w:pStyle w:val="24"/>
              <w:bidi w:val="0"/>
              <w:jc w:val="center"/>
              <w:rPr>
                <w:color w:val="auto"/>
                <w:u w:val="none" w:color="auto"/>
              </w:rPr>
            </w:pPr>
          </w:p>
        </w:tc>
      </w:tr>
      <w:tr w14:paraId="07DBD0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04FDEB0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26" w:type="pct"/>
            <w:noWrap w:val="0"/>
            <w:vAlign w:val="center"/>
          </w:tcPr>
          <w:p w14:paraId="1004B8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623" w:type="pct"/>
            <w:noWrap w:val="0"/>
            <w:vAlign w:val="center"/>
          </w:tcPr>
          <w:p w14:paraId="185761B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1.9596</w:t>
            </w:r>
          </w:p>
        </w:tc>
        <w:tc>
          <w:tcPr>
            <w:tcW w:w="623" w:type="pct"/>
            <w:noWrap w:val="0"/>
            <w:vAlign w:val="center"/>
          </w:tcPr>
          <w:p w14:paraId="3FC97E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w:t>
            </w:r>
          </w:p>
        </w:tc>
        <w:tc>
          <w:tcPr>
            <w:tcW w:w="623" w:type="pct"/>
            <w:gridSpan w:val="2"/>
            <w:noWrap w:val="0"/>
            <w:vAlign w:val="center"/>
          </w:tcPr>
          <w:p w14:paraId="2CA10A4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0.3214</w:t>
            </w:r>
          </w:p>
        </w:tc>
        <w:tc>
          <w:tcPr>
            <w:tcW w:w="623" w:type="pct"/>
            <w:noWrap w:val="0"/>
            <w:vAlign w:val="center"/>
          </w:tcPr>
          <w:p w14:paraId="1E9AAC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623" w:type="pct"/>
            <w:gridSpan w:val="2"/>
            <w:noWrap w:val="0"/>
            <w:vAlign w:val="center"/>
          </w:tcPr>
          <w:p w14:paraId="4D97D0A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0.0933</w:t>
            </w:r>
          </w:p>
        </w:tc>
        <w:tc>
          <w:tcPr>
            <w:tcW w:w="625" w:type="pct"/>
            <w:noWrap w:val="0"/>
            <w:vAlign w:val="center"/>
          </w:tcPr>
          <w:p w14:paraId="31F28D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w:t>
            </w:r>
          </w:p>
        </w:tc>
        <w:tc>
          <w:tcPr>
            <w:tcW w:w="0" w:type="auto"/>
            <w:noWrap w:val="0"/>
            <w:vAlign w:val="center"/>
          </w:tcPr>
          <w:p w14:paraId="4502F4D0">
            <w:pPr>
              <w:pStyle w:val="24"/>
              <w:bidi w:val="0"/>
              <w:jc w:val="center"/>
              <w:rPr>
                <w:color w:val="auto"/>
                <w:u w:val="none" w:color="auto"/>
              </w:rPr>
            </w:pPr>
          </w:p>
        </w:tc>
      </w:tr>
      <w:tr w14:paraId="790404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5B2C80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26" w:type="pct"/>
            <w:noWrap w:val="0"/>
            <w:vAlign w:val="center"/>
          </w:tcPr>
          <w:p w14:paraId="634702F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623" w:type="pct"/>
            <w:noWrap w:val="0"/>
            <w:vAlign w:val="center"/>
          </w:tcPr>
          <w:p w14:paraId="750FC8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1.7714</w:t>
            </w:r>
          </w:p>
        </w:tc>
        <w:tc>
          <w:tcPr>
            <w:tcW w:w="623" w:type="pct"/>
            <w:noWrap w:val="0"/>
            <w:vAlign w:val="center"/>
          </w:tcPr>
          <w:p w14:paraId="2C40AF3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623" w:type="pct"/>
            <w:gridSpan w:val="2"/>
            <w:noWrap w:val="0"/>
            <w:vAlign w:val="center"/>
          </w:tcPr>
          <w:p w14:paraId="007882C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0.2905</w:t>
            </w:r>
          </w:p>
        </w:tc>
        <w:tc>
          <w:tcPr>
            <w:tcW w:w="623" w:type="pct"/>
            <w:noWrap w:val="0"/>
            <w:vAlign w:val="center"/>
          </w:tcPr>
          <w:p w14:paraId="53B0EA8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23" w:type="pct"/>
            <w:gridSpan w:val="2"/>
            <w:noWrap w:val="0"/>
            <w:vAlign w:val="center"/>
          </w:tcPr>
          <w:p w14:paraId="6A4C11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0.0844</w:t>
            </w:r>
          </w:p>
        </w:tc>
        <w:tc>
          <w:tcPr>
            <w:tcW w:w="625" w:type="pct"/>
            <w:noWrap w:val="0"/>
            <w:vAlign w:val="center"/>
          </w:tcPr>
          <w:p w14:paraId="53A0ABF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0" w:type="auto"/>
            <w:noWrap w:val="0"/>
            <w:vAlign w:val="center"/>
          </w:tcPr>
          <w:p w14:paraId="67147FB8">
            <w:pPr>
              <w:pStyle w:val="24"/>
              <w:bidi w:val="0"/>
              <w:jc w:val="center"/>
              <w:rPr>
                <w:color w:val="auto"/>
                <w:u w:val="none" w:color="auto"/>
              </w:rPr>
            </w:pPr>
          </w:p>
        </w:tc>
      </w:tr>
      <w:tr w14:paraId="02C73C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0A73B8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6" w:type="pct"/>
            <w:noWrap w:val="0"/>
            <w:vAlign w:val="center"/>
          </w:tcPr>
          <w:p w14:paraId="3515796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623" w:type="pct"/>
            <w:noWrap w:val="0"/>
            <w:vAlign w:val="center"/>
          </w:tcPr>
          <w:p w14:paraId="2451F4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1.6124</w:t>
            </w:r>
          </w:p>
        </w:tc>
        <w:tc>
          <w:tcPr>
            <w:tcW w:w="623" w:type="pct"/>
            <w:noWrap w:val="0"/>
            <w:vAlign w:val="center"/>
          </w:tcPr>
          <w:p w14:paraId="37EACB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0.18</w:t>
            </w:r>
          </w:p>
        </w:tc>
        <w:tc>
          <w:tcPr>
            <w:tcW w:w="623" w:type="pct"/>
            <w:gridSpan w:val="2"/>
            <w:noWrap w:val="0"/>
            <w:vAlign w:val="center"/>
          </w:tcPr>
          <w:p w14:paraId="757201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0.2645</w:t>
            </w:r>
          </w:p>
        </w:tc>
        <w:tc>
          <w:tcPr>
            <w:tcW w:w="623" w:type="pct"/>
            <w:noWrap w:val="0"/>
            <w:vAlign w:val="center"/>
          </w:tcPr>
          <w:p w14:paraId="7466D2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23" w:type="pct"/>
            <w:gridSpan w:val="2"/>
            <w:noWrap w:val="0"/>
            <w:vAlign w:val="center"/>
          </w:tcPr>
          <w:p w14:paraId="63AC96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0.0768</w:t>
            </w:r>
          </w:p>
        </w:tc>
        <w:tc>
          <w:tcPr>
            <w:tcW w:w="625" w:type="pct"/>
            <w:noWrap w:val="0"/>
            <w:vAlign w:val="center"/>
          </w:tcPr>
          <w:p w14:paraId="2E569DA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0" w:type="auto"/>
            <w:noWrap w:val="0"/>
            <w:vAlign w:val="center"/>
          </w:tcPr>
          <w:p w14:paraId="73ECC104">
            <w:pPr>
              <w:pStyle w:val="24"/>
              <w:bidi w:val="0"/>
              <w:jc w:val="center"/>
              <w:rPr>
                <w:color w:val="auto"/>
                <w:u w:val="none" w:color="auto"/>
              </w:rPr>
            </w:pPr>
          </w:p>
        </w:tc>
      </w:tr>
      <w:tr w14:paraId="04276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6DD047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16E595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623" w:type="pct"/>
            <w:noWrap w:val="0"/>
            <w:vAlign w:val="center"/>
          </w:tcPr>
          <w:p w14:paraId="6CDBBE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1.4819</w:t>
            </w:r>
          </w:p>
        </w:tc>
        <w:tc>
          <w:tcPr>
            <w:tcW w:w="623" w:type="pct"/>
            <w:noWrap w:val="0"/>
            <w:vAlign w:val="center"/>
          </w:tcPr>
          <w:p w14:paraId="2EE6350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w:t>
            </w:r>
          </w:p>
        </w:tc>
        <w:tc>
          <w:tcPr>
            <w:tcW w:w="623" w:type="pct"/>
            <w:gridSpan w:val="2"/>
            <w:noWrap w:val="0"/>
            <w:vAlign w:val="center"/>
          </w:tcPr>
          <w:p w14:paraId="161CB0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0.2431</w:t>
            </w:r>
          </w:p>
        </w:tc>
        <w:tc>
          <w:tcPr>
            <w:tcW w:w="623" w:type="pct"/>
            <w:noWrap w:val="0"/>
            <w:vAlign w:val="center"/>
          </w:tcPr>
          <w:p w14:paraId="6A222F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23" w:type="pct"/>
            <w:gridSpan w:val="2"/>
            <w:noWrap w:val="0"/>
            <w:vAlign w:val="center"/>
          </w:tcPr>
          <w:p w14:paraId="57B195C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0.0706</w:t>
            </w:r>
          </w:p>
        </w:tc>
        <w:tc>
          <w:tcPr>
            <w:tcW w:w="625" w:type="pct"/>
            <w:noWrap w:val="0"/>
            <w:vAlign w:val="center"/>
          </w:tcPr>
          <w:p w14:paraId="0C9CF9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0" w:type="auto"/>
            <w:noWrap w:val="0"/>
            <w:vAlign w:val="center"/>
          </w:tcPr>
          <w:p w14:paraId="4F0A9FCA">
            <w:pPr>
              <w:pStyle w:val="24"/>
              <w:bidi w:val="0"/>
              <w:jc w:val="center"/>
              <w:rPr>
                <w:color w:val="auto"/>
                <w:u w:val="none" w:color="auto"/>
              </w:rPr>
            </w:pPr>
          </w:p>
        </w:tc>
      </w:tr>
      <w:tr w14:paraId="4A4F90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B821E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34A287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623" w:type="pct"/>
            <w:noWrap w:val="0"/>
            <w:vAlign w:val="center"/>
          </w:tcPr>
          <w:p w14:paraId="1FDD2F7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1.3643</w:t>
            </w:r>
          </w:p>
        </w:tc>
        <w:tc>
          <w:tcPr>
            <w:tcW w:w="623" w:type="pct"/>
            <w:noWrap w:val="0"/>
            <w:vAlign w:val="center"/>
          </w:tcPr>
          <w:p w14:paraId="733018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623" w:type="pct"/>
            <w:gridSpan w:val="2"/>
            <w:noWrap w:val="0"/>
            <w:vAlign w:val="center"/>
          </w:tcPr>
          <w:p w14:paraId="4DEF96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0.2238</w:t>
            </w:r>
          </w:p>
        </w:tc>
        <w:tc>
          <w:tcPr>
            <w:tcW w:w="623" w:type="pct"/>
            <w:noWrap w:val="0"/>
            <w:vAlign w:val="center"/>
          </w:tcPr>
          <w:p w14:paraId="7F81E1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23" w:type="pct"/>
            <w:gridSpan w:val="2"/>
            <w:noWrap w:val="0"/>
            <w:vAlign w:val="center"/>
          </w:tcPr>
          <w:p w14:paraId="163A234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0.065</w:t>
            </w:r>
          </w:p>
        </w:tc>
        <w:tc>
          <w:tcPr>
            <w:tcW w:w="625" w:type="pct"/>
            <w:noWrap w:val="0"/>
            <w:vAlign w:val="center"/>
          </w:tcPr>
          <w:p w14:paraId="3C961F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0" w:type="auto"/>
            <w:noWrap w:val="0"/>
            <w:vAlign w:val="center"/>
          </w:tcPr>
          <w:p w14:paraId="7489BAFE">
            <w:pPr>
              <w:pStyle w:val="24"/>
              <w:bidi w:val="0"/>
              <w:jc w:val="center"/>
              <w:rPr>
                <w:color w:val="auto"/>
                <w:u w:val="none" w:color="auto"/>
              </w:rPr>
            </w:pPr>
          </w:p>
        </w:tc>
      </w:tr>
      <w:tr w14:paraId="14D12A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03439C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2D181A7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623" w:type="pct"/>
            <w:noWrap w:val="0"/>
            <w:vAlign w:val="center"/>
          </w:tcPr>
          <w:p w14:paraId="08C47F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1.2621</w:t>
            </w:r>
          </w:p>
        </w:tc>
        <w:tc>
          <w:tcPr>
            <w:tcW w:w="623" w:type="pct"/>
            <w:noWrap w:val="0"/>
            <w:vAlign w:val="center"/>
          </w:tcPr>
          <w:p w14:paraId="644017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623" w:type="pct"/>
            <w:gridSpan w:val="2"/>
            <w:noWrap w:val="0"/>
            <w:vAlign w:val="center"/>
          </w:tcPr>
          <w:p w14:paraId="03D299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0.207</w:t>
            </w:r>
          </w:p>
        </w:tc>
        <w:tc>
          <w:tcPr>
            <w:tcW w:w="623" w:type="pct"/>
            <w:noWrap w:val="0"/>
            <w:vAlign w:val="center"/>
          </w:tcPr>
          <w:p w14:paraId="34108F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23" w:type="pct"/>
            <w:gridSpan w:val="2"/>
            <w:noWrap w:val="0"/>
            <w:vAlign w:val="center"/>
          </w:tcPr>
          <w:p w14:paraId="0772F9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0.0601</w:t>
            </w:r>
          </w:p>
        </w:tc>
        <w:tc>
          <w:tcPr>
            <w:tcW w:w="625" w:type="pct"/>
            <w:noWrap w:val="0"/>
            <w:vAlign w:val="center"/>
          </w:tcPr>
          <w:p w14:paraId="39EB87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0" w:type="auto"/>
            <w:noWrap w:val="0"/>
            <w:vAlign w:val="center"/>
          </w:tcPr>
          <w:p w14:paraId="54BEC1BA">
            <w:pPr>
              <w:pStyle w:val="24"/>
              <w:bidi w:val="0"/>
              <w:jc w:val="center"/>
              <w:rPr>
                <w:color w:val="auto"/>
                <w:u w:val="none" w:color="auto"/>
              </w:rPr>
            </w:pPr>
          </w:p>
        </w:tc>
      </w:tr>
      <w:tr w14:paraId="3F0A4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694772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7461C15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623" w:type="pct"/>
            <w:noWrap w:val="0"/>
            <w:vAlign w:val="center"/>
          </w:tcPr>
          <w:p w14:paraId="3BE7E4D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1.1726</w:t>
            </w:r>
          </w:p>
        </w:tc>
        <w:tc>
          <w:tcPr>
            <w:tcW w:w="623" w:type="pct"/>
            <w:noWrap w:val="0"/>
            <w:vAlign w:val="center"/>
          </w:tcPr>
          <w:p w14:paraId="0A2EB0A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623" w:type="pct"/>
            <w:gridSpan w:val="2"/>
            <w:noWrap w:val="0"/>
            <w:vAlign w:val="center"/>
          </w:tcPr>
          <w:p w14:paraId="3314CF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0.1923</w:t>
            </w:r>
          </w:p>
        </w:tc>
        <w:tc>
          <w:tcPr>
            <w:tcW w:w="623" w:type="pct"/>
            <w:noWrap w:val="0"/>
            <w:vAlign w:val="center"/>
          </w:tcPr>
          <w:p w14:paraId="5AE10A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c>
          <w:tcPr>
            <w:tcW w:w="623" w:type="pct"/>
            <w:gridSpan w:val="2"/>
            <w:noWrap w:val="0"/>
            <w:vAlign w:val="center"/>
          </w:tcPr>
          <w:p w14:paraId="3B0E4C7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0.0558</w:t>
            </w:r>
          </w:p>
        </w:tc>
        <w:tc>
          <w:tcPr>
            <w:tcW w:w="625" w:type="pct"/>
            <w:noWrap w:val="0"/>
            <w:vAlign w:val="center"/>
          </w:tcPr>
          <w:p w14:paraId="261686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0" w:type="auto"/>
            <w:noWrap w:val="0"/>
            <w:vAlign w:val="center"/>
          </w:tcPr>
          <w:p w14:paraId="28D3464E">
            <w:pPr>
              <w:pStyle w:val="24"/>
              <w:bidi w:val="0"/>
              <w:jc w:val="center"/>
              <w:rPr>
                <w:color w:val="auto"/>
                <w:u w:val="none" w:color="auto"/>
              </w:rPr>
            </w:pPr>
          </w:p>
        </w:tc>
      </w:tr>
      <w:tr w14:paraId="74956A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65D5B4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626" w:type="pct"/>
            <w:noWrap w:val="0"/>
            <w:vAlign w:val="center"/>
          </w:tcPr>
          <w:p w14:paraId="4FE426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623" w:type="pct"/>
            <w:noWrap w:val="0"/>
            <w:vAlign w:val="center"/>
          </w:tcPr>
          <w:p w14:paraId="2E9E88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1.0938</w:t>
            </w:r>
          </w:p>
        </w:tc>
        <w:tc>
          <w:tcPr>
            <w:tcW w:w="623" w:type="pct"/>
            <w:noWrap w:val="0"/>
            <w:vAlign w:val="center"/>
          </w:tcPr>
          <w:p w14:paraId="77B0F15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623" w:type="pct"/>
            <w:gridSpan w:val="2"/>
            <w:noWrap w:val="0"/>
            <w:vAlign w:val="center"/>
          </w:tcPr>
          <w:p w14:paraId="7A0F17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0.1794</w:t>
            </w:r>
          </w:p>
        </w:tc>
        <w:tc>
          <w:tcPr>
            <w:tcW w:w="623" w:type="pct"/>
            <w:noWrap w:val="0"/>
            <w:vAlign w:val="center"/>
          </w:tcPr>
          <w:p w14:paraId="38F57AF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11E2BF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0.0521</w:t>
            </w:r>
          </w:p>
        </w:tc>
        <w:tc>
          <w:tcPr>
            <w:tcW w:w="625" w:type="pct"/>
            <w:noWrap w:val="0"/>
            <w:vAlign w:val="center"/>
          </w:tcPr>
          <w:p w14:paraId="7637486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0" w:type="auto"/>
            <w:noWrap w:val="0"/>
            <w:vAlign w:val="center"/>
          </w:tcPr>
          <w:p w14:paraId="15270BB7">
            <w:pPr>
              <w:pStyle w:val="24"/>
              <w:bidi w:val="0"/>
              <w:jc w:val="center"/>
              <w:rPr>
                <w:color w:val="auto"/>
                <w:u w:val="none" w:color="auto"/>
              </w:rPr>
            </w:pPr>
          </w:p>
        </w:tc>
      </w:tr>
      <w:tr w14:paraId="79F9B8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6E66E9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6" w:type="pct"/>
            <w:noWrap w:val="0"/>
            <w:vAlign w:val="center"/>
          </w:tcPr>
          <w:p w14:paraId="2505CF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623" w:type="pct"/>
            <w:noWrap w:val="0"/>
            <w:vAlign w:val="center"/>
          </w:tcPr>
          <w:p w14:paraId="74A0A6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1.0239</w:t>
            </w:r>
          </w:p>
        </w:tc>
        <w:tc>
          <w:tcPr>
            <w:tcW w:w="623" w:type="pct"/>
            <w:noWrap w:val="0"/>
            <w:vAlign w:val="center"/>
          </w:tcPr>
          <w:p w14:paraId="06C6B3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623" w:type="pct"/>
            <w:gridSpan w:val="2"/>
            <w:noWrap w:val="0"/>
            <w:vAlign w:val="center"/>
          </w:tcPr>
          <w:p w14:paraId="38CF29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0.1679</w:t>
            </w:r>
          </w:p>
        </w:tc>
        <w:tc>
          <w:tcPr>
            <w:tcW w:w="623" w:type="pct"/>
            <w:noWrap w:val="0"/>
            <w:vAlign w:val="center"/>
          </w:tcPr>
          <w:p w14:paraId="7B170C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098C5B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0.0488</w:t>
            </w:r>
          </w:p>
        </w:tc>
        <w:tc>
          <w:tcPr>
            <w:tcW w:w="625" w:type="pct"/>
            <w:noWrap w:val="0"/>
            <w:vAlign w:val="center"/>
          </w:tcPr>
          <w:p w14:paraId="754D0FC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0" w:type="auto"/>
            <w:noWrap w:val="0"/>
            <w:vAlign w:val="center"/>
          </w:tcPr>
          <w:p w14:paraId="6C64FE51">
            <w:pPr>
              <w:pStyle w:val="24"/>
              <w:bidi w:val="0"/>
              <w:jc w:val="center"/>
              <w:rPr>
                <w:color w:val="auto"/>
                <w:u w:val="none" w:color="auto"/>
              </w:rPr>
            </w:pPr>
          </w:p>
        </w:tc>
      </w:tr>
      <w:tr w14:paraId="2D0DD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7459889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26" w:type="pct"/>
            <w:noWrap w:val="0"/>
            <w:vAlign w:val="center"/>
          </w:tcPr>
          <w:p w14:paraId="5EE4838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623" w:type="pct"/>
            <w:noWrap w:val="0"/>
            <w:vAlign w:val="center"/>
          </w:tcPr>
          <w:p w14:paraId="2382C68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0.9616</w:t>
            </w:r>
          </w:p>
        </w:tc>
        <w:tc>
          <w:tcPr>
            <w:tcW w:w="623" w:type="pct"/>
            <w:noWrap w:val="0"/>
            <w:vAlign w:val="center"/>
          </w:tcPr>
          <w:p w14:paraId="5CCECC3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623" w:type="pct"/>
            <w:gridSpan w:val="2"/>
            <w:noWrap w:val="0"/>
            <w:vAlign w:val="center"/>
          </w:tcPr>
          <w:p w14:paraId="594C16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0.1577</w:t>
            </w:r>
          </w:p>
        </w:tc>
        <w:tc>
          <w:tcPr>
            <w:tcW w:w="623" w:type="pct"/>
            <w:noWrap w:val="0"/>
            <w:vAlign w:val="center"/>
          </w:tcPr>
          <w:p w14:paraId="71AF9B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5C354BD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0.0458</w:t>
            </w:r>
          </w:p>
        </w:tc>
        <w:tc>
          <w:tcPr>
            <w:tcW w:w="625" w:type="pct"/>
            <w:noWrap w:val="0"/>
            <w:vAlign w:val="center"/>
          </w:tcPr>
          <w:p w14:paraId="32FBC2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0" w:type="auto"/>
            <w:noWrap w:val="0"/>
            <w:vAlign w:val="center"/>
          </w:tcPr>
          <w:p w14:paraId="69C925DE">
            <w:pPr>
              <w:pStyle w:val="24"/>
              <w:bidi w:val="0"/>
              <w:jc w:val="center"/>
              <w:rPr>
                <w:color w:val="auto"/>
                <w:u w:val="none" w:color="auto"/>
              </w:rPr>
            </w:pPr>
          </w:p>
        </w:tc>
      </w:tr>
      <w:tr w14:paraId="177678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440C370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626" w:type="pct"/>
            <w:noWrap w:val="0"/>
            <w:vAlign w:val="center"/>
          </w:tcPr>
          <w:p w14:paraId="357696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623" w:type="pct"/>
            <w:noWrap w:val="0"/>
            <w:vAlign w:val="center"/>
          </w:tcPr>
          <w:p w14:paraId="6B7FE9B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0.9059</w:t>
            </w:r>
          </w:p>
        </w:tc>
        <w:tc>
          <w:tcPr>
            <w:tcW w:w="623" w:type="pct"/>
            <w:noWrap w:val="0"/>
            <w:vAlign w:val="center"/>
          </w:tcPr>
          <w:p w14:paraId="029244E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23" w:type="pct"/>
            <w:gridSpan w:val="2"/>
            <w:noWrap w:val="0"/>
            <w:vAlign w:val="center"/>
          </w:tcPr>
          <w:p w14:paraId="2F696F8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0.1486</w:t>
            </w:r>
          </w:p>
        </w:tc>
        <w:tc>
          <w:tcPr>
            <w:tcW w:w="623" w:type="pct"/>
            <w:noWrap w:val="0"/>
            <w:vAlign w:val="center"/>
          </w:tcPr>
          <w:p w14:paraId="28BBE59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4B77BD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0.0431</w:t>
            </w:r>
          </w:p>
        </w:tc>
        <w:tc>
          <w:tcPr>
            <w:tcW w:w="625" w:type="pct"/>
            <w:noWrap w:val="0"/>
            <w:vAlign w:val="center"/>
          </w:tcPr>
          <w:p w14:paraId="5CBCCE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0" w:type="auto"/>
            <w:noWrap w:val="0"/>
            <w:vAlign w:val="center"/>
          </w:tcPr>
          <w:p w14:paraId="2FD6BDB4">
            <w:pPr>
              <w:pStyle w:val="24"/>
              <w:bidi w:val="0"/>
              <w:jc w:val="center"/>
              <w:rPr>
                <w:color w:val="auto"/>
                <w:u w:val="none" w:color="auto"/>
              </w:rPr>
            </w:pPr>
          </w:p>
        </w:tc>
      </w:tr>
      <w:tr w14:paraId="3FF01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1019775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6" w:type="pct"/>
            <w:noWrap w:val="0"/>
            <w:vAlign w:val="center"/>
          </w:tcPr>
          <w:p w14:paraId="6AA2B4B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623" w:type="pct"/>
            <w:noWrap w:val="0"/>
            <w:vAlign w:val="center"/>
          </w:tcPr>
          <w:p w14:paraId="2189074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0.856</w:t>
            </w:r>
          </w:p>
        </w:tc>
        <w:tc>
          <w:tcPr>
            <w:tcW w:w="623" w:type="pct"/>
            <w:noWrap w:val="0"/>
            <w:vAlign w:val="center"/>
          </w:tcPr>
          <w:p w14:paraId="4ADA15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c>
          <w:tcPr>
            <w:tcW w:w="623" w:type="pct"/>
            <w:gridSpan w:val="2"/>
            <w:noWrap w:val="0"/>
            <w:vAlign w:val="center"/>
          </w:tcPr>
          <w:p w14:paraId="6A2FBAF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0.1404</w:t>
            </w:r>
          </w:p>
        </w:tc>
        <w:tc>
          <w:tcPr>
            <w:tcW w:w="623" w:type="pct"/>
            <w:noWrap w:val="0"/>
            <w:vAlign w:val="center"/>
          </w:tcPr>
          <w:p w14:paraId="3E1E92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47CDBD7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0.0408</w:t>
            </w:r>
          </w:p>
        </w:tc>
        <w:tc>
          <w:tcPr>
            <w:tcW w:w="625" w:type="pct"/>
            <w:noWrap w:val="0"/>
            <w:vAlign w:val="center"/>
          </w:tcPr>
          <w:p w14:paraId="4C6B1B6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0" w:type="auto"/>
            <w:noWrap w:val="0"/>
            <w:vAlign w:val="center"/>
          </w:tcPr>
          <w:p w14:paraId="5DF1B03C">
            <w:pPr>
              <w:pStyle w:val="24"/>
              <w:bidi w:val="0"/>
              <w:jc w:val="center"/>
              <w:rPr>
                <w:color w:val="auto"/>
                <w:u w:val="none" w:color="auto"/>
              </w:rPr>
            </w:pPr>
          </w:p>
        </w:tc>
      </w:tr>
      <w:tr w14:paraId="57F64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noWrap w:val="0"/>
            <w:vAlign w:val="center"/>
          </w:tcPr>
          <w:p w14:paraId="36DF686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626" w:type="pct"/>
            <w:noWrap w:val="0"/>
            <w:vAlign w:val="center"/>
          </w:tcPr>
          <w:p w14:paraId="0E4ED6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623" w:type="pct"/>
            <w:noWrap w:val="0"/>
            <w:vAlign w:val="center"/>
          </w:tcPr>
          <w:p w14:paraId="0EDC5E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0.8109</w:t>
            </w:r>
          </w:p>
        </w:tc>
        <w:tc>
          <w:tcPr>
            <w:tcW w:w="623" w:type="pct"/>
            <w:noWrap w:val="0"/>
            <w:vAlign w:val="center"/>
          </w:tcPr>
          <w:p w14:paraId="5AB272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623" w:type="pct"/>
            <w:gridSpan w:val="2"/>
            <w:noWrap w:val="0"/>
            <w:vAlign w:val="center"/>
          </w:tcPr>
          <w:p w14:paraId="6BEB051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0.133</w:t>
            </w:r>
          </w:p>
        </w:tc>
        <w:tc>
          <w:tcPr>
            <w:tcW w:w="623" w:type="pct"/>
            <w:noWrap w:val="0"/>
            <w:vAlign w:val="center"/>
          </w:tcPr>
          <w:p w14:paraId="268E164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c>
          <w:tcPr>
            <w:tcW w:w="623" w:type="pct"/>
            <w:gridSpan w:val="2"/>
            <w:noWrap w:val="0"/>
            <w:vAlign w:val="center"/>
          </w:tcPr>
          <w:p w14:paraId="3AA0998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0.0386</w:t>
            </w:r>
          </w:p>
        </w:tc>
        <w:tc>
          <w:tcPr>
            <w:tcW w:w="625" w:type="pct"/>
            <w:noWrap w:val="0"/>
            <w:vAlign w:val="center"/>
          </w:tcPr>
          <w:p w14:paraId="509DC0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0" w:type="auto"/>
            <w:noWrap w:val="0"/>
            <w:vAlign w:val="center"/>
          </w:tcPr>
          <w:p w14:paraId="5CDD78A4">
            <w:pPr>
              <w:pStyle w:val="24"/>
              <w:bidi w:val="0"/>
              <w:jc w:val="center"/>
              <w:rPr>
                <w:color w:val="auto"/>
                <w:u w:val="none" w:color="auto"/>
              </w:rPr>
            </w:pPr>
          </w:p>
        </w:tc>
      </w:tr>
      <w:tr w14:paraId="7580F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pct"/>
            <w:gridSpan w:val="2"/>
            <w:noWrap w:val="0"/>
            <w:vAlign w:val="center"/>
          </w:tcPr>
          <w:p w14:paraId="62E7F429">
            <w:pPr>
              <w:pStyle w:val="24"/>
              <w:bidi w:val="0"/>
              <w:jc w:val="center"/>
              <w:rPr>
                <w:rFonts w:hint="eastAsia"/>
                <w:color w:val="auto"/>
                <w:u w:val="none" w:color="auto"/>
                <w:lang w:val="en-US" w:eastAsia="zh-CN"/>
              </w:rPr>
            </w:pPr>
            <w:r>
              <w:rPr>
                <w:color w:val="auto"/>
                <w:u w:val="none" w:color="auto"/>
              </w:rPr>
              <w:t>下风向最大质量浓度及占标率</w:t>
            </w:r>
          </w:p>
        </w:tc>
        <w:tc>
          <w:tcPr>
            <w:tcW w:w="623" w:type="pct"/>
            <w:noWrap w:val="0"/>
            <w:vAlign w:val="center"/>
          </w:tcPr>
          <w:p w14:paraId="70021884">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57.093</w:t>
            </w:r>
          </w:p>
        </w:tc>
        <w:tc>
          <w:tcPr>
            <w:tcW w:w="623" w:type="pct"/>
            <w:noWrap w:val="0"/>
            <w:vAlign w:val="center"/>
          </w:tcPr>
          <w:p w14:paraId="1715D58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6.34</w:t>
            </w:r>
          </w:p>
        </w:tc>
        <w:tc>
          <w:tcPr>
            <w:tcW w:w="623" w:type="pct"/>
            <w:gridSpan w:val="2"/>
            <w:noWrap w:val="0"/>
            <w:vAlign w:val="center"/>
          </w:tcPr>
          <w:p w14:paraId="7AABE43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9.3645</w:t>
            </w:r>
          </w:p>
        </w:tc>
        <w:tc>
          <w:tcPr>
            <w:tcW w:w="623" w:type="pct"/>
            <w:noWrap w:val="0"/>
            <w:vAlign w:val="center"/>
          </w:tcPr>
          <w:p w14:paraId="45E501BB">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0.78</w:t>
            </w:r>
          </w:p>
        </w:tc>
        <w:tc>
          <w:tcPr>
            <w:tcW w:w="623" w:type="pct"/>
            <w:gridSpan w:val="2"/>
            <w:noWrap w:val="0"/>
            <w:vAlign w:val="center"/>
          </w:tcPr>
          <w:p w14:paraId="53F2D664">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2.7187</w:t>
            </w:r>
          </w:p>
        </w:tc>
        <w:tc>
          <w:tcPr>
            <w:tcW w:w="625" w:type="pct"/>
            <w:noWrap w:val="0"/>
            <w:vAlign w:val="center"/>
          </w:tcPr>
          <w:p w14:paraId="725A8CA7">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5.44</w:t>
            </w:r>
          </w:p>
        </w:tc>
        <w:tc>
          <w:tcPr>
            <w:tcW w:w="0" w:type="auto"/>
            <w:noWrap w:val="0"/>
            <w:vAlign w:val="center"/>
          </w:tcPr>
          <w:p w14:paraId="59B57A9B">
            <w:pPr>
              <w:pStyle w:val="24"/>
              <w:bidi w:val="0"/>
              <w:jc w:val="center"/>
              <w:rPr>
                <w:color w:val="auto"/>
                <w:u w:val="none" w:color="auto"/>
              </w:rPr>
            </w:pPr>
          </w:p>
        </w:tc>
      </w:tr>
      <w:tr w14:paraId="54459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54" w:type="pct"/>
            <w:gridSpan w:val="2"/>
            <w:noWrap w:val="0"/>
            <w:vAlign w:val="center"/>
          </w:tcPr>
          <w:p w14:paraId="7DDE1890">
            <w:pPr>
              <w:pStyle w:val="24"/>
              <w:bidi w:val="0"/>
              <w:jc w:val="center"/>
              <w:rPr>
                <w:color w:val="auto"/>
                <w:u w:val="none" w:color="auto"/>
              </w:rPr>
            </w:pPr>
            <w:r>
              <w:rPr>
                <w:color w:val="auto"/>
                <w:u w:val="none" w:color="auto"/>
              </w:rPr>
              <w:t>D10%最远距离/m</w:t>
            </w:r>
          </w:p>
        </w:tc>
        <w:tc>
          <w:tcPr>
            <w:tcW w:w="3745" w:type="pct"/>
            <w:gridSpan w:val="9"/>
            <w:noWrap w:val="0"/>
            <w:vAlign w:val="center"/>
          </w:tcPr>
          <w:p w14:paraId="516D3BFF">
            <w:pPr>
              <w:pStyle w:val="24"/>
              <w:bidi w:val="0"/>
              <w:jc w:val="center"/>
              <w:rPr>
                <w:rFonts w:hint="eastAsia"/>
                <w:b/>
                <w:bCs/>
                <w:color w:val="auto"/>
                <w:u w:val="none" w:color="auto"/>
                <w:lang w:val="en-US" w:eastAsia="zh-CN"/>
              </w:rPr>
            </w:pPr>
            <w:r>
              <w:rPr>
                <w:color w:val="auto"/>
                <w:u w:val="none" w:color="auto"/>
              </w:rPr>
              <w:t>/</w:t>
            </w:r>
          </w:p>
        </w:tc>
      </w:tr>
    </w:tbl>
    <w:p w14:paraId="4A02FA99">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6.2-10</w:t>
      </w:r>
      <w:r>
        <w:rPr>
          <w:rFonts w:hint="default"/>
          <w:color w:val="auto"/>
          <w:u w:val="none" w:color="auto"/>
        </w:rPr>
        <w:t xml:space="preserve"> </w:t>
      </w:r>
      <w:r>
        <w:rPr>
          <w:rFonts w:hint="eastAsia"/>
          <w:color w:val="auto"/>
          <w:u w:val="none" w:color="auto"/>
          <w:lang w:val="en-US" w:eastAsia="zh-CN"/>
        </w:rPr>
        <w:t>无</w:t>
      </w:r>
      <w:r>
        <w:rPr>
          <w:rFonts w:hint="default"/>
          <w:color w:val="auto"/>
          <w:u w:val="none" w:color="auto"/>
          <w:lang w:eastAsia="zh-CN"/>
        </w:rPr>
        <w:t>组织废气</w:t>
      </w:r>
      <w:r>
        <w:rPr>
          <w:rFonts w:hint="default"/>
          <w:color w:val="auto"/>
          <w:u w:val="none" w:color="auto"/>
        </w:rPr>
        <w:t>估算模式计算结果表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6"/>
        <w:gridCol w:w="1452"/>
        <w:gridCol w:w="1447"/>
        <w:gridCol w:w="1447"/>
        <w:gridCol w:w="1447"/>
        <w:gridCol w:w="1273"/>
      </w:tblGrid>
      <w:tr w14:paraId="73742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vMerge w:val="restart"/>
            <w:noWrap w:val="0"/>
            <w:vAlign w:val="center"/>
          </w:tcPr>
          <w:p w14:paraId="0E375D38">
            <w:pPr>
              <w:pStyle w:val="24"/>
              <w:bidi w:val="0"/>
              <w:jc w:val="center"/>
              <w:rPr>
                <w:color w:val="auto"/>
                <w:u w:val="none" w:color="auto"/>
              </w:rPr>
            </w:pPr>
            <w:r>
              <w:rPr>
                <w:rFonts w:hint="eastAsia"/>
                <w:color w:val="auto"/>
                <w:u w:val="none" w:color="auto"/>
              </w:rPr>
              <w:t>方位角(度)</w:t>
            </w:r>
          </w:p>
        </w:tc>
        <w:tc>
          <w:tcPr>
            <w:tcW w:w="852" w:type="pct"/>
            <w:vMerge w:val="restart"/>
            <w:noWrap w:val="0"/>
            <w:vAlign w:val="center"/>
          </w:tcPr>
          <w:p w14:paraId="500467D1">
            <w:pPr>
              <w:pStyle w:val="24"/>
              <w:bidi w:val="0"/>
              <w:jc w:val="center"/>
              <w:rPr>
                <w:color w:val="auto"/>
                <w:u w:val="none" w:color="auto"/>
              </w:rPr>
            </w:pPr>
            <w:r>
              <w:rPr>
                <w:rFonts w:hint="eastAsia"/>
                <w:color w:val="auto"/>
                <w:u w:val="none" w:color="auto"/>
              </w:rPr>
              <w:t>离源距离(m)</w:t>
            </w:r>
          </w:p>
        </w:tc>
        <w:tc>
          <w:tcPr>
            <w:tcW w:w="3293" w:type="pct"/>
            <w:gridSpan w:val="4"/>
            <w:noWrap w:val="0"/>
            <w:vAlign w:val="center"/>
          </w:tcPr>
          <w:p w14:paraId="31933956">
            <w:pPr>
              <w:pStyle w:val="24"/>
              <w:bidi w:val="0"/>
              <w:jc w:val="center"/>
              <w:rPr>
                <w:rFonts w:hint="default"/>
                <w:color w:val="auto"/>
                <w:u w:val="none" w:color="auto"/>
                <w:lang w:val="en-US" w:eastAsia="zh-CN"/>
              </w:rPr>
            </w:pPr>
            <w:r>
              <w:rPr>
                <w:rFonts w:hint="eastAsia"/>
                <w:color w:val="auto"/>
                <w:u w:val="none" w:color="auto"/>
                <w:lang w:val="en-US" w:eastAsia="zh-CN"/>
              </w:rPr>
              <w:t>2#厂房</w:t>
            </w:r>
          </w:p>
        </w:tc>
      </w:tr>
      <w:tr w14:paraId="42D59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vMerge w:val="continue"/>
            <w:noWrap w:val="0"/>
            <w:vAlign w:val="center"/>
          </w:tcPr>
          <w:p w14:paraId="1319E113">
            <w:pPr>
              <w:pStyle w:val="24"/>
              <w:bidi w:val="0"/>
              <w:jc w:val="center"/>
              <w:rPr>
                <w:rFonts w:hint="eastAsia"/>
                <w:color w:val="auto"/>
                <w:u w:val="none" w:color="auto"/>
                <w:lang w:eastAsia="zh-CN"/>
              </w:rPr>
            </w:pPr>
          </w:p>
        </w:tc>
        <w:tc>
          <w:tcPr>
            <w:tcW w:w="852" w:type="pct"/>
            <w:vMerge w:val="continue"/>
            <w:noWrap w:val="0"/>
            <w:vAlign w:val="center"/>
          </w:tcPr>
          <w:p w14:paraId="16E37A9E">
            <w:pPr>
              <w:pStyle w:val="24"/>
              <w:bidi w:val="0"/>
              <w:jc w:val="center"/>
              <w:rPr>
                <w:rFonts w:hint="eastAsia"/>
                <w:color w:val="auto"/>
                <w:u w:val="none" w:color="auto"/>
                <w:lang w:eastAsia="zh-CN"/>
              </w:rPr>
            </w:pPr>
          </w:p>
        </w:tc>
        <w:tc>
          <w:tcPr>
            <w:tcW w:w="1698" w:type="pct"/>
            <w:gridSpan w:val="2"/>
            <w:noWrap w:val="0"/>
            <w:vAlign w:val="center"/>
          </w:tcPr>
          <w:p w14:paraId="1DDA630E">
            <w:pPr>
              <w:pStyle w:val="24"/>
              <w:bidi w:val="0"/>
              <w:jc w:val="center"/>
              <w:rPr>
                <w:rFonts w:hint="eastAsia"/>
                <w:color w:val="auto"/>
                <w:u w:val="none" w:color="auto"/>
                <w:lang w:eastAsia="zh-CN"/>
              </w:rPr>
            </w:pPr>
            <w:r>
              <w:rPr>
                <w:rFonts w:hint="eastAsia"/>
                <w:color w:val="auto"/>
                <w:u w:val="none" w:color="auto"/>
                <w:lang w:val="en-US" w:eastAsia="zh-CN"/>
              </w:rPr>
              <w:t>TVOC</w:t>
            </w:r>
          </w:p>
        </w:tc>
        <w:tc>
          <w:tcPr>
            <w:tcW w:w="1594" w:type="pct"/>
            <w:gridSpan w:val="2"/>
            <w:noWrap w:val="0"/>
            <w:vAlign w:val="center"/>
          </w:tcPr>
          <w:p w14:paraId="44526E1C">
            <w:pPr>
              <w:pStyle w:val="24"/>
              <w:bidi w:val="0"/>
              <w:jc w:val="center"/>
              <w:rPr>
                <w:rFonts w:hint="default"/>
                <w:color w:val="auto"/>
                <w:u w:val="none" w:color="auto"/>
                <w:lang w:val="en-US" w:eastAsia="zh-CN"/>
              </w:rPr>
            </w:pPr>
            <w:r>
              <w:rPr>
                <w:rFonts w:hint="eastAsia"/>
                <w:color w:val="auto"/>
                <w:u w:val="none" w:color="auto"/>
                <w:lang w:val="en-US" w:eastAsia="zh-CN"/>
              </w:rPr>
              <w:t>二甲苯</w:t>
            </w:r>
          </w:p>
        </w:tc>
      </w:tr>
      <w:tr w14:paraId="01D89A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vMerge w:val="continue"/>
            <w:noWrap w:val="0"/>
            <w:vAlign w:val="center"/>
          </w:tcPr>
          <w:p w14:paraId="786A4DBC">
            <w:pPr>
              <w:pStyle w:val="24"/>
              <w:bidi w:val="0"/>
              <w:jc w:val="center"/>
              <w:rPr>
                <w:color w:val="auto"/>
                <w:u w:val="none" w:color="auto"/>
              </w:rPr>
            </w:pPr>
          </w:p>
        </w:tc>
        <w:tc>
          <w:tcPr>
            <w:tcW w:w="852" w:type="pct"/>
            <w:vMerge w:val="continue"/>
            <w:noWrap w:val="0"/>
            <w:vAlign w:val="center"/>
          </w:tcPr>
          <w:p w14:paraId="42288EB2">
            <w:pPr>
              <w:pStyle w:val="24"/>
              <w:bidi w:val="0"/>
              <w:jc w:val="center"/>
              <w:rPr>
                <w:color w:val="auto"/>
                <w:u w:val="none" w:color="auto"/>
              </w:rPr>
            </w:pPr>
          </w:p>
        </w:tc>
        <w:tc>
          <w:tcPr>
            <w:tcW w:w="849" w:type="pct"/>
            <w:noWrap w:val="0"/>
            <w:vAlign w:val="center"/>
          </w:tcPr>
          <w:p w14:paraId="6E31CAF8">
            <w:pPr>
              <w:pStyle w:val="24"/>
              <w:bidi w:val="0"/>
              <w:jc w:val="center"/>
              <w:rPr>
                <w:color w:val="auto"/>
                <w:u w:val="none" w:color="auto"/>
              </w:rPr>
            </w:pPr>
            <w:r>
              <w:rPr>
                <w:color w:val="auto"/>
                <w:u w:val="none" w:color="auto"/>
              </w:rPr>
              <w:t>预测质量浓度μg/m</w:t>
            </w:r>
            <w:r>
              <w:rPr>
                <w:color w:val="auto"/>
                <w:u w:val="none" w:color="auto"/>
                <w:vertAlign w:val="superscript"/>
              </w:rPr>
              <w:t>3</w:t>
            </w:r>
          </w:p>
        </w:tc>
        <w:tc>
          <w:tcPr>
            <w:tcW w:w="849" w:type="pct"/>
            <w:noWrap w:val="0"/>
            <w:vAlign w:val="center"/>
          </w:tcPr>
          <w:p w14:paraId="1FC8AD7D">
            <w:pPr>
              <w:pStyle w:val="24"/>
              <w:bidi w:val="0"/>
              <w:jc w:val="center"/>
              <w:rPr>
                <w:color w:val="auto"/>
                <w:u w:val="none" w:color="auto"/>
              </w:rPr>
            </w:pPr>
            <w:r>
              <w:rPr>
                <w:color w:val="auto"/>
                <w:u w:val="none" w:color="auto"/>
              </w:rPr>
              <w:t>占标率%</w:t>
            </w:r>
          </w:p>
        </w:tc>
        <w:tc>
          <w:tcPr>
            <w:tcW w:w="849" w:type="pct"/>
            <w:noWrap w:val="0"/>
            <w:vAlign w:val="center"/>
          </w:tcPr>
          <w:p w14:paraId="377E9CFF">
            <w:pPr>
              <w:pStyle w:val="24"/>
              <w:bidi w:val="0"/>
              <w:jc w:val="center"/>
              <w:rPr>
                <w:color w:val="auto"/>
                <w:u w:val="none" w:color="auto"/>
              </w:rPr>
            </w:pPr>
            <w:r>
              <w:rPr>
                <w:color w:val="auto"/>
                <w:u w:val="none" w:color="auto"/>
              </w:rPr>
              <w:t>预测质量浓度μg/m</w:t>
            </w:r>
            <w:r>
              <w:rPr>
                <w:color w:val="auto"/>
                <w:u w:val="none" w:color="auto"/>
                <w:vertAlign w:val="superscript"/>
              </w:rPr>
              <w:t>3</w:t>
            </w:r>
          </w:p>
        </w:tc>
        <w:tc>
          <w:tcPr>
            <w:tcW w:w="745" w:type="pct"/>
            <w:noWrap w:val="0"/>
            <w:vAlign w:val="center"/>
          </w:tcPr>
          <w:p w14:paraId="55353A6E">
            <w:pPr>
              <w:pStyle w:val="24"/>
              <w:bidi w:val="0"/>
              <w:jc w:val="center"/>
              <w:rPr>
                <w:rFonts w:ascii="Times New Roman" w:hAnsi="Times New Roman" w:eastAsia="宋体" w:cs="Times New Roman"/>
                <w:color w:val="auto"/>
                <w:kern w:val="2"/>
                <w:sz w:val="21"/>
                <w:szCs w:val="21"/>
                <w:u w:val="none" w:color="auto"/>
                <w:lang w:val="en-US" w:eastAsia="zh-CN" w:bidi="ar-SA"/>
              </w:rPr>
            </w:pPr>
            <w:r>
              <w:rPr>
                <w:color w:val="auto"/>
                <w:u w:val="none" w:color="auto"/>
              </w:rPr>
              <w:t>占标率%</w:t>
            </w:r>
          </w:p>
        </w:tc>
      </w:tr>
      <w:tr w14:paraId="5F520D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567754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133460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49" w:type="pct"/>
            <w:noWrap w:val="0"/>
            <w:vAlign w:val="center"/>
          </w:tcPr>
          <w:p w14:paraId="4DF562E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17.804</w:t>
            </w:r>
          </w:p>
        </w:tc>
        <w:tc>
          <w:tcPr>
            <w:tcW w:w="849" w:type="pct"/>
            <w:noWrap w:val="0"/>
            <w:vAlign w:val="center"/>
          </w:tcPr>
          <w:p w14:paraId="52CF68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1.48</w:t>
            </w:r>
          </w:p>
        </w:tc>
        <w:tc>
          <w:tcPr>
            <w:tcW w:w="849" w:type="pct"/>
            <w:noWrap w:val="0"/>
            <w:vAlign w:val="center"/>
          </w:tcPr>
          <w:p w14:paraId="5DA3A0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1.3615</w:t>
            </w:r>
          </w:p>
        </w:tc>
        <w:tc>
          <w:tcPr>
            <w:tcW w:w="745" w:type="pct"/>
            <w:noWrap w:val="0"/>
            <w:vAlign w:val="center"/>
          </w:tcPr>
          <w:p w14:paraId="6A30036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0.68</w:t>
            </w:r>
          </w:p>
        </w:tc>
      </w:tr>
      <w:tr w14:paraId="65531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3BB3D9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3D7F837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49" w:type="pct"/>
            <w:noWrap w:val="0"/>
            <w:vAlign w:val="center"/>
          </w:tcPr>
          <w:p w14:paraId="6242B9A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24.645</w:t>
            </w:r>
          </w:p>
        </w:tc>
        <w:tc>
          <w:tcPr>
            <w:tcW w:w="849" w:type="pct"/>
            <w:noWrap w:val="0"/>
            <w:vAlign w:val="center"/>
          </w:tcPr>
          <w:p w14:paraId="3C9B10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2.05</w:t>
            </w:r>
          </w:p>
        </w:tc>
        <w:tc>
          <w:tcPr>
            <w:tcW w:w="849" w:type="pct"/>
            <w:noWrap w:val="0"/>
            <w:vAlign w:val="center"/>
          </w:tcPr>
          <w:p w14:paraId="1C83E38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1.8846</w:t>
            </w:r>
          </w:p>
        </w:tc>
        <w:tc>
          <w:tcPr>
            <w:tcW w:w="745" w:type="pct"/>
            <w:noWrap w:val="0"/>
            <w:vAlign w:val="center"/>
          </w:tcPr>
          <w:p w14:paraId="73A0B5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0.94</w:t>
            </w:r>
          </w:p>
        </w:tc>
      </w:tr>
      <w:tr w14:paraId="14BBA9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375BA9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1A7D73F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69</w:t>
            </w:r>
          </w:p>
        </w:tc>
        <w:tc>
          <w:tcPr>
            <w:tcW w:w="849" w:type="pct"/>
            <w:noWrap w:val="0"/>
            <w:vAlign w:val="center"/>
          </w:tcPr>
          <w:p w14:paraId="170A9B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27.147</w:t>
            </w:r>
          </w:p>
        </w:tc>
        <w:tc>
          <w:tcPr>
            <w:tcW w:w="849" w:type="pct"/>
            <w:noWrap w:val="0"/>
            <w:vAlign w:val="center"/>
          </w:tcPr>
          <w:p w14:paraId="491ED65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2.26</w:t>
            </w:r>
          </w:p>
        </w:tc>
        <w:tc>
          <w:tcPr>
            <w:tcW w:w="849" w:type="pct"/>
            <w:noWrap w:val="0"/>
            <w:vAlign w:val="center"/>
          </w:tcPr>
          <w:p w14:paraId="43390DB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2.0759</w:t>
            </w:r>
          </w:p>
        </w:tc>
        <w:tc>
          <w:tcPr>
            <w:tcW w:w="745" w:type="pct"/>
            <w:noWrap w:val="0"/>
            <w:vAlign w:val="center"/>
          </w:tcPr>
          <w:p w14:paraId="7C32DCD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1.04</w:t>
            </w:r>
          </w:p>
        </w:tc>
      </w:tr>
      <w:tr w14:paraId="6F78C8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1DF0BAD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1F01F64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w:t>
            </w:r>
          </w:p>
        </w:tc>
        <w:tc>
          <w:tcPr>
            <w:tcW w:w="849" w:type="pct"/>
            <w:noWrap w:val="0"/>
            <w:vAlign w:val="center"/>
          </w:tcPr>
          <w:p w14:paraId="0692387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24.416</w:t>
            </w:r>
          </w:p>
        </w:tc>
        <w:tc>
          <w:tcPr>
            <w:tcW w:w="849" w:type="pct"/>
            <w:noWrap w:val="0"/>
            <w:vAlign w:val="center"/>
          </w:tcPr>
          <w:p w14:paraId="655F0B2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2.03</w:t>
            </w:r>
          </w:p>
        </w:tc>
        <w:tc>
          <w:tcPr>
            <w:tcW w:w="849" w:type="pct"/>
            <w:noWrap w:val="0"/>
            <w:vAlign w:val="center"/>
          </w:tcPr>
          <w:p w14:paraId="7621DE8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1.8671</w:t>
            </w:r>
          </w:p>
        </w:tc>
        <w:tc>
          <w:tcPr>
            <w:tcW w:w="745" w:type="pct"/>
            <w:noWrap w:val="0"/>
            <w:vAlign w:val="center"/>
          </w:tcPr>
          <w:p w14:paraId="06ABF6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0.93</w:t>
            </w:r>
          </w:p>
        </w:tc>
      </w:tr>
      <w:tr w14:paraId="391AFC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7EC8B0C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57E1E6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w:t>
            </w:r>
          </w:p>
        </w:tc>
        <w:tc>
          <w:tcPr>
            <w:tcW w:w="849" w:type="pct"/>
            <w:noWrap w:val="0"/>
            <w:vAlign w:val="center"/>
          </w:tcPr>
          <w:p w14:paraId="0611D7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11.141</w:t>
            </w:r>
          </w:p>
        </w:tc>
        <w:tc>
          <w:tcPr>
            <w:tcW w:w="849" w:type="pct"/>
            <w:noWrap w:val="0"/>
            <w:vAlign w:val="center"/>
          </w:tcPr>
          <w:p w14:paraId="479D30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0.93</w:t>
            </w:r>
          </w:p>
        </w:tc>
        <w:tc>
          <w:tcPr>
            <w:tcW w:w="849" w:type="pct"/>
            <w:noWrap w:val="0"/>
            <w:vAlign w:val="center"/>
          </w:tcPr>
          <w:p w14:paraId="034B128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0.852</w:t>
            </w:r>
          </w:p>
        </w:tc>
        <w:tc>
          <w:tcPr>
            <w:tcW w:w="745" w:type="pct"/>
            <w:noWrap w:val="0"/>
            <w:vAlign w:val="center"/>
          </w:tcPr>
          <w:p w14:paraId="180803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0.43</w:t>
            </w:r>
          </w:p>
        </w:tc>
      </w:tr>
      <w:tr w14:paraId="26620D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706A4D9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5A1E92D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300</w:t>
            </w:r>
          </w:p>
        </w:tc>
        <w:tc>
          <w:tcPr>
            <w:tcW w:w="849" w:type="pct"/>
            <w:noWrap w:val="0"/>
            <w:vAlign w:val="center"/>
          </w:tcPr>
          <w:p w14:paraId="34C28ED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6.5461</w:t>
            </w:r>
          </w:p>
        </w:tc>
        <w:tc>
          <w:tcPr>
            <w:tcW w:w="849" w:type="pct"/>
            <w:noWrap w:val="0"/>
            <w:vAlign w:val="center"/>
          </w:tcPr>
          <w:p w14:paraId="70A5D9F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0.55</w:t>
            </w:r>
          </w:p>
        </w:tc>
        <w:tc>
          <w:tcPr>
            <w:tcW w:w="849" w:type="pct"/>
            <w:noWrap w:val="0"/>
            <w:vAlign w:val="center"/>
          </w:tcPr>
          <w:p w14:paraId="2AC51A1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0.5006</w:t>
            </w:r>
          </w:p>
        </w:tc>
        <w:tc>
          <w:tcPr>
            <w:tcW w:w="745" w:type="pct"/>
            <w:noWrap w:val="0"/>
            <w:vAlign w:val="center"/>
          </w:tcPr>
          <w:p w14:paraId="1E00160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w:t>
            </w:r>
          </w:p>
        </w:tc>
      </w:tr>
      <w:tr w14:paraId="53705F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02684DB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6030B0E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400</w:t>
            </w:r>
          </w:p>
        </w:tc>
        <w:tc>
          <w:tcPr>
            <w:tcW w:w="849" w:type="pct"/>
            <w:noWrap w:val="0"/>
            <w:vAlign w:val="center"/>
          </w:tcPr>
          <w:p w14:paraId="4428CB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4.458</w:t>
            </w:r>
          </w:p>
        </w:tc>
        <w:tc>
          <w:tcPr>
            <w:tcW w:w="849" w:type="pct"/>
            <w:noWrap w:val="0"/>
            <w:vAlign w:val="center"/>
          </w:tcPr>
          <w:p w14:paraId="6208C3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0.37</w:t>
            </w:r>
          </w:p>
        </w:tc>
        <w:tc>
          <w:tcPr>
            <w:tcW w:w="849" w:type="pct"/>
            <w:noWrap w:val="0"/>
            <w:vAlign w:val="center"/>
          </w:tcPr>
          <w:p w14:paraId="124B6C4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0.3409</w:t>
            </w:r>
          </w:p>
        </w:tc>
        <w:tc>
          <w:tcPr>
            <w:tcW w:w="745" w:type="pct"/>
            <w:noWrap w:val="0"/>
            <w:vAlign w:val="center"/>
          </w:tcPr>
          <w:p w14:paraId="32E84EF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w:t>
            </w:r>
          </w:p>
        </w:tc>
      </w:tr>
      <w:tr w14:paraId="782FC4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00A5A4D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615CE31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500</w:t>
            </w:r>
          </w:p>
        </w:tc>
        <w:tc>
          <w:tcPr>
            <w:tcW w:w="849" w:type="pct"/>
            <w:noWrap w:val="0"/>
            <w:vAlign w:val="center"/>
          </w:tcPr>
          <w:p w14:paraId="42DA8A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3.3005</w:t>
            </w:r>
          </w:p>
        </w:tc>
        <w:tc>
          <w:tcPr>
            <w:tcW w:w="849" w:type="pct"/>
            <w:noWrap w:val="0"/>
            <w:vAlign w:val="center"/>
          </w:tcPr>
          <w:p w14:paraId="5DCA39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0.28</w:t>
            </w:r>
          </w:p>
        </w:tc>
        <w:tc>
          <w:tcPr>
            <w:tcW w:w="849" w:type="pct"/>
            <w:noWrap w:val="0"/>
            <w:vAlign w:val="center"/>
          </w:tcPr>
          <w:p w14:paraId="271BFB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0.2524</w:t>
            </w:r>
          </w:p>
        </w:tc>
        <w:tc>
          <w:tcPr>
            <w:tcW w:w="745" w:type="pct"/>
            <w:noWrap w:val="0"/>
            <w:vAlign w:val="center"/>
          </w:tcPr>
          <w:p w14:paraId="38EA3C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w:t>
            </w:r>
          </w:p>
        </w:tc>
      </w:tr>
      <w:tr w14:paraId="7F983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389EF2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3BC4E6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600</w:t>
            </w:r>
          </w:p>
        </w:tc>
        <w:tc>
          <w:tcPr>
            <w:tcW w:w="849" w:type="pct"/>
            <w:noWrap w:val="0"/>
            <w:vAlign w:val="center"/>
          </w:tcPr>
          <w:p w14:paraId="6A64D64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2.5778</w:t>
            </w:r>
          </w:p>
        </w:tc>
        <w:tc>
          <w:tcPr>
            <w:tcW w:w="849" w:type="pct"/>
            <w:noWrap w:val="0"/>
            <w:vAlign w:val="center"/>
          </w:tcPr>
          <w:p w14:paraId="796F55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0.21</w:t>
            </w:r>
          </w:p>
        </w:tc>
        <w:tc>
          <w:tcPr>
            <w:tcW w:w="849" w:type="pct"/>
            <w:noWrap w:val="0"/>
            <w:vAlign w:val="center"/>
          </w:tcPr>
          <w:p w14:paraId="2E717C2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0.1971</w:t>
            </w:r>
          </w:p>
        </w:tc>
        <w:tc>
          <w:tcPr>
            <w:tcW w:w="745" w:type="pct"/>
            <w:noWrap w:val="0"/>
            <w:vAlign w:val="center"/>
          </w:tcPr>
          <w:p w14:paraId="5B4BF7C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w:t>
            </w:r>
          </w:p>
        </w:tc>
      </w:tr>
      <w:tr w14:paraId="51E262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18925FD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2EB726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700</w:t>
            </w:r>
          </w:p>
        </w:tc>
        <w:tc>
          <w:tcPr>
            <w:tcW w:w="849" w:type="pct"/>
            <w:noWrap w:val="0"/>
            <w:vAlign w:val="center"/>
          </w:tcPr>
          <w:p w14:paraId="18F673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2.0914</w:t>
            </w:r>
          </w:p>
        </w:tc>
        <w:tc>
          <w:tcPr>
            <w:tcW w:w="849" w:type="pct"/>
            <w:noWrap w:val="0"/>
            <w:vAlign w:val="center"/>
          </w:tcPr>
          <w:p w14:paraId="6F22A35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0.17</w:t>
            </w:r>
          </w:p>
        </w:tc>
        <w:tc>
          <w:tcPr>
            <w:tcW w:w="849" w:type="pct"/>
            <w:noWrap w:val="0"/>
            <w:vAlign w:val="center"/>
          </w:tcPr>
          <w:p w14:paraId="331C470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0.1599</w:t>
            </w:r>
          </w:p>
        </w:tc>
        <w:tc>
          <w:tcPr>
            <w:tcW w:w="745" w:type="pct"/>
            <w:noWrap w:val="0"/>
            <w:vAlign w:val="center"/>
          </w:tcPr>
          <w:p w14:paraId="1A29A5D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r>
      <w:tr w14:paraId="23CD8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18D2FFB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686028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849" w:type="pct"/>
            <w:noWrap w:val="0"/>
            <w:vAlign w:val="center"/>
          </w:tcPr>
          <w:p w14:paraId="24CC61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1.7448</w:t>
            </w:r>
          </w:p>
        </w:tc>
        <w:tc>
          <w:tcPr>
            <w:tcW w:w="849" w:type="pct"/>
            <w:noWrap w:val="0"/>
            <w:vAlign w:val="center"/>
          </w:tcPr>
          <w:p w14:paraId="7E7F266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0.15</w:t>
            </w:r>
          </w:p>
        </w:tc>
        <w:tc>
          <w:tcPr>
            <w:tcW w:w="849" w:type="pct"/>
            <w:noWrap w:val="0"/>
            <w:vAlign w:val="center"/>
          </w:tcPr>
          <w:p w14:paraId="3FE185E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0.1334</w:t>
            </w:r>
          </w:p>
        </w:tc>
        <w:tc>
          <w:tcPr>
            <w:tcW w:w="745" w:type="pct"/>
            <w:noWrap w:val="0"/>
            <w:vAlign w:val="center"/>
          </w:tcPr>
          <w:p w14:paraId="44710E5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r>
      <w:tr w14:paraId="2E790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5F2296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529231A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900</w:t>
            </w:r>
          </w:p>
        </w:tc>
        <w:tc>
          <w:tcPr>
            <w:tcW w:w="849" w:type="pct"/>
            <w:noWrap w:val="0"/>
            <w:vAlign w:val="center"/>
          </w:tcPr>
          <w:p w14:paraId="536187C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1.4871</w:t>
            </w:r>
          </w:p>
        </w:tc>
        <w:tc>
          <w:tcPr>
            <w:tcW w:w="849" w:type="pct"/>
            <w:noWrap w:val="0"/>
            <w:vAlign w:val="center"/>
          </w:tcPr>
          <w:p w14:paraId="6EFF809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0.12</w:t>
            </w:r>
          </w:p>
        </w:tc>
        <w:tc>
          <w:tcPr>
            <w:tcW w:w="849" w:type="pct"/>
            <w:noWrap w:val="0"/>
            <w:vAlign w:val="center"/>
          </w:tcPr>
          <w:p w14:paraId="5FA4B84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0.1137</w:t>
            </w:r>
          </w:p>
        </w:tc>
        <w:tc>
          <w:tcPr>
            <w:tcW w:w="745" w:type="pct"/>
            <w:noWrap w:val="0"/>
            <w:vAlign w:val="center"/>
          </w:tcPr>
          <w:p w14:paraId="6AA4382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r>
      <w:tr w14:paraId="59E914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7A2A815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3B99FD0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w:t>
            </w:r>
          </w:p>
        </w:tc>
        <w:tc>
          <w:tcPr>
            <w:tcW w:w="849" w:type="pct"/>
            <w:noWrap w:val="0"/>
            <w:vAlign w:val="center"/>
          </w:tcPr>
          <w:p w14:paraId="24F336D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1.2895</w:t>
            </w:r>
          </w:p>
        </w:tc>
        <w:tc>
          <w:tcPr>
            <w:tcW w:w="849" w:type="pct"/>
            <w:noWrap w:val="0"/>
            <w:vAlign w:val="center"/>
          </w:tcPr>
          <w:p w14:paraId="25D976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0.11</w:t>
            </w:r>
          </w:p>
        </w:tc>
        <w:tc>
          <w:tcPr>
            <w:tcW w:w="849" w:type="pct"/>
            <w:noWrap w:val="0"/>
            <w:vAlign w:val="center"/>
          </w:tcPr>
          <w:p w14:paraId="688454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0.0986</w:t>
            </w:r>
          </w:p>
        </w:tc>
        <w:tc>
          <w:tcPr>
            <w:tcW w:w="745" w:type="pct"/>
            <w:noWrap w:val="0"/>
            <w:vAlign w:val="center"/>
          </w:tcPr>
          <w:p w14:paraId="5442F08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r>
      <w:tr w14:paraId="77236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2CA9C57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4F34AB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1100</w:t>
            </w:r>
          </w:p>
        </w:tc>
        <w:tc>
          <w:tcPr>
            <w:tcW w:w="849" w:type="pct"/>
            <w:noWrap w:val="0"/>
            <w:vAlign w:val="center"/>
          </w:tcPr>
          <w:p w14:paraId="0D1B5CA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1.133</w:t>
            </w:r>
          </w:p>
        </w:tc>
        <w:tc>
          <w:tcPr>
            <w:tcW w:w="849" w:type="pct"/>
            <w:noWrap w:val="0"/>
            <w:vAlign w:val="center"/>
          </w:tcPr>
          <w:p w14:paraId="0396D8B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0.09</w:t>
            </w:r>
          </w:p>
        </w:tc>
        <w:tc>
          <w:tcPr>
            <w:tcW w:w="849" w:type="pct"/>
            <w:noWrap w:val="0"/>
            <w:vAlign w:val="center"/>
          </w:tcPr>
          <w:p w14:paraId="2364494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0.0866</w:t>
            </w:r>
          </w:p>
        </w:tc>
        <w:tc>
          <w:tcPr>
            <w:tcW w:w="745" w:type="pct"/>
            <w:noWrap w:val="0"/>
            <w:vAlign w:val="center"/>
          </w:tcPr>
          <w:p w14:paraId="0644DCF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r>
      <w:tr w14:paraId="0CDCFF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18FB5F6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52" w:type="pct"/>
            <w:noWrap w:val="0"/>
            <w:vAlign w:val="center"/>
          </w:tcPr>
          <w:p w14:paraId="49E42B3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1200</w:t>
            </w:r>
          </w:p>
        </w:tc>
        <w:tc>
          <w:tcPr>
            <w:tcW w:w="849" w:type="pct"/>
            <w:noWrap w:val="0"/>
            <w:vAlign w:val="center"/>
          </w:tcPr>
          <w:p w14:paraId="6F7149D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1.0066</w:t>
            </w:r>
          </w:p>
        </w:tc>
        <w:tc>
          <w:tcPr>
            <w:tcW w:w="849" w:type="pct"/>
            <w:noWrap w:val="0"/>
            <w:vAlign w:val="center"/>
          </w:tcPr>
          <w:p w14:paraId="40506F1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849" w:type="pct"/>
            <w:noWrap w:val="0"/>
            <w:vAlign w:val="center"/>
          </w:tcPr>
          <w:p w14:paraId="11F530F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0.077</w:t>
            </w:r>
          </w:p>
        </w:tc>
        <w:tc>
          <w:tcPr>
            <w:tcW w:w="745" w:type="pct"/>
            <w:noWrap w:val="0"/>
            <w:vAlign w:val="center"/>
          </w:tcPr>
          <w:p w14:paraId="46E5565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r>
      <w:tr w14:paraId="7A71C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5916949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52" w:type="pct"/>
            <w:noWrap w:val="0"/>
            <w:vAlign w:val="center"/>
          </w:tcPr>
          <w:p w14:paraId="3E77B2C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1300</w:t>
            </w:r>
          </w:p>
        </w:tc>
        <w:tc>
          <w:tcPr>
            <w:tcW w:w="849" w:type="pct"/>
            <w:noWrap w:val="0"/>
            <w:vAlign w:val="center"/>
          </w:tcPr>
          <w:p w14:paraId="5BDC08E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0.9028</w:t>
            </w:r>
          </w:p>
        </w:tc>
        <w:tc>
          <w:tcPr>
            <w:tcW w:w="849" w:type="pct"/>
            <w:noWrap w:val="0"/>
            <w:vAlign w:val="center"/>
          </w:tcPr>
          <w:p w14:paraId="0E4DFA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0.08</w:t>
            </w:r>
          </w:p>
        </w:tc>
        <w:tc>
          <w:tcPr>
            <w:tcW w:w="849" w:type="pct"/>
            <w:noWrap w:val="0"/>
            <w:vAlign w:val="center"/>
          </w:tcPr>
          <w:p w14:paraId="5D28EC1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0.069</w:t>
            </w:r>
          </w:p>
        </w:tc>
        <w:tc>
          <w:tcPr>
            <w:tcW w:w="745" w:type="pct"/>
            <w:noWrap w:val="0"/>
            <w:vAlign w:val="center"/>
          </w:tcPr>
          <w:p w14:paraId="0EC553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0C5144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621DDCC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52" w:type="pct"/>
            <w:noWrap w:val="0"/>
            <w:vAlign w:val="center"/>
          </w:tcPr>
          <w:p w14:paraId="292384C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1400</w:t>
            </w:r>
          </w:p>
        </w:tc>
        <w:tc>
          <w:tcPr>
            <w:tcW w:w="849" w:type="pct"/>
            <w:noWrap w:val="0"/>
            <w:vAlign w:val="center"/>
          </w:tcPr>
          <w:p w14:paraId="5D7DB6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0.8162</w:t>
            </w:r>
          </w:p>
        </w:tc>
        <w:tc>
          <w:tcPr>
            <w:tcW w:w="849" w:type="pct"/>
            <w:noWrap w:val="0"/>
            <w:vAlign w:val="center"/>
          </w:tcPr>
          <w:p w14:paraId="2E5CFB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0.07</w:t>
            </w:r>
          </w:p>
        </w:tc>
        <w:tc>
          <w:tcPr>
            <w:tcW w:w="849" w:type="pct"/>
            <w:noWrap w:val="0"/>
            <w:vAlign w:val="center"/>
          </w:tcPr>
          <w:p w14:paraId="53512E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0.0624</w:t>
            </w:r>
          </w:p>
        </w:tc>
        <w:tc>
          <w:tcPr>
            <w:tcW w:w="745" w:type="pct"/>
            <w:noWrap w:val="0"/>
            <w:vAlign w:val="center"/>
          </w:tcPr>
          <w:p w14:paraId="43E0146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606041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0300B0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52" w:type="pct"/>
            <w:noWrap w:val="0"/>
            <w:vAlign w:val="center"/>
          </w:tcPr>
          <w:p w14:paraId="3E66DE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1500</w:t>
            </w:r>
          </w:p>
        </w:tc>
        <w:tc>
          <w:tcPr>
            <w:tcW w:w="849" w:type="pct"/>
            <w:noWrap w:val="0"/>
            <w:vAlign w:val="center"/>
          </w:tcPr>
          <w:p w14:paraId="445B03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0.7431</w:t>
            </w:r>
          </w:p>
        </w:tc>
        <w:tc>
          <w:tcPr>
            <w:tcW w:w="849" w:type="pct"/>
            <w:noWrap w:val="0"/>
            <w:vAlign w:val="center"/>
          </w:tcPr>
          <w:p w14:paraId="150392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849" w:type="pct"/>
            <w:noWrap w:val="0"/>
            <w:vAlign w:val="center"/>
          </w:tcPr>
          <w:p w14:paraId="55F7D51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0.0568</w:t>
            </w:r>
          </w:p>
        </w:tc>
        <w:tc>
          <w:tcPr>
            <w:tcW w:w="745" w:type="pct"/>
            <w:noWrap w:val="0"/>
            <w:vAlign w:val="center"/>
          </w:tcPr>
          <w:p w14:paraId="13C7C32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061A7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46439C3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52" w:type="pct"/>
            <w:noWrap w:val="0"/>
            <w:vAlign w:val="center"/>
          </w:tcPr>
          <w:p w14:paraId="6E8E7D1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1600</w:t>
            </w:r>
          </w:p>
        </w:tc>
        <w:tc>
          <w:tcPr>
            <w:tcW w:w="849" w:type="pct"/>
            <w:noWrap w:val="0"/>
            <w:vAlign w:val="center"/>
          </w:tcPr>
          <w:p w14:paraId="4D1E466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0.6806</w:t>
            </w:r>
          </w:p>
        </w:tc>
        <w:tc>
          <w:tcPr>
            <w:tcW w:w="849" w:type="pct"/>
            <w:noWrap w:val="0"/>
            <w:vAlign w:val="center"/>
          </w:tcPr>
          <w:p w14:paraId="118357F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0.06</w:t>
            </w:r>
          </w:p>
        </w:tc>
        <w:tc>
          <w:tcPr>
            <w:tcW w:w="849" w:type="pct"/>
            <w:noWrap w:val="0"/>
            <w:vAlign w:val="center"/>
          </w:tcPr>
          <w:p w14:paraId="136170A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0.052</w:t>
            </w:r>
          </w:p>
        </w:tc>
        <w:tc>
          <w:tcPr>
            <w:tcW w:w="745" w:type="pct"/>
            <w:noWrap w:val="0"/>
            <w:vAlign w:val="center"/>
          </w:tcPr>
          <w:p w14:paraId="24BA189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r>
      <w:tr w14:paraId="3FA2AF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5579E52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852" w:type="pct"/>
            <w:noWrap w:val="0"/>
            <w:vAlign w:val="center"/>
          </w:tcPr>
          <w:p w14:paraId="3FCB944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1700</w:t>
            </w:r>
          </w:p>
        </w:tc>
        <w:tc>
          <w:tcPr>
            <w:tcW w:w="849" w:type="pct"/>
            <w:noWrap w:val="0"/>
            <w:vAlign w:val="center"/>
          </w:tcPr>
          <w:p w14:paraId="7426816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0.6267</w:t>
            </w:r>
          </w:p>
        </w:tc>
        <w:tc>
          <w:tcPr>
            <w:tcW w:w="849" w:type="pct"/>
            <w:noWrap w:val="0"/>
            <w:vAlign w:val="center"/>
          </w:tcPr>
          <w:p w14:paraId="6E6B477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849" w:type="pct"/>
            <w:noWrap w:val="0"/>
            <w:vAlign w:val="center"/>
          </w:tcPr>
          <w:p w14:paraId="3241D020">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0.0479</w:t>
            </w:r>
          </w:p>
        </w:tc>
        <w:tc>
          <w:tcPr>
            <w:tcW w:w="745" w:type="pct"/>
            <w:noWrap w:val="0"/>
            <w:vAlign w:val="center"/>
          </w:tcPr>
          <w:p w14:paraId="4EB508C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077C07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720BB5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52" w:type="pct"/>
            <w:noWrap w:val="0"/>
            <w:vAlign w:val="center"/>
          </w:tcPr>
          <w:p w14:paraId="1ABD2D4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1800</w:t>
            </w:r>
          </w:p>
        </w:tc>
        <w:tc>
          <w:tcPr>
            <w:tcW w:w="849" w:type="pct"/>
            <w:noWrap w:val="0"/>
            <w:vAlign w:val="center"/>
          </w:tcPr>
          <w:p w14:paraId="6EB2BDC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0.5798</w:t>
            </w:r>
          </w:p>
        </w:tc>
        <w:tc>
          <w:tcPr>
            <w:tcW w:w="849" w:type="pct"/>
            <w:noWrap w:val="0"/>
            <w:vAlign w:val="center"/>
          </w:tcPr>
          <w:p w14:paraId="5570A5D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0.05</w:t>
            </w:r>
          </w:p>
        </w:tc>
        <w:tc>
          <w:tcPr>
            <w:tcW w:w="849" w:type="pct"/>
            <w:noWrap w:val="0"/>
            <w:vAlign w:val="center"/>
          </w:tcPr>
          <w:p w14:paraId="42941DE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0.0443</w:t>
            </w:r>
          </w:p>
        </w:tc>
        <w:tc>
          <w:tcPr>
            <w:tcW w:w="745" w:type="pct"/>
            <w:noWrap w:val="0"/>
            <w:vAlign w:val="center"/>
          </w:tcPr>
          <w:p w14:paraId="573A70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6BBB2F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25EAD85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52" w:type="pct"/>
            <w:noWrap w:val="0"/>
            <w:vAlign w:val="center"/>
          </w:tcPr>
          <w:p w14:paraId="4A68706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1900</w:t>
            </w:r>
          </w:p>
        </w:tc>
        <w:tc>
          <w:tcPr>
            <w:tcW w:w="849" w:type="pct"/>
            <w:noWrap w:val="0"/>
            <w:vAlign w:val="center"/>
          </w:tcPr>
          <w:p w14:paraId="1E706B3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0.5387</w:t>
            </w:r>
          </w:p>
        </w:tc>
        <w:tc>
          <w:tcPr>
            <w:tcW w:w="849" w:type="pct"/>
            <w:noWrap w:val="0"/>
            <w:vAlign w:val="center"/>
          </w:tcPr>
          <w:p w14:paraId="0DB6CA4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849" w:type="pct"/>
            <w:noWrap w:val="0"/>
            <w:vAlign w:val="center"/>
          </w:tcPr>
          <w:p w14:paraId="14EE1AA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0.0412</w:t>
            </w:r>
          </w:p>
        </w:tc>
        <w:tc>
          <w:tcPr>
            <w:tcW w:w="745" w:type="pct"/>
            <w:noWrap w:val="0"/>
            <w:vAlign w:val="center"/>
          </w:tcPr>
          <w:p w14:paraId="0EDCCA9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01D71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34FD2E4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20CE3C6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2000</w:t>
            </w:r>
          </w:p>
        </w:tc>
        <w:tc>
          <w:tcPr>
            <w:tcW w:w="849" w:type="pct"/>
            <w:noWrap w:val="0"/>
            <w:vAlign w:val="center"/>
          </w:tcPr>
          <w:p w14:paraId="32AF33F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0.5024</w:t>
            </w:r>
          </w:p>
        </w:tc>
        <w:tc>
          <w:tcPr>
            <w:tcW w:w="849" w:type="pct"/>
            <w:noWrap w:val="0"/>
            <w:vAlign w:val="center"/>
          </w:tcPr>
          <w:p w14:paraId="1E65E85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849" w:type="pct"/>
            <w:noWrap w:val="0"/>
            <w:vAlign w:val="center"/>
          </w:tcPr>
          <w:p w14:paraId="01B5BF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0.0384</w:t>
            </w:r>
          </w:p>
        </w:tc>
        <w:tc>
          <w:tcPr>
            <w:tcW w:w="745" w:type="pct"/>
            <w:noWrap w:val="0"/>
            <w:vAlign w:val="center"/>
          </w:tcPr>
          <w:p w14:paraId="75E070E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23115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3BC3FD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852" w:type="pct"/>
            <w:noWrap w:val="0"/>
            <w:vAlign w:val="center"/>
          </w:tcPr>
          <w:p w14:paraId="4495FE9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2100</w:t>
            </w:r>
          </w:p>
        </w:tc>
        <w:tc>
          <w:tcPr>
            <w:tcW w:w="849" w:type="pct"/>
            <w:noWrap w:val="0"/>
            <w:vAlign w:val="center"/>
          </w:tcPr>
          <w:p w14:paraId="457CC13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0.4702</w:t>
            </w:r>
          </w:p>
        </w:tc>
        <w:tc>
          <w:tcPr>
            <w:tcW w:w="849" w:type="pct"/>
            <w:noWrap w:val="0"/>
            <w:vAlign w:val="center"/>
          </w:tcPr>
          <w:p w14:paraId="654C1A5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849" w:type="pct"/>
            <w:noWrap w:val="0"/>
            <w:vAlign w:val="center"/>
          </w:tcPr>
          <w:p w14:paraId="3E7A0D9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0.036</w:t>
            </w:r>
          </w:p>
        </w:tc>
        <w:tc>
          <w:tcPr>
            <w:tcW w:w="745" w:type="pct"/>
            <w:noWrap w:val="0"/>
            <w:vAlign w:val="center"/>
          </w:tcPr>
          <w:p w14:paraId="3B694C8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6CF45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023E70B7">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52" w:type="pct"/>
            <w:noWrap w:val="0"/>
            <w:vAlign w:val="center"/>
          </w:tcPr>
          <w:p w14:paraId="6C8C616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2200</w:t>
            </w:r>
          </w:p>
        </w:tc>
        <w:tc>
          <w:tcPr>
            <w:tcW w:w="849" w:type="pct"/>
            <w:noWrap w:val="0"/>
            <w:vAlign w:val="center"/>
          </w:tcPr>
          <w:p w14:paraId="2B7C18E9">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0.4415</w:t>
            </w:r>
          </w:p>
        </w:tc>
        <w:tc>
          <w:tcPr>
            <w:tcW w:w="849" w:type="pct"/>
            <w:noWrap w:val="0"/>
            <w:vAlign w:val="center"/>
          </w:tcPr>
          <w:p w14:paraId="7B58AF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0.04</w:t>
            </w:r>
          </w:p>
        </w:tc>
        <w:tc>
          <w:tcPr>
            <w:tcW w:w="849" w:type="pct"/>
            <w:noWrap w:val="0"/>
            <w:vAlign w:val="center"/>
          </w:tcPr>
          <w:p w14:paraId="012565D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0.0338</w:t>
            </w:r>
          </w:p>
        </w:tc>
        <w:tc>
          <w:tcPr>
            <w:tcW w:w="745" w:type="pct"/>
            <w:noWrap w:val="0"/>
            <w:vAlign w:val="center"/>
          </w:tcPr>
          <w:p w14:paraId="2B7028D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07C2C0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643B426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50A3DF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2300</w:t>
            </w:r>
          </w:p>
        </w:tc>
        <w:tc>
          <w:tcPr>
            <w:tcW w:w="849" w:type="pct"/>
            <w:noWrap w:val="0"/>
            <w:vAlign w:val="center"/>
          </w:tcPr>
          <w:p w14:paraId="5CE8631A">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0.4157</w:t>
            </w:r>
          </w:p>
        </w:tc>
        <w:tc>
          <w:tcPr>
            <w:tcW w:w="849" w:type="pct"/>
            <w:noWrap w:val="0"/>
            <w:vAlign w:val="center"/>
          </w:tcPr>
          <w:p w14:paraId="1202CB1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849" w:type="pct"/>
            <w:noWrap w:val="0"/>
            <w:vAlign w:val="center"/>
          </w:tcPr>
          <w:p w14:paraId="47E3A71D">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0.0318</w:t>
            </w:r>
          </w:p>
        </w:tc>
        <w:tc>
          <w:tcPr>
            <w:tcW w:w="745" w:type="pct"/>
            <w:noWrap w:val="0"/>
            <w:vAlign w:val="center"/>
          </w:tcPr>
          <w:p w14:paraId="28B321F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29648B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680452D6">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p>
        </w:tc>
        <w:tc>
          <w:tcPr>
            <w:tcW w:w="852" w:type="pct"/>
            <w:noWrap w:val="0"/>
            <w:vAlign w:val="center"/>
          </w:tcPr>
          <w:p w14:paraId="5B9ACFB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2400</w:t>
            </w:r>
          </w:p>
        </w:tc>
        <w:tc>
          <w:tcPr>
            <w:tcW w:w="849" w:type="pct"/>
            <w:noWrap w:val="0"/>
            <w:vAlign w:val="center"/>
          </w:tcPr>
          <w:p w14:paraId="1BCA9588">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0.3926</w:t>
            </w:r>
          </w:p>
        </w:tc>
        <w:tc>
          <w:tcPr>
            <w:tcW w:w="849" w:type="pct"/>
            <w:noWrap w:val="0"/>
            <w:vAlign w:val="center"/>
          </w:tcPr>
          <w:p w14:paraId="643B264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849" w:type="pct"/>
            <w:noWrap w:val="0"/>
            <w:vAlign w:val="center"/>
          </w:tcPr>
          <w:p w14:paraId="2FB35B7F">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745" w:type="pct"/>
            <w:noWrap w:val="0"/>
            <w:vAlign w:val="center"/>
          </w:tcPr>
          <w:p w14:paraId="317DDB5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w:t>
            </w:r>
          </w:p>
        </w:tc>
      </w:tr>
      <w:tr w14:paraId="3B83AC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4" w:type="pct"/>
            <w:noWrap w:val="0"/>
            <w:vAlign w:val="center"/>
          </w:tcPr>
          <w:p w14:paraId="5D199E02">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852" w:type="pct"/>
            <w:noWrap w:val="0"/>
            <w:vAlign w:val="center"/>
          </w:tcPr>
          <w:p w14:paraId="643E9D3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2500</w:t>
            </w:r>
          </w:p>
        </w:tc>
        <w:tc>
          <w:tcPr>
            <w:tcW w:w="849" w:type="pct"/>
            <w:noWrap w:val="0"/>
            <w:vAlign w:val="center"/>
          </w:tcPr>
          <w:p w14:paraId="09EFAE95">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0.3716</w:t>
            </w:r>
          </w:p>
        </w:tc>
        <w:tc>
          <w:tcPr>
            <w:tcW w:w="849" w:type="pct"/>
            <w:noWrap w:val="0"/>
            <w:vAlign w:val="center"/>
          </w:tcPr>
          <w:p w14:paraId="6038C9EE">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0.03</w:t>
            </w:r>
          </w:p>
        </w:tc>
        <w:tc>
          <w:tcPr>
            <w:tcW w:w="849" w:type="pct"/>
            <w:noWrap w:val="0"/>
            <w:vAlign w:val="center"/>
          </w:tcPr>
          <w:p w14:paraId="06D2BD91">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0.0284</w:t>
            </w:r>
          </w:p>
        </w:tc>
        <w:tc>
          <w:tcPr>
            <w:tcW w:w="745" w:type="pct"/>
            <w:noWrap w:val="0"/>
            <w:vAlign w:val="center"/>
          </w:tcPr>
          <w:p w14:paraId="73B817F3">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0.01</w:t>
            </w:r>
          </w:p>
        </w:tc>
      </w:tr>
      <w:tr w14:paraId="0EEFC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6" w:type="pct"/>
            <w:gridSpan w:val="2"/>
            <w:noWrap w:val="0"/>
            <w:vAlign w:val="center"/>
          </w:tcPr>
          <w:p w14:paraId="6DDA8F91">
            <w:pPr>
              <w:pStyle w:val="24"/>
              <w:bidi w:val="0"/>
              <w:jc w:val="center"/>
              <w:rPr>
                <w:rFonts w:hint="eastAsia"/>
                <w:color w:val="auto"/>
                <w:u w:val="none" w:color="auto"/>
                <w:lang w:val="en-US" w:eastAsia="zh-CN"/>
              </w:rPr>
            </w:pPr>
            <w:r>
              <w:rPr>
                <w:color w:val="auto"/>
                <w:u w:val="none" w:color="auto"/>
              </w:rPr>
              <w:t>下风向最大质量浓度及占标率</w:t>
            </w:r>
          </w:p>
        </w:tc>
        <w:tc>
          <w:tcPr>
            <w:tcW w:w="849" w:type="pct"/>
            <w:noWrap w:val="0"/>
            <w:vAlign w:val="center"/>
          </w:tcPr>
          <w:p w14:paraId="29ED07AA">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27.147</w:t>
            </w:r>
          </w:p>
        </w:tc>
        <w:tc>
          <w:tcPr>
            <w:tcW w:w="849" w:type="pct"/>
            <w:noWrap w:val="0"/>
            <w:vAlign w:val="center"/>
          </w:tcPr>
          <w:p w14:paraId="2B2CFCD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2.26</w:t>
            </w:r>
          </w:p>
        </w:tc>
        <w:tc>
          <w:tcPr>
            <w:tcW w:w="849" w:type="pct"/>
            <w:noWrap w:val="0"/>
            <w:vAlign w:val="center"/>
          </w:tcPr>
          <w:p w14:paraId="72080E0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2.0759</w:t>
            </w:r>
          </w:p>
        </w:tc>
        <w:tc>
          <w:tcPr>
            <w:tcW w:w="745" w:type="pct"/>
            <w:noWrap w:val="0"/>
            <w:vAlign w:val="center"/>
          </w:tcPr>
          <w:p w14:paraId="7A892235">
            <w:pPr>
              <w:keepNext w:val="0"/>
              <w:keepLines w:val="0"/>
              <w:widowControl/>
              <w:suppressLineNumbers w:val="0"/>
              <w:jc w:val="center"/>
              <w:textAlignment w:val="center"/>
              <w:rPr>
                <w:rFonts w:hint="eastAsia" w:ascii="Times New Roman" w:hAnsi="Times New Roman" w:eastAsia="宋体" w:cs="Times New Roman"/>
                <w:b/>
                <w:bCs/>
                <w:i w:val="0"/>
                <w:iCs w:val="0"/>
                <w:color w:val="000000"/>
                <w:kern w:val="2"/>
                <w:sz w:val="21"/>
                <w:szCs w:val="21"/>
                <w:u w:val="none"/>
                <w:lang w:val="en-US" w:eastAsia="zh-CN" w:bidi="ar-SA"/>
              </w:rPr>
            </w:pPr>
            <w:r>
              <w:rPr>
                <w:rFonts w:hint="default" w:ascii="Times New Roman" w:hAnsi="Times New Roman" w:eastAsia="宋体" w:cs="Times New Roman"/>
                <w:b/>
                <w:bCs/>
                <w:i w:val="0"/>
                <w:iCs w:val="0"/>
                <w:color w:val="000000"/>
                <w:kern w:val="0"/>
                <w:sz w:val="21"/>
                <w:szCs w:val="21"/>
                <w:u w:val="none"/>
                <w:lang w:val="en-US" w:eastAsia="zh-CN" w:bidi="ar"/>
              </w:rPr>
              <w:t>1.04</w:t>
            </w:r>
          </w:p>
        </w:tc>
      </w:tr>
      <w:tr w14:paraId="28EBE4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6" w:type="pct"/>
            <w:gridSpan w:val="2"/>
            <w:noWrap w:val="0"/>
            <w:vAlign w:val="center"/>
          </w:tcPr>
          <w:p w14:paraId="5DDD31DA">
            <w:pPr>
              <w:pStyle w:val="24"/>
              <w:bidi w:val="0"/>
              <w:jc w:val="center"/>
              <w:rPr>
                <w:color w:val="auto"/>
                <w:u w:val="none" w:color="auto"/>
              </w:rPr>
            </w:pPr>
            <w:r>
              <w:rPr>
                <w:color w:val="auto"/>
                <w:u w:val="none" w:color="auto"/>
              </w:rPr>
              <w:t>D10%最远距离/m</w:t>
            </w:r>
          </w:p>
        </w:tc>
        <w:tc>
          <w:tcPr>
            <w:tcW w:w="3293" w:type="pct"/>
            <w:gridSpan w:val="4"/>
            <w:noWrap w:val="0"/>
            <w:vAlign w:val="center"/>
          </w:tcPr>
          <w:p w14:paraId="60F361E9">
            <w:pPr>
              <w:pStyle w:val="24"/>
              <w:bidi w:val="0"/>
              <w:jc w:val="center"/>
              <w:rPr>
                <w:color w:val="auto"/>
                <w:u w:val="none" w:color="auto"/>
              </w:rPr>
            </w:pPr>
            <w:r>
              <w:rPr>
                <w:color w:val="auto"/>
                <w:u w:val="none" w:color="auto"/>
              </w:rPr>
              <w:t>/</w:t>
            </w:r>
          </w:p>
        </w:tc>
      </w:tr>
    </w:tbl>
    <w:p w14:paraId="54065BE5">
      <w:pPr>
        <w:pStyle w:val="20"/>
        <w:ind w:firstLine="480"/>
        <w:rPr>
          <w:rFonts w:hint="eastAsia" w:ascii="Times New Roman" w:hAnsi="Times New Roman" w:cs="Times New Roman"/>
          <w:b/>
          <w:bCs/>
          <w:color w:val="auto"/>
          <w:u w:val="none" w:color="auto"/>
          <w:lang w:val="en-US" w:eastAsia="zh-CN"/>
        </w:rPr>
      </w:pPr>
      <w:r>
        <w:rPr>
          <w:rFonts w:hint="eastAsia" w:ascii="Times New Roman" w:hAnsi="Times New Roman" w:cs="Times New Roman"/>
          <w:b/>
          <w:bCs/>
          <w:color w:val="auto"/>
          <w:u w:val="none" w:color="auto"/>
          <w:lang w:val="en-US" w:eastAsia="zh-CN"/>
        </w:rPr>
        <w:t>3、影响预测分析</w:t>
      </w:r>
    </w:p>
    <w:p w14:paraId="5B321935">
      <w:pPr>
        <w:pStyle w:val="20"/>
        <w:bidi w:val="0"/>
        <w:rPr>
          <w:rFonts w:hint="eastAsia"/>
          <w:color w:val="auto"/>
          <w:u w:val="none" w:color="auto"/>
          <w:lang w:val="en-US" w:eastAsia="zh-CN"/>
        </w:rPr>
      </w:pPr>
      <w:r>
        <w:rPr>
          <w:rFonts w:hint="eastAsia"/>
          <w:color w:val="auto"/>
          <w:u w:val="none" w:color="auto"/>
          <w:lang w:val="en-US" w:eastAsia="zh-CN"/>
        </w:rPr>
        <w:t>本项目大气环境影响评价等级为二级。根据《环境影响评价技术导则大气环境》（HJ2.2-2018），二级评价项目不进行进一步预测与评价，只对污染物排放量进行核算。</w:t>
      </w:r>
    </w:p>
    <w:p w14:paraId="314BD3FC">
      <w:pPr>
        <w:pStyle w:val="20"/>
        <w:ind w:firstLine="480"/>
        <w:rPr>
          <w:rFonts w:hint="default" w:ascii="Times New Roman" w:hAnsi="Times New Roman" w:cs="Times New Roman"/>
          <w:b/>
          <w:bCs/>
          <w:color w:val="auto"/>
          <w:u w:val="none" w:color="auto"/>
        </w:rPr>
      </w:pPr>
      <w:r>
        <w:rPr>
          <w:rFonts w:hint="eastAsia" w:ascii="Times New Roman" w:hAnsi="Times New Roman" w:cs="Times New Roman"/>
          <w:b/>
          <w:bCs/>
          <w:color w:val="auto"/>
          <w:u w:val="none" w:color="auto"/>
          <w:lang w:val="en-US" w:eastAsia="zh-CN"/>
        </w:rPr>
        <w:t>4</w:t>
      </w:r>
      <w:r>
        <w:rPr>
          <w:rFonts w:hint="default" w:ascii="Times New Roman" w:hAnsi="Times New Roman" w:cs="Times New Roman"/>
          <w:b/>
          <w:bCs/>
          <w:color w:val="auto"/>
          <w:u w:val="none" w:color="auto"/>
        </w:rPr>
        <w:t>、污染物排放量核算</w:t>
      </w:r>
    </w:p>
    <w:p w14:paraId="5E5F81D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本项目正常工况下大气污染物排放量核算表如下。</w:t>
      </w:r>
    </w:p>
    <w:p w14:paraId="53CDC374">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6.2-11</w:t>
      </w:r>
      <w:r>
        <w:rPr>
          <w:rFonts w:hint="default"/>
          <w:color w:val="auto"/>
          <w:u w:val="none" w:color="auto"/>
        </w:rPr>
        <w:t xml:space="preserve"> 本项目大气污染物有组织排放量核算表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501"/>
        <w:gridCol w:w="1543"/>
        <w:gridCol w:w="1417"/>
        <w:gridCol w:w="1418"/>
        <w:gridCol w:w="1418"/>
      </w:tblGrid>
      <w:tr w14:paraId="2DEF16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noWrap w:val="0"/>
            <w:vAlign w:val="center"/>
          </w:tcPr>
          <w:p w14:paraId="23D802F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序号</w:t>
            </w:r>
          </w:p>
        </w:tc>
        <w:tc>
          <w:tcPr>
            <w:tcW w:w="1501" w:type="dxa"/>
            <w:noWrap w:val="0"/>
            <w:vAlign w:val="center"/>
          </w:tcPr>
          <w:p w14:paraId="514523DF">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排放口编号</w:t>
            </w:r>
          </w:p>
        </w:tc>
        <w:tc>
          <w:tcPr>
            <w:tcW w:w="1543" w:type="dxa"/>
            <w:noWrap w:val="0"/>
            <w:vAlign w:val="center"/>
          </w:tcPr>
          <w:p w14:paraId="74A9DA6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w:t>
            </w:r>
          </w:p>
        </w:tc>
        <w:tc>
          <w:tcPr>
            <w:tcW w:w="1417" w:type="dxa"/>
            <w:noWrap w:val="0"/>
            <w:vAlign w:val="center"/>
          </w:tcPr>
          <w:p w14:paraId="5D2F1CEC">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核算排放浓度（</w:t>
            </w:r>
            <w:r>
              <w:rPr>
                <w:rFonts w:hint="eastAsia" w:ascii="Times New Roman" w:hAnsi="Times New Roman" w:cs="Times New Roman"/>
                <w:color w:val="auto"/>
                <w:u w:val="none" w:color="auto"/>
                <w:lang w:val="en-US" w:eastAsia="zh-CN"/>
              </w:rPr>
              <w:t>m</w:t>
            </w:r>
            <w:r>
              <w:rPr>
                <w:rFonts w:hint="default" w:ascii="Times New Roman" w:hAnsi="Times New Roman" w:cs="Times New Roman"/>
                <w:color w:val="auto"/>
                <w:u w:val="none" w:color="auto"/>
              </w:rPr>
              <w:t>g/m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w:t>
            </w:r>
          </w:p>
        </w:tc>
        <w:tc>
          <w:tcPr>
            <w:tcW w:w="1418" w:type="dxa"/>
            <w:noWrap w:val="0"/>
            <w:vAlign w:val="center"/>
          </w:tcPr>
          <w:p w14:paraId="14F450B8">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核算排放速率（kg/h）</w:t>
            </w:r>
          </w:p>
        </w:tc>
        <w:tc>
          <w:tcPr>
            <w:tcW w:w="1418" w:type="dxa"/>
            <w:noWrap w:val="0"/>
            <w:vAlign w:val="center"/>
          </w:tcPr>
          <w:p w14:paraId="1912A8A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核算年排放量（t/a）</w:t>
            </w:r>
          </w:p>
        </w:tc>
      </w:tr>
      <w:tr w14:paraId="17C8F8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04" w:type="dxa"/>
            <w:gridSpan w:val="6"/>
            <w:noWrap w:val="0"/>
            <w:vAlign w:val="center"/>
          </w:tcPr>
          <w:p w14:paraId="40CB940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主要排放口</w:t>
            </w:r>
          </w:p>
        </w:tc>
      </w:tr>
      <w:tr w14:paraId="69AAC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noWrap w:val="0"/>
            <w:vAlign w:val="center"/>
          </w:tcPr>
          <w:p w14:paraId="17946FD1">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501" w:type="dxa"/>
            <w:noWrap w:val="0"/>
            <w:vAlign w:val="center"/>
          </w:tcPr>
          <w:p w14:paraId="4AF1C3AF">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543" w:type="dxa"/>
            <w:noWrap w:val="0"/>
            <w:vAlign w:val="center"/>
          </w:tcPr>
          <w:p w14:paraId="6CA947AE">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417" w:type="dxa"/>
            <w:noWrap w:val="0"/>
            <w:vAlign w:val="center"/>
          </w:tcPr>
          <w:p w14:paraId="4FAFA5BB">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418" w:type="dxa"/>
            <w:noWrap w:val="0"/>
            <w:vAlign w:val="center"/>
          </w:tcPr>
          <w:p w14:paraId="15B789BA">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418" w:type="dxa"/>
            <w:noWrap w:val="0"/>
            <w:vAlign w:val="center"/>
          </w:tcPr>
          <w:p w14:paraId="1E4C82B8">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r>
      <w:tr w14:paraId="6C1376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708" w:type="dxa"/>
            <w:gridSpan w:val="2"/>
            <w:noWrap w:val="0"/>
            <w:vAlign w:val="center"/>
          </w:tcPr>
          <w:p w14:paraId="3BA63581">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主要排放口合计</w:t>
            </w:r>
          </w:p>
        </w:tc>
        <w:tc>
          <w:tcPr>
            <w:tcW w:w="4378" w:type="dxa"/>
            <w:gridSpan w:val="3"/>
            <w:noWrap w:val="0"/>
            <w:vAlign w:val="center"/>
          </w:tcPr>
          <w:p w14:paraId="442E4559">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1418" w:type="dxa"/>
            <w:noWrap w:val="0"/>
            <w:vAlign w:val="center"/>
          </w:tcPr>
          <w:p w14:paraId="6D9D0ABC">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r>
      <w:tr w14:paraId="56756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04" w:type="dxa"/>
            <w:gridSpan w:val="6"/>
            <w:noWrap w:val="0"/>
            <w:vAlign w:val="center"/>
          </w:tcPr>
          <w:p w14:paraId="2C7D3AB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一般排放口</w:t>
            </w:r>
          </w:p>
        </w:tc>
      </w:tr>
      <w:tr w14:paraId="581B1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noWrap w:val="0"/>
            <w:vAlign w:val="center"/>
          </w:tcPr>
          <w:p w14:paraId="507351F1">
            <w:pPr>
              <w:pStyle w:val="24"/>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1501" w:type="dxa"/>
            <w:noWrap w:val="0"/>
            <w:vAlign w:val="center"/>
          </w:tcPr>
          <w:p w14:paraId="5DC8C1A1">
            <w:pPr>
              <w:pStyle w:val="24"/>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DA001排气筒</w:t>
            </w:r>
          </w:p>
        </w:tc>
        <w:tc>
          <w:tcPr>
            <w:tcW w:w="1543" w:type="dxa"/>
            <w:noWrap w:val="0"/>
            <w:vAlign w:val="center"/>
          </w:tcPr>
          <w:p w14:paraId="326BADBA">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颗粒物</w:t>
            </w:r>
          </w:p>
        </w:tc>
        <w:tc>
          <w:tcPr>
            <w:tcW w:w="1417" w:type="dxa"/>
            <w:noWrap w:val="0"/>
            <w:vAlign w:val="center"/>
          </w:tcPr>
          <w:p w14:paraId="4E5B8600">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0.863</w:t>
            </w:r>
          </w:p>
        </w:tc>
        <w:tc>
          <w:tcPr>
            <w:tcW w:w="1418" w:type="dxa"/>
            <w:noWrap w:val="0"/>
            <w:vAlign w:val="center"/>
          </w:tcPr>
          <w:p w14:paraId="5DF8EB7C">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0.017</w:t>
            </w:r>
          </w:p>
        </w:tc>
        <w:tc>
          <w:tcPr>
            <w:tcW w:w="1418" w:type="dxa"/>
            <w:noWrap w:val="0"/>
            <w:vAlign w:val="center"/>
          </w:tcPr>
          <w:p w14:paraId="37A42767">
            <w:pPr>
              <w:pStyle w:val="31"/>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0.064</w:t>
            </w:r>
          </w:p>
        </w:tc>
      </w:tr>
      <w:tr w14:paraId="2182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restart"/>
            <w:noWrap w:val="0"/>
            <w:vAlign w:val="center"/>
          </w:tcPr>
          <w:p w14:paraId="136BE6C9">
            <w:pPr>
              <w:pStyle w:val="24"/>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w:t>
            </w:r>
          </w:p>
        </w:tc>
        <w:tc>
          <w:tcPr>
            <w:tcW w:w="1501" w:type="dxa"/>
            <w:vMerge w:val="restart"/>
            <w:noWrap w:val="0"/>
            <w:vAlign w:val="center"/>
          </w:tcPr>
          <w:p w14:paraId="5617EE5B">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DA002排气筒</w:t>
            </w:r>
          </w:p>
        </w:tc>
        <w:tc>
          <w:tcPr>
            <w:tcW w:w="1543" w:type="dxa"/>
            <w:noWrap w:val="0"/>
            <w:vAlign w:val="center"/>
          </w:tcPr>
          <w:p w14:paraId="1F1E4F9B">
            <w:pPr>
              <w:pStyle w:val="24"/>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非甲烷总烃</w:t>
            </w:r>
          </w:p>
        </w:tc>
        <w:tc>
          <w:tcPr>
            <w:tcW w:w="1417" w:type="dxa"/>
            <w:noWrap w:val="0"/>
            <w:vAlign w:val="center"/>
          </w:tcPr>
          <w:p w14:paraId="3D0CDDE3">
            <w:pPr>
              <w:pStyle w:val="31"/>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2.63</w:t>
            </w:r>
          </w:p>
        </w:tc>
        <w:tc>
          <w:tcPr>
            <w:tcW w:w="1418" w:type="dxa"/>
            <w:noWrap w:val="0"/>
            <w:vAlign w:val="center"/>
          </w:tcPr>
          <w:p w14:paraId="7922D79E">
            <w:pPr>
              <w:pStyle w:val="31"/>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0.105</w:t>
            </w:r>
          </w:p>
        </w:tc>
        <w:tc>
          <w:tcPr>
            <w:tcW w:w="1418" w:type="dxa"/>
            <w:noWrap w:val="0"/>
            <w:vAlign w:val="center"/>
          </w:tcPr>
          <w:p w14:paraId="3BFA2891">
            <w:pPr>
              <w:pStyle w:val="31"/>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0.505</w:t>
            </w:r>
          </w:p>
        </w:tc>
      </w:tr>
      <w:tr w14:paraId="5CD04A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1A1FAAD6">
            <w:pPr>
              <w:pStyle w:val="24"/>
              <w:rPr>
                <w:rFonts w:hint="eastAsia" w:ascii="Times New Roman" w:hAnsi="Times New Roman" w:eastAsia="宋体" w:cs="Times New Roman"/>
                <w:color w:val="auto"/>
                <w:u w:val="none" w:color="auto"/>
                <w:lang w:val="en-US" w:eastAsia="zh-CN"/>
              </w:rPr>
            </w:pPr>
          </w:p>
        </w:tc>
        <w:tc>
          <w:tcPr>
            <w:tcW w:w="1501" w:type="dxa"/>
            <w:vMerge w:val="continue"/>
            <w:noWrap w:val="0"/>
            <w:vAlign w:val="center"/>
          </w:tcPr>
          <w:p w14:paraId="7C14D376">
            <w:pPr>
              <w:pStyle w:val="24"/>
              <w:rPr>
                <w:rFonts w:hint="eastAsia" w:ascii="Times New Roman" w:hAnsi="Times New Roman" w:cs="Times New Roman"/>
                <w:color w:val="auto"/>
                <w:u w:val="none" w:color="auto"/>
                <w:lang w:val="en-US" w:eastAsia="zh-CN"/>
              </w:rPr>
            </w:pPr>
          </w:p>
        </w:tc>
        <w:tc>
          <w:tcPr>
            <w:tcW w:w="1543" w:type="dxa"/>
            <w:noWrap w:val="0"/>
            <w:vAlign w:val="center"/>
          </w:tcPr>
          <w:p w14:paraId="4A362EF8">
            <w:pPr>
              <w:pStyle w:val="24"/>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氯化氢</w:t>
            </w:r>
          </w:p>
        </w:tc>
        <w:tc>
          <w:tcPr>
            <w:tcW w:w="1417" w:type="dxa"/>
            <w:noWrap w:val="0"/>
            <w:vAlign w:val="center"/>
          </w:tcPr>
          <w:p w14:paraId="05374A3D">
            <w:pPr>
              <w:pStyle w:val="31"/>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2.524</w:t>
            </w:r>
          </w:p>
        </w:tc>
        <w:tc>
          <w:tcPr>
            <w:tcW w:w="1418" w:type="dxa"/>
            <w:noWrap w:val="0"/>
            <w:vAlign w:val="center"/>
          </w:tcPr>
          <w:p w14:paraId="356F6DCD">
            <w:pPr>
              <w:pStyle w:val="31"/>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0.101</w:t>
            </w:r>
          </w:p>
        </w:tc>
        <w:tc>
          <w:tcPr>
            <w:tcW w:w="1418" w:type="dxa"/>
            <w:noWrap w:val="0"/>
            <w:vAlign w:val="center"/>
          </w:tcPr>
          <w:p w14:paraId="6F7911D5">
            <w:pPr>
              <w:pStyle w:val="31"/>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0.484</w:t>
            </w:r>
          </w:p>
        </w:tc>
      </w:tr>
      <w:tr w14:paraId="38464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restart"/>
            <w:noWrap w:val="0"/>
            <w:vAlign w:val="center"/>
          </w:tcPr>
          <w:p w14:paraId="741AFEA4">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3</w:t>
            </w:r>
          </w:p>
        </w:tc>
        <w:tc>
          <w:tcPr>
            <w:tcW w:w="1501" w:type="dxa"/>
            <w:vMerge w:val="restart"/>
            <w:noWrap w:val="0"/>
            <w:vAlign w:val="center"/>
          </w:tcPr>
          <w:p w14:paraId="23145174">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u w:val="none" w:color="auto"/>
                <w:lang w:val="en-US" w:eastAsia="zh-CN"/>
              </w:rPr>
              <w:t>DA003排气筒</w:t>
            </w:r>
          </w:p>
        </w:tc>
        <w:tc>
          <w:tcPr>
            <w:tcW w:w="1543" w:type="dxa"/>
            <w:noWrap w:val="0"/>
            <w:vAlign w:val="center"/>
          </w:tcPr>
          <w:p w14:paraId="22974F45">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非甲烷总烃</w:t>
            </w:r>
          </w:p>
        </w:tc>
        <w:tc>
          <w:tcPr>
            <w:tcW w:w="1417" w:type="dxa"/>
            <w:noWrap w:val="0"/>
            <w:vAlign w:val="center"/>
          </w:tcPr>
          <w:p w14:paraId="3EEFD310">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15.592</w:t>
            </w:r>
          </w:p>
        </w:tc>
        <w:tc>
          <w:tcPr>
            <w:tcW w:w="1418" w:type="dxa"/>
            <w:noWrap w:val="0"/>
            <w:vAlign w:val="center"/>
          </w:tcPr>
          <w:p w14:paraId="39AE4205">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0.39</w:t>
            </w:r>
          </w:p>
        </w:tc>
        <w:tc>
          <w:tcPr>
            <w:tcW w:w="1418" w:type="dxa"/>
            <w:noWrap w:val="0"/>
            <w:vAlign w:val="center"/>
          </w:tcPr>
          <w:p w14:paraId="3D520CF2">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0.936</w:t>
            </w:r>
          </w:p>
        </w:tc>
      </w:tr>
      <w:tr w14:paraId="7614CC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1207" w:type="dxa"/>
            <w:vMerge w:val="continue"/>
            <w:noWrap w:val="0"/>
            <w:vAlign w:val="center"/>
          </w:tcPr>
          <w:p w14:paraId="548B48F6">
            <w:pPr>
              <w:pStyle w:val="24"/>
              <w:rPr>
                <w:rFonts w:hint="default" w:ascii="Times New Roman" w:hAnsi="Times New Roman" w:cs="Times New Roman"/>
                <w:color w:val="auto"/>
                <w:u w:val="none" w:color="auto"/>
              </w:rPr>
            </w:pPr>
          </w:p>
        </w:tc>
        <w:tc>
          <w:tcPr>
            <w:tcW w:w="1501" w:type="dxa"/>
            <w:vMerge w:val="continue"/>
            <w:noWrap w:val="0"/>
            <w:vAlign w:val="center"/>
          </w:tcPr>
          <w:p w14:paraId="2C93C317">
            <w:pPr>
              <w:pStyle w:val="24"/>
              <w:rPr>
                <w:rFonts w:hint="default" w:ascii="Times New Roman" w:hAnsi="Times New Roman" w:cs="Times New Roman"/>
                <w:color w:val="auto"/>
                <w:u w:val="none" w:color="auto"/>
              </w:rPr>
            </w:pPr>
          </w:p>
        </w:tc>
        <w:tc>
          <w:tcPr>
            <w:tcW w:w="1543" w:type="dxa"/>
            <w:noWrap w:val="0"/>
            <w:vAlign w:val="center"/>
          </w:tcPr>
          <w:p w14:paraId="7F55C2BF">
            <w:pPr>
              <w:pStyle w:val="24"/>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二甲苯</w:t>
            </w:r>
          </w:p>
        </w:tc>
        <w:tc>
          <w:tcPr>
            <w:tcW w:w="1417" w:type="dxa"/>
            <w:noWrap w:val="0"/>
            <w:vAlign w:val="center"/>
          </w:tcPr>
          <w:p w14:paraId="79EA5BFC">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0.852</w:t>
            </w:r>
          </w:p>
        </w:tc>
        <w:tc>
          <w:tcPr>
            <w:tcW w:w="1418" w:type="dxa"/>
            <w:noWrap w:val="0"/>
            <w:vAlign w:val="center"/>
          </w:tcPr>
          <w:p w14:paraId="4D0D4E32">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0.034</w:t>
            </w:r>
          </w:p>
        </w:tc>
        <w:tc>
          <w:tcPr>
            <w:tcW w:w="1418" w:type="dxa"/>
            <w:noWrap w:val="0"/>
            <w:vAlign w:val="center"/>
          </w:tcPr>
          <w:p w14:paraId="6B2025B2">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0.164</w:t>
            </w:r>
          </w:p>
        </w:tc>
      </w:tr>
      <w:tr w14:paraId="14142F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708" w:type="dxa"/>
            <w:gridSpan w:val="2"/>
            <w:vMerge w:val="restart"/>
            <w:noWrap w:val="0"/>
            <w:vAlign w:val="center"/>
          </w:tcPr>
          <w:p w14:paraId="6039CBD5">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一般排放口合计</w:t>
            </w:r>
          </w:p>
        </w:tc>
        <w:tc>
          <w:tcPr>
            <w:tcW w:w="4378" w:type="dxa"/>
            <w:gridSpan w:val="3"/>
            <w:noWrap w:val="0"/>
            <w:vAlign w:val="center"/>
          </w:tcPr>
          <w:p w14:paraId="3A9619A7">
            <w:pPr>
              <w:pStyle w:val="24"/>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颗粒物</w:t>
            </w:r>
          </w:p>
        </w:tc>
        <w:tc>
          <w:tcPr>
            <w:tcW w:w="1418" w:type="dxa"/>
            <w:noWrap w:val="0"/>
            <w:vAlign w:val="center"/>
          </w:tcPr>
          <w:p w14:paraId="049CF96A">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0.064</w:t>
            </w:r>
          </w:p>
        </w:tc>
      </w:tr>
      <w:tr w14:paraId="6CF2A0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455F6164">
            <w:pPr>
              <w:pStyle w:val="24"/>
              <w:rPr>
                <w:rFonts w:hint="default" w:ascii="Times New Roman" w:hAnsi="Times New Roman" w:cs="Times New Roman"/>
                <w:color w:val="auto"/>
                <w:u w:val="none" w:color="auto"/>
              </w:rPr>
            </w:pPr>
          </w:p>
        </w:tc>
        <w:tc>
          <w:tcPr>
            <w:tcW w:w="4378" w:type="dxa"/>
            <w:gridSpan w:val="3"/>
            <w:noWrap w:val="0"/>
            <w:vAlign w:val="center"/>
          </w:tcPr>
          <w:p w14:paraId="24CADDD1">
            <w:pPr>
              <w:pStyle w:val="24"/>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eastAsia="zh-CN"/>
              </w:rPr>
              <w:t>非甲烷总烃</w:t>
            </w:r>
          </w:p>
        </w:tc>
        <w:tc>
          <w:tcPr>
            <w:tcW w:w="1418" w:type="dxa"/>
            <w:noWrap w:val="0"/>
            <w:vAlign w:val="center"/>
          </w:tcPr>
          <w:p w14:paraId="246F5568">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1.441</w:t>
            </w:r>
          </w:p>
        </w:tc>
      </w:tr>
      <w:tr w14:paraId="07C75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5032325A">
            <w:pPr>
              <w:pStyle w:val="24"/>
              <w:rPr>
                <w:rFonts w:hint="default" w:ascii="Times New Roman" w:hAnsi="Times New Roman" w:cs="Times New Roman"/>
                <w:color w:val="auto"/>
                <w:u w:val="none" w:color="auto"/>
              </w:rPr>
            </w:pPr>
          </w:p>
        </w:tc>
        <w:tc>
          <w:tcPr>
            <w:tcW w:w="4378" w:type="dxa"/>
            <w:gridSpan w:val="3"/>
            <w:noWrap w:val="0"/>
            <w:vAlign w:val="center"/>
          </w:tcPr>
          <w:p w14:paraId="41128363">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氯化氢</w:t>
            </w:r>
          </w:p>
        </w:tc>
        <w:tc>
          <w:tcPr>
            <w:tcW w:w="1418" w:type="dxa"/>
            <w:noWrap w:val="0"/>
            <w:vAlign w:val="center"/>
          </w:tcPr>
          <w:p w14:paraId="0B4E4FAA">
            <w:pPr>
              <w:pStyle w:val="31"/>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0.484</w:t>
            </w:r>
          </w:p>
        </w:tc>
      </w:tr>
      <w:tr w14:paraId="6A55BF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1593E6F5">
            <w:pPr>
              <w:pStyle w:val="24"/>
              <w:rPr>
                <w:rFonts w:hint="default" w:ascii="Times New Roman" w:hAnsi="Times New Roman" w:cs="Times New Roman"/>
                <w:color w:val="auto"/>
                <w:u w:val="none" w:color="auto"/>
              </w:rPr>
            </w:pPr>
          </w:p>
        </w:tc>
        <w:tc>
          <w:tcPr>
            <w:tcW w:w="4378" w:type="dxa"/>
            <w:gridSpan w:val="3"/>
            <w:noWrap w:val="0"/>
            <w:vAlign w:val="center"/>
          </w:tcPr>
          <w:p w14:paraId="78331C99">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二甲苯</w:t>
            </w:r>
          </w:p>
        </w:tc>
        <w:tc>
          <w:tcPr>
            <w:tcW w:w="1418" w:type="dxa"/>
            <w:noWrap w:val="0"/>
            <w:vAlign w:val="center"/>
          </w:tcPr>
          <w:p w14:paraId="7E2F4150">
            <w:pPr>
              <w:pStyle w:val="31"/>
              <w:bidi w:val="0"/>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0.164</w:t>
            </w:r>
          </w:p>
        </w:tc>
      </w:tr>
      <w:tr w14:paraId="4E3DB8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04" w:type="dxa"/>
            <w:gridSpan w:val="6"/>
            <w:noWrap w:val="0"/>
            <w:vAlign w:val="center"/>
          </w:tcPr>
          <w:p w14:paraId="6AD9F1A6">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有组织排放总计</w:t>
            </w:r>
          </w:p>
        </w:tc>
      </w:tr>
      <w:tr w14:paraId="09626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708" w:type="dxa"/>
            <w:gridSpan w:val="2"/>
            <w:vMerge w:val="restart"/>
            <w:noWrap w:val="0"/>
            <w:vAlign w:val="center"/>
          </w:tcPr>
          <w:p w14:paraId="2A3E70D2">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有组织排放总计</w:t>
            </w:r>
          </w:p>
        </w:tc>
        <w:tc>
          <w:tcPr>
            <w:tcW w:w="4378" w:type="dxa"/>
            <w:gridSpan w:val="3"/>
            <w:noWrap w:val="0"/>
            <w:vAlign w:val="center"/>
          </w:tcPr>
          <w:p w14:paraId="09156ED9">
            <w:pPr>
              <w:pStyle w:val="24"/>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颗粒物</w:t>
            </w:r>
          </w:p>
        </w:tc>
        <w:tc>
          <w:tcPr>
            <w:tcW w:w="1418" w:type="dxa"/>
            <w:noWrap w:val="0"/>
            <w:vAlign w:val="center"/>
          </w:tcPr>
          <w:p w14:paraId="123A8D6C">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0.064</w:t>
            </w:r>
          </w:p>
        </w:tc>
      </w:tr>
      <w:tr w14:paraId="439509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3CF77886">
            <w:pPr>
              <w:pStyle w:val="24"/>
              <w:rPr>
                <w:rFonts w:hint="default" w:ascii="Times New Roman" w:hAnsi="Times New Roman" w:cs="Times New Roman"/>
                <w:color w:val="auto"/>
                <w:u w:val="none" w:color="auto"/>
              </w:rPr>
            </w:pPr>
          </w:p>
        </w:tc>
        <w:tc>
          <w:tcPr>
            <w:tcW w:w="4378" w:type="dxa"/>
            <w:gridSpan w:val="3"/>
            <w:noWrap w:val="0"/>
            <w:vAlign w:val="center"/>
          </w:tcPr>
          <w:p w14:paraId="25D53C6F">
            <w:pPr>
              <w:pStyle w:val="24"/>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eastAsia="zh-CN"/>
              </w:rPr>
              <w:t>非甲烷总烃</w:t>
            </w:r>
          </w:p>
        </w:tc>
        <w:tc>
          <w:tcPr>
            <w:tcW w:w="1418" w:type="dxa"/>
            <w:noWrap w:val="0"/>
            <w:vAlign w:val="center"/>
          </w:tcPr>
          <w:p w14:paraId="39334DA5">
            <w:pPr>
              <w:pStyle w:val="31"/>
              <w:bidi w:val="0"/>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1.441</w:t>
            </w:r>
          </w:p>
        </w:tc>
      </w:tr>
      <w:tr w14:paraId="4FF2E2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2FACE6CF">
            <w:pPr>
              <w:pStyle w:val="24"/>
              <w:rPr>
                <w:rFonts w:hint="default" w:ascii="Times New Roman" w:hAnsi="Times New Roman" w:cs="Times New Roman"/>
                <w:color w:val="auto"/>
                <w:u w:val="none" w:color="auto"/>
              </w:rPr>
            </w:pPr>
          </w:p>
        </w:tc>
        <w:tc>
          <w:tcPr>
            <w:tcW w:w="4378" w:type="dxa"/>
            <w:gridSpan w:val="3"/>
            <w:noWrap w:val="0"/>
            <w:vAlign w:val="center"/>
          </w:tcPr>
          <w:p w14:paraId="6ED63938">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氯化氢</w:t>
            </w:r>
          </w:p>
        </w:tc>
        <w:tc>
          <w:tcPr>
            <w:tcW w:w="1418" w:type="dxa"/>
            <w:noWrap w:val="0"/>
            <w:vAlign w:val="center"/>
          </w:tcPr>
          <w:p w14:paraId="6ECC6F21">
            <w:pPr>
              <w:pStyle w:val="31"/>
              <w:bidi w:val="0"/>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0.484</w:t>
            </w:r>
          </w:p>
        </w:tc>
      </w:tr>
      <w:tr w14:paraId="5C8BF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2708" w:type="dxa"/>
            <w:gridSpan w:val="2"/>
            <w:vMerge w:val="continue"/>
            <w:noWrap w:val="0"/>
            <w:vAlign w:val="center"/>
          </w:tcPr>
          <w:p w14:paraId="280E8C74">
            <w:pPr>
              <w:pStyle w:val="24"/>
              <w:rPr>
                <w:rFonts w:hint="default" w:ascii="Times New Roman" w:hAnsi="Times New Roman" w:cs="Times New Roman"/>
                <w:color w:val="auto"/>
                <w:u w:val="none" w:color="auto"/>
              </w:rPr>
            </w:pPr>
          </w:p>
        </w:tc>
        <w:tc>
          <w:tcPr>
            <w:tcW w:w="4378" w:type="dxa"/>
            <w:gridSpan w:val="3"/>
            <w:noWrap w:val="0"/>
            <w:vAlign w:val="center"/>
          </w:tcPr>
          <w:p w14:paraId="355E1591">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二甲苯</w:t>
            </w:r>
          </w:p>
        </w:tc>
        <w:tc>
          <w:tcPr>
            <w:tcW w:w="1418" w:type="dxa"/>
            <w:noWrap w:val="0"/>
            <w:vAlign w:val="center"/>
          </w:tcPr>
          <w:p w14:paraId="44A3AAF3">
            <w:pPr>
              <w:pStyle w:val="31"/>
              <w:bidi w:val="0"/>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0.164</w:t>
            </w:r>
          </w:p>
        </w:tc>
      </w:tr>
    </w:tbl>
    <w:p w14:paraId="225C8EF9">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6.2-12</w:t>
      </w:r>
      <w:r>
        <w:rPr>
          <w:rFonts w:hint="default"/>
          <w:color w:val="auto"/>
          <w:u w:val="none" w:color="auto"/>
        </w:rPr>
        <w:t xml:space="preserve"> 本项目大气污染物无组织排放量核算表</w:t>
      </w:r>
    </w:p>
    <w:tbl>
      <w:tblPr>
        <w:tblStyle w:val="17"/>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80"/>
        <w:gridCol w:w="838"/>
        <w:gridCol w:w="848"/>
        <w:gridCol w:w="982"/>
        <w:gridCol w:w="953"/>
        <w:gridCol w:w="2013"/>
        <w:gridCol w:w="1207"/>
        <w:gridCol w:w="1083"/>
      </w:tblGrid>
      <w:tr w14:paraId="38FB8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80" w:type="dxa"/>
            <w:vMerge w:val="restart"/>
            <w:tcBorders>
              <w:tl2br w:val="nil"/>
              <w:tr2bl w:val="nil"/>
            </w:tcBorders>
            <w:noWrap w:val="0"/>
            <w:vAlign w:val="center"/>
          </w:tcPr>
          <w:p w14:paraId="4451F6D3">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838" w:type="dxa"/>
            <w:vMerge w:val="restart"/>
            <w:tcBorders>
              <w:tl2br w:val="nil"/>
              <w:tr2bl w:val="nil"/>
            </w:tcBorders>
            <w:noWrap w:val="0"/>
            <w:vAlign w:val="center"/>
          </w:tcPr>
          <w:p w14:paraId="5D5BF23C">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排放口编号</w:t>
            </w:r>
          </w:p>
        </w:tc>
        <w:tc>
          <w:tcPr>
            <w:tcW w:w="848" w:type="dxa"/>
            <w:vMerge w:val="restart"/>
            <w:tcBorders>
              <w:tl2br w:val="nil"/>
              <w:tr2bl w:val="nil"/>
            </w:tcBorders>
            <w:noWrap w:val="0"/>
            <w:vAlign w:val="center"/>
          </w:tcPr>
          <w:p w14:paraId="4348EF62">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产污环节</w:t>
            </w:r>
          </w:p>
        </w:tc>
        <w:tc>
          <w:tcPr>
            <w:tcW w:w="982" w:type="dxa"/>
            <w:vMerge w:val="restart"/>
            <w:tcBorders>
              <w:tl2br w:val="nil"/>
              <w:tr2bl w:val="nil"/>
            </w:tcBorders>
            <w:noWrap w:val="0"/>
            <w:vAlign w:val="center"/>
          </w:tcPr>
          <w:p w14:paraId="0C696B4D">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污染物</w:t>
            </w:r>
          </w:p>
        </w:tc>
        <w:tc>
          <w:tcPr>
            <w:tcW w:w="953" w:type="dxa"/>
            <w:vMerge w:val="restart"/>
            <w:tcBorders>
              <w:tl2br w:val="nil"/>
              <w:tr2bl w:val="nil"/>
            </w:tcBorders>
            <w:noWrap w:val="0"/>
            <w:vAlign w:val="center"/>
          </w:tcPr>
          <w:p w14:paraId="44BA3120">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主要污染防治措施</w:t>
            </w:r>
          </w:p>
        </w:tc>
        <w:tc>
          <w:tcPr>
            <w:tcW w:w="3220" w:type="dxa"/>
            <w:gridSpan w:val="2"/>
            <w:tcBorders>
              <w:tl2br w:val="nil"/>
              <w:tr2bl w:val="nil"/>
            </w:tcBorders>
            <w:noWrap w:val="0"/>
            <w:vAlign w:val="center"/>
          </w:tcPr>
          <w:p w14:paraId="2912A8A3">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国家或地方污染物排放标准</w:t>
            </w:r>
          </w:p>
        </w:tc>
        <w:tc>
          <w:tcPr>
            <w:tcW w:w="1083" w:type="dxa"/>
            <w:vMerge w:val="restart"/>
            <w:tcBorders>
              <w:tl2br w:val="nil"/>
              <w:tr2bl w:val="nil"/>
            </w:tcBorders>
            <w:noWrap w:val="0"/>
            <w:vAlign w:val="center"/>
          </w:tcPr>
          <w:p w14:paraId="2B67B617">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年排放量（t/a）</w:t>
            </w:r>
          </w:p>
        </w:tc>
      </w:tr>
      <w:tr w14:paraId="78037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80" w:type="dxa"/>
            <w:vMerge w:val="continue"/>
            <w:tcBorders>
              <w:tl2br w:val="nil"/>
              <w:tr2bl w:val="nil"/>
            </w:tcBorders>
            <w:noWrap w:val="0"/>
            <w:vAlign w:val="center"/>
          </w:tcPr>
          <w:p w14:paraId="1A970E70">
            <w:pPr>
              <w:pStyle w:val="24"/>
              <w:jc w:val="center"/>
              <w:rPr>
                <w:rFonts w:hint="default" w:ascii="Times New Roman" w:hAnsi="Times New Roman" w:cs="Times New Roman"/>
                <w:color w:val="auto"/>
                <w:u w:val="none" w:color="auto"/>
              </w:rPr>
            </w:pPr>
          </w:p>
        </w:tc>
        <w:tc>
          <w:tcPr>
            <w:tcW w:w="838" w:type="dxa"/>
            <w:vMerge w:val="continue"/>
            <w:tcBorders>
              <w:tl2br w:val="nil"/>
              <w:tr2bl w:val="nil"/>
            </w:tcBorders>
            <w:noWrap w:val="0"/>
            <w:vAlign w:val="center"/>
          </w:tcPr>
          <w:p w14:paraId="586FAF4F">
            <w:pPr>
              <w:pStyle w:val="24"/>
              <w:jc w:val="center"/>
              <w:rPr>
                <w:rFonts w:hint="default" w:ascii="Times New Roman" w:hAnsi="Times New Roman" w:cs="Times New Roman"/>
                <w:color w:val="auto"/>
                <w:u w:val="none" w:color="auto"/>
              </w:rPr>
            </w:pPr>
          </w:p>
        </w:tc>
        <w:tc>
          <w:tcPr>
            <w:tcW w:w="848" w:type="dxa"/>
            <w:vMerge w:val="continue"/>
            <w:tcBorders>
              <w:tl2br w:val="nil"/>
              <w:tr2bl w:val="nil"/>
            </w:tcBorders>
            <w:noWrap w:val="0"/>
            <w:vAlign w:val="center"/>
          </w:tcPr>
          <w:p w14:paraId="0154E2C3">
            <w:pPr>
              <w:pStyle w:val="24"/>
              <w:jc w:val="center"/>
              <w:rPr>
                <w:rFonts w:hint="default" w:ascii="Times New Roman" w:hAnsi="Times New Roman" w:cs="Times New Roman"/>
                <w:color w:val="auto"/>
                <w:u w:val="none" w:color="auto"/>
              </w:rPr>
            </w:pPr>
          </w:p>
        </w:tc>
        <w:tc>
          <w:tcPr>
            <w:tcW w:w="982" w:type="dxa"/>
            <w:vMerge w:val="continue"/>
            <w:tcBorders>
              <w:tl2br w:val="nil"/>
              <w:tr2bl w:val="nil"/>
            </w:tcBorders>
            <w:noWrap w:val="0"/>
            <w:vAlign w:val="center"/>
          </w:tcPr>
          <w:p w14:paraId="474F57EF">
            <w:pPr>
              <w:pStyle w:val="24"/>
              <w:jc w:val="center"/>
              <w:rPr>
                <w:rFonts w:hint="default" w:ascii="Times New Roman" w:hAnsi="Times New Roman" w:cs="Times New Roman"/>
                <w:color w:val="auto"/>
                <w:u w:val="none" w:color="auto"/>
              </w:rPr>
            </w:pPr>
          </w:p>
        </w:tc>
        <w:tc>
          <w:tcPr>
            <w:tcW w:w="953" w:type="dxa"/>
            <w:vMerge w:val="continue"/>
            <w:tcBorders>
              <w:tl2br w:val="nil"/>
              <w:tr2bl w:val="nil"/>
            </w:tcBorders>
            <w:noWrap w:val="0"/>
            <w:vAlign w:val="center"/>
          </w:tcPr>
          <w:p w14:paraId="49382AF8">
            <w:pPr>
              <w:pStyle w:val="24"/>
              <w:jc w:val="center"/>
              <w:rPr>
                <w:rFonts w:hint="default" w:ascii="Times New Roman" w:hAnsi="Times New Roman" w:cs="Times New Roman"/>
                <w:color w:val="auto"/>
                <w:u w:val="none" w:color="auto"/>
              </w:rPr>
            </w:pPr>
          </w:p>
        </w:tc>
        <w:tc>
          <w:tcPr>
            <w:tcW w:w="2013" w:type="dxa"/>
            <w:tcBorders>
              <w:tl2br w:val="nil"/>
              <w:tr2bl w:val="nil"/>
            </w:tcBorders>
            <w:noWrap w:val="0"/>
            <w:vAlign w:val="center"/>
          </w:tcPr>
          <w:p w14:paraId="7B827C13">
            <w:pPr>
              <w:pStyle w:val="24"/>
              <w:jc w:val="center"/>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标准名称</w:t>
            </w:r>
          </w:p>
        </w:tc>
        <w:tc>
          <w:tcPr>
            <w:tcW w:w="1207" w:type="dxa"/>
            <w:tcBorders>
              <w:tl2br w:val="nil"/>
              <w:tr2bl w:val="nil"/>
            </w:tcBorders>
            <w:noWrap w:val="0"/>
            <w:vAlign w:val="center"/>
          </w:tcPr>
          <w:p w14:paraId="534783CC">
            <w:pPr>
              <w:pStyle w:val="24"/>
              <w:jc w:val="center"/>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浓度限值</w:t>
            </w:r>
          </w:p>
          <w:p w14:paraId="72247242">
            <w:pPr>
              <w:pStyle w:val="24"/>
              <w:jc w:val="center"/>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m</w:t>
            </w:r>
            <w:r>
              <w:rPr>
                <w:rFonts w:hint="default" w:ascii="Times New Roman" w:hAnsi="Times New Roman" w:cs="Times New Roman"/>
                <w:color w:val="auto"/>
                <w:u w:val="none" w:color="auto"/>
                <w:lang w:val="en-US" w:eastAsia="zh-CN"/>
              </w:rPr>
              <w:t>g/m</w:t>
            </w:r>
            <w:r>
              <w:rPr>
                <w:rFonts w:hint="default" w:ascii="Times New Roman" w:hAnsi="Times New Roman" w:cs="Times New Roman"/>
                <w:color w:val="auto"/>
                <w:u w:val="none" w:color="auto"/>
                <w:vertAlign w:val="superscript"/>
                <w:lang w:val="en-US" w:eastAsia="zh-CN"/>
              </w:rPr>
              <w:t>3</w:t>
            </w:r>
            <w:r>
              <w:rPr>
                <w:rFonts w:hint="default" w:ascii="Times New Roman" w:hAnsi="Times New Roman" w:cs="Times New Roman"/>
                <w:color w:val="auto"/>
                <w:u w:val="none" w:color="auto"/>
                <w:lang w:val="en-US" w:eastAsia="zh-CN"/>
              </w:rPr>
              <w:t>）</w:t>
            </w:r>
          </w:p>
        </w:tc>
        <w:tc>
          <w:tcPr>
            <w:tcW w:w="1083" w:type="dxa"/>
            <w:vMerge w:val="continue"/>
            <w:tcBorders>
              <w:tl2br w:val="nil"/>
              <w:tr2bl w:val="nil"/>
            </w:tcBorders>
            <w:noWrap w:val="0"/>
            <w:vAlign w:val="center"/>
          </w:tcPr>
          <w:p w14:paraId="26A8912F">
            <w:pPr>
              <w:pStyle w:val="24"/>
              <w:jc w:val="center"/>
              <w:rPr>
                <w:rFonts w:hint="default" w:ascii="Times New Roman" w:hAnsi="Times New Roman" w:cs="Times New Roman"/>
                <w:color w:val="auto"/>
                <w:u w:val="none" w:color="auto"/>
              </w:rPr>
            </w:pPr>
          </w:p>
        </w:tc>
      </w:tr>
      <w:tr w14:paraId="4631C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580" w:type="dxa"/>
            <w:tcBorders>
              <w:tl2br w:val="nil"/>
              <w:tr2bl w:val="nil"/>
            </w:tcBorders>
            <w:noWrap w:val="0"/>
            <w:vAlign w:val="center"/>
          </w:tcPr>
          <w:p w14:paraId="2CCE7315">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1</w:t>
            </w:r>
          </w:p>
        </w:tc>
        <w:tc>
          <w:tcPr>
            <w:tcW w:w="838" w:type="dxa"/>
            <w:tcBorders>
              <w:tl2br w:val="nil"/>
              <w:tr2bl w:val="nil"/>
            </w:tcBorders>
            <w:noWrap w:val="0"/>
            <w:vAlign w:val="center"/>
          </w:tcPr>
          <w:p w14:paraId="65AAB365">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848" w:type="dxa"/>
            <w:tcBorders>
              <w:tl2br w:val="nil"/>
              <w:tr2bl w:val="nil"/>
            </w:tcBorders>
            <w:noWrap w:val="0"/>
            <w:vAlign w:val="center"/>
          </w:tcPr>
          <w:p w14:paraId="2411E6F3">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投料、混料、破碎、磨粉</w:t>
            </w:r>
          </w:p>
        </w:tc>
        <w:tc>
          <w:tcPr>
            <w:tcW w:w="982" w:type="dxa"/>
            <w:tcBorders>
              <w:tl2br w:val="nil"/>
              <w:tr2bl w:val="nil"/>
            </w:tcBorders>
            <w:noWrap w:val="0"/>
            <w:vAlign w:val="center"/>
          </w:tcPr>
          <w:p w14:paraId="493D2314">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颗粒物</w:t>
            </w:r>
          </w:p>
        </w:tc>
        <w:tc>
          <w:tcPr>
            <w:tcW w:w="953" w:type="dxa"/>
            <w:tcBorders>
              <w:tl2br w:val="nil"/>
              <w:tr2bl w:val="nil"/>
            </w:tcBorders>
            <w:noWrap w:val="0"/>
            <w:vAlign w:val="center"/>
          </w:tcPr>
          <w:p w14:paraId="6DB03D2D">
            <w:pPr>
              <w:pStyle w:val="24"/>
              <w:jc w:val="center"/>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设备封闭，加强收集，车间沉降</w:t>
            </w:r>
          </w:p>
        </w:tc>
        <w:tc>
          <w:tcPr>
            <w:tcW w:w="2013" w:type="dxa"/>
            <w:vMerge w:val="restart"/>
            <w:tcBorders>
              <w:tl2br w:val="nil"/>
              <w:tr2bl w:val="nil"/>
            </w:tcBorders>
            <w:noWrap w:val="0"/>
            <w:vAlign w:val="center"/>
          </w:tcPr>
          <w:p w14:paraId="1D994347">
            <w:pPr>
              <w:pStyle w:val="24"/>
              <w:jc w:val="center"/>
              <w:rPr>
                <w:rFonts w:hint="default" w:ascii="Times New Roman" w:hAnsi="Times New Roman" w:cs="Times New Roman"/>
                <w:color w:val="auto"/>
                <w:u w:val="none" w:color="auto"/>
              </w:rPr>
            </w:pPr>
            <w:r>
              <w:rPr>
                <w:rFonts w:hint="default"/>
                <w:color w:val="auto"/>
                <w:u w:val="none" w:color="auto"/>
                <w:lang w:val="en-US" w:eastAsia="zh-CN"/>
              </w:rPr>
              <w:t>《大气污染物综合排放标准》（GB 16297-1996）</w:t>
            </w:r>
          </w:p>
        </w:tc>
        <w:tc>
          <w:tcPr>
            <w:tcW w:w="1207" w:type="dxa"/>
            <w:tcBorders>
              <w:tl2br w:val="nil"/>
              <w:tr2bl w:val="nil"/>
            </w:tcBorders>
            <w:noWrap w:val="0"/>
            <w:vAlign w:val="center"/>
          </w:tcPr>
          <w:p w14:paraId="3E9E9241">
            <w:pPr>
              <w:pStyle w:val="24"/>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1.0</w:t>
            </w:r>
          </w:p>
        </w:tc>
        <w:tc>
          <w:tcPr>
            <w:tcW w:w="1083" w:type="dxa"/>
            <w:tcBorders>
              <w:tl2br w:val="nil"/>
              <w:tr2bl w:val="nil"/>
            </w:tcBorders>
            <w:noWrap w:val="0"/>
            <w:vAlign w:val="center"/>
          </w:tcPr>
          <w:p w14:paraId="152E218E">
            <w:pPr>
              <w:pStyle w:val="24"/>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1.068</w:t>
            </w:r>
          </w:p>
        </w:tc>
      </w:tr>
      <w:tr w14:paraId="52129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80" w:type="dxa"/>
            <w:vMerge w:val="restart"/>
            <w:tcBorders>
              <w:tl2br w:val="nil"/>
              <w:tr2bl w:val="nil"/>
            </w:tcBorders>
            <w:noWrap w:val="0"/>
            <w:vAlign w:val="center"/>
          </w:tcPr>
          <w:p w14:paraId="78DBF748">
            <w:pPr>
              <w:pStyle w:val="24"/>
              <w:jc w:val="center"/>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w:t>
            </w:r>
          </w:p>
        </w:tc>
        <w:tc>
          <w:tcPr>
            <w:tcW w:w="838" w:type="dxa"/>
            <w:vMerge w:val="restart"/>
            <w:tcBorders>
              <w:tl2br w:val="nil"/>
              <w:tr2bl w:val="nil"/>
            </w:tcBorders>
            <w:noWrap w:val="0"/>
            <w:vAlign w:val="center"/>
          </w:tcPr>
          <w:p w14:paraId="21131285">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p>
        </w:tc>
        <w:tc>
          <w:tcPr>
            <w:tcW w:w="848" w:type="dxa"/>
            <w:vMerge w:val="restart"/>
            <w:tcBorders>
              <w:tl2br w:val="nil"/>
              <w:tr2bl w:val="nil"/>
            </w:tcBorders>
            <w:noWrap w:val="0"/>
            <w:vAlign w:val="center"/>
          </w:tcPr>
          <w:p w14:paraId="5617D480">
            <w:pPr>
              <w:pStyle w:val="24"/>
              <w:jc w:val="center"/>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挤出、覆膜</w:t>
            </w:r>
          </w:p>
        </w:tc>
        <w:tc>
          <w:tcPr>
            <w:tcW w:w="982" w:type="dxa"/>
            <w:tcBorders>
              <w:tl2br w:val="nil"/>
              <w:tr2bl w:val="nil"/>
            </w:tcBorders>
            <w:noWrap w:val="0"/>
            <w:vAlign w:val="center"/>
          </w:tcPr>
          <w:p w14:paraId="1BE2E89B">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非甲烷总烃</w:t>
            </w:r>
          </w:p>
        </w:tc>
        <w:tc>
          <w:tcPr>
            <w:tcW w:w="953" w:type="dxa"/>
            <w:vMerge w:val="restart"/>
            <w:tcBorders>
              <w:tl2br w:val="nil"/>
              <w:tr2bl w:val="nil"/>
            </w:tcBorders>
            <w:noWrap w:val="0"/>
            <w:vAlign w:val="center"/>
          </w:tcPr>
          <w:p w14:paraId="69816ED7">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加强收集</w:t>
            </w:r>
            <w:r>
              <w:rPr>
                <w:rFonts w:hint="eastAsia" w:cs="Times New Roman"/>
                <w:color w:val="auto"/>
                <w:u w:val="none" w:color="auto"/>
                <w:lang w:val="en-US" w:eastAsia="zh-CN"/>
              </w:rPr>
              <w:t>，车间通风</w:t>
            </w:r>
          </w:p>
        </w:tc>
        <w:tc>
          <w:tcPr>
            <w:tcW w:w="2013" w:type="dxa"/>
            <w:vMerge w:val="continue"/>
            <w:tcBorders>
              <w:tl2br w:val="nil"/>
              <w:tr2bl w:val="nil"/>
            </w:tcBorders>
            <w:noWrap w:val="0"/>
            <w:vAlign w:val="center"/>
          </w:tcPr>
          <w:p w14:paraId="167B0676">
            <w:pPr>
              <w:pStyle w:val="24"/>
              <w:jc w:val="center"/>
              <w:rPr>
                <w:rFonts w:hint="default" w:ascii="Times New Roman" w:hAnsi="Times New Roman" w:cs="Times New Roman"/>
                <w:color w:val="auto"/>
                <w:u w:val="none" w:color="auto"/>
              </w:rPr>
            </w:pPr>
          </w:p>
        </w:tc>
        <w:tc>
          <w:tcPr>
            <w:tcW w:w="1207" w:type="dxa"/>
            <w:tcBorders>
              <w:tl2br w:val="nil"/>
              <w:tr2bl w:val="nil"/>
            </w:tcBorders>
            <w:noWrap w:val="0"/>
            <w:vAlign w:val="center"/>
          </w:tcPr>
          <w:p w14:paraId="622AB9A6">
            <w:pPr>
              <w:pStyle w:val="24"/>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4.0</w:t>
            </w:r>
          </w:p>
        </w:tc>
        <w:tc>
          <w:tcPr>
            <w:tcW w:w="1083" w:type="dxa"/>
            <w:tcBorders>
              <w:tl2br w:val="nil"/>
              <w:tr2bl w:val="nil"/>
            </w:tcBorders>
            <w:noWrap w:val="0"/>
            <w:vAlign w:val="center"/>
          </w:tcPr>
          <w:p w14:paraId="4F696ADA">
            <w:pPr>
              <w:pStyle w:val="24"/>
              <w:jc w:val="center"/>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0.705</w:t>
            </w:r>
          </w:p>
        </w:tc>
      </w:tr>
      <w:tr w14:paraId="514EB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80" w:type="dxa"/>
            <w:vMerge w:val="continue"/>
            <w:tcBorders>
              <w:tl2br w:val="nil"/>
              <w:tr2bl w:val="nil"/>
            </w:tcBorders>
            <w:noWrap w:val="0"/>
            <w:vAlign w:val="center"/>
          </w:tcPr>
          <w:p w14:paraId="71660292">
            <w:pPr>
              <w:pStyle w:val="24"/>
              <w:jc w:val="center"/>
              <w:rPr>
                <w:rFonts w:hint="eastAsia" w:cs="Times New Roman"/>
                <w:color w:val="auto"/>
                <w:u w:val="none" w:color="auto"/>
                <w:lang w:val="en-US" w:eastAsia="zh-CN"/>
              </w:rPr>
            </w:pPr>
          </w:p>
        </w:tc>
        <w:tc>
          <w:tcPr>
            <w:tcW w:w="838" w:type="dxa"/>
            <w:vMerge w:val="continue"/>
            <w:tcBorders>
              <w:tl2br w:val="nil"/>
              <w:tr2bl w:val="nil"/>
            </w:tcBorders>
            <w:noWrap w:val="0"/>
            <w:vAlign w:val="center"/>
          </w:tcPr>
          <w:p w14:paraId="2730B5A7">
            <w:pPr>
              <w:pStyle w:val="24"/>
              <w:jc w:val="center"/>
              <w:rPr>
                <w:rFonts w:hint="default" w:ascii="Times New Roman" w:hAnsi="Times New Roman" w:cs="Times New Roman"/>
                <w:color w:val="auto"/>
                <w:u w:val="none" w:color="auto"/>
                <w:lang w:val="en-US" w:eastAsia="zh-CN"/>
              </w:rPr>
            </w:pPr>
          </w:p>
        </w:tc>
        <w:tc>
          <w:tcPr>
            <w:tcW w:w="848" w:type="dxa"/>
            <w:vMerge w:val="continue"/>
            <w:tcBorders>
              <w:tl2br w:val="nil"/>
              <w:tr2bl w:val="nil"/>
            </w:tcBorders>
            <w:noWrap w:val="0"/>
            <w:vAlign w:val="center"/>
          </w:tcPr>
          <w:p w14:paraId="0D1415E9">
            <w:pPr>
              <w:pStyle w:val="24"/>
              <w:jc w:val="center"/>
              <w:rPr>
                <w:rFonts w:hint="eastAsia" w:cs="Times New Roman"/>
                <w:color w:val="auto"/>
                <w:u w:val="none" w:color="auto"/>
                <w:lang w:val="en-US" w:eastAsia="zh-CN"/>
              </w:rPr>
            </w:pPr>
          </w:p>
        </w:tc>
        <w:tc>
          <w:tcPr>
            <w:tcW w:w="982" w:type="dxa"/>
            <w:tcBorders>
              <w:tl2br w:val="nil"/>
              <w:tr2bl w:val="nil"/>
            </w:tcBorders>
            <w:noWrap w:val="0"/>
            <w:vAlign w:val="center"/>
          </w:tcPr>
          <w:p w14:paraId="1DBA45FB">
            <w:pPr>
              <w:pStyle w:val="24"/>
              <w:rPr>
                <w:rFonts w:hint="default" w:cs="Times New Roman"/>
                <w:color w:val="auto"/>
                <w:u w:val="none" w:color="auto"/>
                <w:lang w:val="en-US" w:eastAsia="zh-CN"/>
              </w:rPr>
            </w:pPr>
            <w:r>
              <w:rPr>
                <w:rFonts w:hint="eastAsia" w:cs="Times New Roman"/>
                <w:color w:val="auto"/>
                <w:u w:val="none" w:color="auto"/>
                <w:lang w:val="en-US" w:eastAsia="zh-CN"/>
              </w:rPr>
              <w:t>氯化氢</w:t>
            </w:r>
          </w:p>
        </w:tc>
        <w:tc>
          <w:tcPr>
            <w:tcW w:w="953" w:type="dxa"/>
            <w:vMerge w:val="continue"/>
            <w:tcBorders>
              <w:tl2br w:val="nil"/>
              <w:tr2bl w:val="nil"/>
            </w:tcBorders>
            <w:noWrap w:val="0"/>
            <w:vAlign w:val="center"/>
          </w:tcPr>
          <w:p w14:paraId="40859DC3">
            <w:pPr>
              <w:pStyle w:val="24"/>
              <w:jc w:val="center"/>
              <w:rPr>
                <w:rFonts w:hint="default" w:ascii="Times New Roman" w:hAnsi="Times New Roman" w:cs="Times New Roman"/>
                <w:color w:val="auto"/>
                <w:u w:val="none" w:color="auto"/>
                <w:lang w:val="en-US" w:eastAsia="zh-CN"/>
              </w:rPr>
            </w:pPr>
          </w:p>
        </w:tc>
        <w:tc>
          <w:tcPr>
            <w:tcW w:w="2013" w:type="dxa"/>
            <w:vMerge w:val="continue"/>
            <w:tcBorders>
              <w:tl2br w:val="nil"/>
              <w:tr2bl w:val="nil"/>
            </w:tcBorders>
            <w:noWrap w:val="0"/>
            <w:vAlign w:val="center"/>
          </w:tcPr>
          <w:p w14:paraId="347EAD85">
            <w:pPr>
              <w:pStyle w:val="24"/>
              <w:jc w:val="center"/>
              <w:rPr>
                <w:rFonts w:hint="default" w:ascii="Times New Roman" w:hAnsi="Times New Roman" w:cs="Times New Roman"/>
                <w:color w:val="auto"/>
                <w:u w:val="none" w:color="auto"/>
              </w:rPr>
            </w:pPr>
          </w:p>
        </w:tc>
        <w:tc>
          <w:tcPr>
            <w:tcW w:w="1207" w:type="dxa"/>
            <w:tcBorders>
              <w:tl2br w:val="nil"/>
              <w:tr2bl w:val="nil"/>
            </w:tcBorders>
            <w:noWrap w:val="0"/>
            <w:vAlign w:val="center"/>
          </w:tcPr>
          <w:p w14:paraId="660FF9FF">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0.2</w:t>
            </w:r>
          </w:p>
        </w:tc>
        <w:tc>
          <w:tcPr>
            <w:tcW w:w="1083" w:type="dxa"/>
            <w:tcBorders>
              <w:tl2br w:val="nil"/>
              <w:tr2bl w:val="nil"/>
            </w:tcBorders>
            <w:noWrap w:val="0"/>
            <w:vAlign w:val="center"/>
          </w:tcPr>
          <w:p w14:paraId="4499C208">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0.086</w:t>
            </w:r>
          </w:p>
        </w:tc>
      </w:tr>
      <w:tr w14:paraId="235E8C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580" w:type="dxa"/>
            <w:vMerge w:val="continue"/>
            <w:tcBorders>
              <w:tl2br w:val="nil"/>
              <w:tr2bl w:val="nil"/>
            </w:tcBorders>
            <w:noWrap w:val="0"/>
            <w:vAlign w:val="center"/>
          </w:tcPr>
          <w:p w14:paraId="3C0BFA69">
            <w:pPr>
              <w:pStyle w:val="24"/>
              <w:jc w:val="center"/>
              <w:rPr>
                <w:rFonts w:hint="eastAsia" w:cs="Times New Roman"/>
                <w:color w:val="auto"/>
                <w:u w:val="none" w:color="auto"/>
                <w:lang w:val="en-US" w:eastAsia="zh-CN"/>
              </w:rPr>
            </w:pPr>
          </w:p>
        </w:tc>
        <w:tc>
          <w:tcPr>
            <w:tcW w:w="838" w:type="dxa"/>
            <w:vMerge w:val="continue"/>
            <w:tcBorders>
              <w:tl2br w:val="nil"/>
              <w:tr2bl w:val="nil"/>
            </w:tcBorders>
            <w:noWrap w:val="0"/>
            <w:vAlign w:val="center"/>
          </w:tcPr>
          <w:p w14:paraId="6920C9CF">
            <w:pPr>
              <w:pStyle w:val="24"/>
              <w:jc w:val="center"/>
              <w:rPr>
                <w:rFonts w:hint="default" w:ascii="Times New Roman" w:hAnsi="Times New Roman" w:cs="Times New Roman"/>
                <w:color w:val="auto"/>
                <w:u w:val="none" w:color="auto"/>
                <w:lang w:val="en-US" w:eastAsia="zh-CN"/>
              </w:rPr>
            </w:pPr>
          </w:p>
        </w:tc>
        <w:tc>
          <w:tcPr>
            <w:tcW w:w="848" w:type="dxa"/>
            <w:vMerge w:val="continue"/>
            <w:tcBorders>
              <w:tl2br w:val="nil"/>
              <w:tr2bl w:val="nil"/>
            </w:tcBorders>
            <w:noWrap w:val="0"/>
            <w:vAlign w:val="center"/>
          </w:tcPr>
          <w:p w14:paraId="2272F181">
            <w:pPr>
              <w:pStyle w:val="24"/>
              <w:jc w:val="center"/>
              <w:rPr>
                <w:rFonts w:hint="eastAsia" w:cs="Times New Roman"/>
                <w:color w:val="auto"/>
                <w:u w:val="none" w:color="auto"/>
                <w:lang w:val="en-US" w:eastAsia="zh-CN"/>
              </w:rPr>
            </w:pPr>
          </w:p>
        </w:tc>
        <w:tc>
          <w:tcPr>
            <w:tcW w:w="982" w:type="dxa"/>
            <w:tcBorders>
              <w:tl2br w:val="nil"/>
              <w:tr2bl w:val="nil"/>
            </w:tcBorders>
            <w:noWrap w:val="0"/>
            <w:vAlign w:val="center"/>
          </w:tcPr>
          <w:p w14:paraId="2393F8F0">
            <w:pPr>
              <w:pStyle w:val="24"/>
              <w:rPr>
                <w:rFonts w:hint="default" w:cs="Times New Roman"/>
                <w:color w:val="auto"/>
                <w:u w:val="none" w:color="auto"/>
                <w:lang w:val="en-US" w:eastAsia="zh-CN"/>
              </w:rPr>
            </w:pPr>
            <w:r>
              <w:rPr>
                <w:rFonts w:hint="eastAsia" w:cs="Times New Roman"/>
                <w:color w:val="auto"/>
                <w:u w:val="none" w:color="auto"/>
                <w:lang w:val="en-US" w:eastAsia="zh-CN"/>
              </w:rPr>
              <w:t>二甲苯</w:t>
            </w:r>
          </w:p>
        </w:tc>
        <w:tc>
          <w:tcPr>
            <w:tcW w:w="953" w:type="dxa"/>
            <w:vMerge w:val="continue"/>
            <w:tcBorders>
              <w:tl2br w:val="nil"/>
              <w:tr2bl w:val="nil"/>
            </w:tcBorders>
            <w:noWrap w:val="0"/>
            <w:vAlign w:val="center"/>
          </w:tcPr>
          <w:p w14:paraId="056E442A">
            <w:pPr>
              <w:pStyle w:val="24"/>
              <w:jc w:val="center"/>
              <w:rPr>
                <w:rFonts w:hint="default" w:ascii="Times New Roman" w:hAnsi="Times New Roman" w:cs="Times New Roman"/>
                <w:color w:val="auto"/>
                <w:u w:val="none" w:color="auto"/>
                <w:lang w:val="en-US" w:eastAsia="zh-CN"/>
              </w:rPr>
            </w:pPr>
          </w:p>
        </w:tc>
        <w:tc>
          <w:tcPr>
            <w:tcW w:w="2013" w:type="dxa"/>
            <w:vMerge w:val="continue"/>
            <w:tcBorders>
              <w:tl2br w:val="nil"/>
              <w:tr2bl w:val="nil"/>
            </w:tcBorders>
            <w:noWrap w:val="0"/>
            <w:vAlign w:val="center"/>
          </w:tcPr>
          <w:p w14:paraId="5FDCF2BE">
            <w:pPr>
              <w:pStyle w:val="24"/>
              <w:jc w:val="center"/>
              <w:rPr>
                <w:rFonts w:hint="default" w:ascii="Times New Roman" w:hAnsi="Times New Roman" w:cs="Times New Roman"/>
                <w:color w:val="auto"/>
                <w:u w:val="none" w:color="auto"/>
              </w:rPr>
            </w:pPr>
          </w:p>
        </w:tc>
        <w:tc>
          <w:tcPr>
            <w:tcW w:w="1207" w:type="dxa"/>
            <w:tcBorders>
              <w:tl2br w:val="nil"/>
              <w:tr2bl w:val="nil"/>
            </w:tcBorders>
            <w:noWrap w:val="0"/>
            <w:vAlign w:val="center"/>
          </w:tcPr>
          <w:p w14:paraId="16F62563">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1.2</w:t>
            </w:r>
          </w:p>
        </w:tc>
        <w:tc>
          <w:tcPr>
            <w:tcW w:w="1083" w:type="dxa"/>
            <w:tcBorders>
              <w:tl2br w:val="nil"/>
              <w:tr2bl w:val="nil"/>
            </w:tcBorders>
            <w:noWrap w:val="0"/>
            <w:vAlign w:val="center"/>
          </w:tcPr>
          <w:p w14:paraId="6B964380">
            <w:pPr>
              <w:pStyle w:val="24"/>
              <w:jc w:val="center"/>
              <w:rPr>
                <w:rFonts w:hint="default" w:cs="Times New Roman"/>
                <w:color w:val="auto"/>
                <w:u w:val="none" w:color="auto"/>
                <w:lang w:val="en-US" w:eastAsia="zh-CN"/>
              </w:rPr>
            </w:pPr>
            <w:r>
              <w:rPr>
                <w:rFonts w:hint="eastAsia" w:cs="Times New Roman"/>
                <w:color w:val="auto"/>
                <w:u w:val="none" w:color="auto"/>
                <w:lang w:val="en-US" w:eastAsia="zh-CN"/>
              </w:rPr>
              <w:t>0.061</w:t>
            </w:r>
          </w:p>
        </w:tc>
      </w:tr>
      <w:tr w14:paraId="2018C8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8504" w:type="dxa"/>
            <w:gridSpan w:val="8"/>
            <w:tcBorders>
              <w:tl2br w:val="nil"/>
              <w:tr2bl w:val="nil"/>
            </w:tcBorders>
            <w:noWrap w:val="0"/>
            <w:vAlign w:val="center"/>
          </w:tcPr>
          <w:p w14:paraId="3D4F2931">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无组织排放总计</w:t>
            </w:r>
          </w:p>
        </w:tc>
      </w:tr>
      <w:tr w14:paraId="2E5581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3248" w:type="dxa"/>
            <w:gridSpan w:val="4"/>
            <w:vMerge w:val="restart"/>
            <w:tcBorders>
              <w:tl2br w:val="nil"/>
              <w:tr2bl w:val="nil"/>
            </w:tcBorders>
            <w:noWrap w:val="0"/>
            <w:vAlign w:val="center"/>
          </w:tcPr>
          <w:p w14:paraId="6AC5EBD8">
            <w:pPr>
              <w:pStyle w:val="24"/>
              <w:jc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无组织排放总计</w:t>
            </w:r>
          </w:p>
        </w:tc>
        <w:tc>
          <w:tcPr>
            <w:tcW w:w="4173" w:type="dxa"/>
            <w:gridSpan w:val="3"/>
            <w:tcBorders>
              <w:tl2br w:val="nil"/>
              <w:tr2bl w:val="nil"/>
            </w:tcBorders>
            <w:noWrap w:val="0"/>
            <w:vAlign w:val="center"/>
          </w:tcPr>
          <w:p w14:paraId="10ECD747">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颗粒物</w:t>
            </w:r>
          </w:p>
        </w:tc>
        <w:tc>
          <w:tcPr>
            <w:tcW w:w="1083" w:type="dxa"/>
            <w:tcBorders>
              <w:tl2br w:val="nil"/>
              <w:tr2bl w:val="nil"/>
            </w:tcBorders>
            <w:noWrap w:val="0"/>
            <w:vAlign w:val="center"/>
          </w:tcPr>
          <w:p w14:paraId="264D19D9">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1.068</w:t>
            </w:r>
          </w:p>
        </w:tc>
      </w:tr>
      <w:tr w14:paraId="03B6F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248" w:type="dxa"/>
            <w:gridSpan w:val="4"/>
            <w:vMerge w:val="continue"/>
            <w:tcBorders>
              <w:tl2br w:val="nil"/>
              <w:tr2bl w:val="nil"/>
            </w:tcBorders>
            <w:noWrap w:val="0"/>
            <w:vAlign w:val="center"/>
          </w:tcPr>
          <w:p w14:paraId="224E86EA">
            <w:pPr>
              <w:pStyle w:val="24"/>
              <w:jc w:val="center"/>
              <w:rPr>
                <w:rFonts w:hint="default" w:ascii="Times New Roman" w:hAnsi="Times New Roman" w:cs="Times New Roman"/>
                <w:color w:val="auto"/>
                <w:u w:val="none" w:color="auto"/>
                <w:lang w:val="en-US" w:eastAsia="zh-CN"/>
              </w:rPr>
            </w:pPr>
          </w:p>
        </w:tc>
        <w:tc>
          <w:tcPr>
            <w:tcW w:w="4173" w:type="dxa"/>
            <w:gridSpan w:val="3"/>
            <w:tcBorders>
              <w:tl2br w:val="nil"/>
              <w:tr2bl w:val="nil"/>
            </w:tcBorders>
            <w:noWrap w:val="0"/>
            <w:vAlign w:val="center"/>
          </w:tcPr>
          <w:p w14:paraId="1CC7DBF9">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非甲烷总烃</w:t>
            </w:r>
          </w:p>
        </w:tc>
        <w:tc>
          <w:tcPr>
            <w:tcW w:w="1083" w:type="dxa"/>
            <w:tcBorders>
              <w:tl2br w:val="nil"/>
              <w:tr2bl w:val="nil"/>
            </w:tcBorders>
            <w:noWrap w:val="0"/>
            <w:vAlign w:val="center"/>
          </w:tcPr>
          <w:p w14:paraId="629261D6">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0.705</w:t>
            </w:r>
          </w:p>
        </w:tc>
      </w:tr>
      <w:tr w14:paraId="7A0B21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248" w:type="dxa"/>
            <w:gridSpan w:val="4"/>
            <w:vMerge w:val="continue"/>
            <w:tcBorders>
              <w:tl2br w:val="nil"/>
              <w:tr2bl w:val="nil"/>
            </w:tcBorders>
            <w:noWrap w:val="0"/>
            <w:vAlign w:val="center"/>
          </w:tcPr>
          <w:p w14:paraId="3D08BB84">
            <w:pPr>
              <w:pStyle w:val="24"/>
              <w:jc w:val="center"/>
              <w:rPr>
                <w:rFonts w:hint="default" w:ascii="Times New Roman" w:hAnsi="Times New Roman" w:cs="Times New Roman"/>
                <w:color w:val="auto"/>
                <w:u w:val="none" w:color="auto"/>
                <w:lang w:val="en-US" w:eastAsia="zh-CN"/>
              </w:rPr>
            </w:pPr>
          </w:p>
        </w:tc>
        <w:tc>
          <w:tcPr>
            <w:tcW w:w="4173" w:type="dxa"/>
            <w:gridSpan w:val="3"/>
            <w:tcBorders>
              <w:tl2br w:val="nil"/>
              <w:tr2bl w:val="nil"/>
            </w:tcBorders>
            <w:noWrap w:val="0"/>
            <w:vAlign w:val="center"/>
          </w:tcPr>
          <w:p w14:paraId="133A4C35">
            <w:pPr>
              <w:pStyle w:val="24"/>
              <w:rPr>
                <w:rFonts w:hint="default" w:cs="Times New Roman"/>
                <w:color w:val="auto"/>
                <w:u w:val="none" w:color="auto"/>
                <w:lang w:val="en-US" w:eastAsia="zh-CN"/>
              </w:rPr>
            </w:pPr>
            <w:r>
              <w:rPr>
                <w:rFonts w:hint="eastAsia" w:cs="Times New Roman"/>
                <w:color w:val="auto"/>
                <w:u w:val="none" w:color="auto"/>
                <w:lang w:val="en-US" w:eastAsia="zh-CN"/>
              </w:rPr>
              <w:t>氯化氢</w:t>
            </w:r>
          </w:p>
        </w:tc>
        <w:tc>
          <w:tcPr>
            <w:tcW w:w="1083" w:type="dxa"/>
            <w:tcBorders>
              <w:tl2br w:val="nil"/>
              <w:tr2bl w:val="nil"/>
            </w:tcBorders>
            <w:noWrap w:val="0"/>
            <w:vAlign w:val="center"/>
          </w:tcPr>
          <w:p w14:paraId="1A7D54C0">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0.086</w:t>
            </w:r>
          </w:p>
        </w:tc>
      </w:tr>
      <w:tr w14:paraId="219D2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 w:hRule="atLeast"/>
          <w:jc w:val="center"/>
        </w:trPr>
        <w:tc>
          <w:tcPr>
            <w:tcW w:w="3248" w:type="dxa"/>
            <w:gridSpan w:val="4"/>
            <w:vMerge w:val="continue"/>
            <w:tcBorders>
              <w:tl2br w:val="nil"/>
              <w:tr2bl w:val="nil"/>
            </w:tcBorders>
            <w:noWrap w:val="0"/>
            <w:vAlign w:val="center"/>
          </w:tcPr>
          <w:p w14:paraId="2AC21EBA">
            <w:pPr>
              <w:pStyle w:val="24"/>
              <w:jc w:val="center"/>
              <w:rPr>
                <w:rFonts w:hint="default" w:ascii="Times New Roman" w:hAnsi="Times New Roman" w:cs="Times New Roman"/>
                <w:color w:val="auto"/>
                <w:u w:val="none" w:color="auto"/>
                <w:lang w:val="en-US" w:eastAsia="zh-CN"/>
              </w:rPr>
            </w:pPr>
          </w:p>
        </w:tc>
        <w:tc>
          <w:tcPr>
            <w:tcW w:w="4173" w:type="dxa"/>
            <w:gridSpan w:val="3"/>
            <w:tcBorders>
              <w:tl2br w:val="nil"/>
              <w:tr2bl w:val="nil"/>
            </w:tcBorders>
            <w:noWrap w:val="0"/>
            <w:vAlign w:val="center"/>
          </w:tcPr>
          <w:p w14:paraId="571F0A3F">
            <w:pPr>
              <w:pStyle w:val="24"/>
              <w:rPr>
                <w:rFonts w:hint="default" w:cs="Times New Roman"/>
                <w:color w:val="auto"/>
                <w:u w:val="none" w:color="auto"/>
                <w:lang w:val="en-US" w:eastAsia="zh-CN"/>
              </w:rPr>
            </w:pPr>
            <w:r>
              <w:rPr>
                <w:rFonts w:hint="eastAsia" w:cs="Times New Roman"/>
                <w:color w:val="auto"/>
                <w:u w:val="none" w:color="auto"/>
                <w:lang w:val="en-US" w:eastAsia="zh-CN"/>
              </w:rPr>
              <w:t>二甲苯</w:t>
            </w:r>
          </w:p>
        </w:tc>
        <w:tc>
          <w:tcPr>
            <w:tcW w:w="1083" w:type="dxa"/>
            <w:tcBorders>
              <w:tl2br w:val="nil"/>
              <w:tr2bl w:val="nil"/>
            </w:tcBorders>
            <w:noWrap w:val="0"/>
            <w:vAlign w:val="center"/>
          </w:tcPr>
          <w:p w14:paraId="07DC0CEF">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0.061</w:t>
            </w:r>
          </w:p>
        </w:tc>
      </w:tr>
    </w:tbl>
    <w:p w14:paraId="54BBF52B">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6.2-13</w:t>
      </w:r>
      <w:r>
        <w:rPr>
          <w:rFonts w:hint="default"/>
          <w:color w:val="auto"/>
          <w:u w:val="none" w:color="auto"/>
        </w:rPr>
        <w:t xml:space="preserve"> 大气污染物年排放量核算表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2708"/>
        <w:gridCol w:w="3794"/>
      </w:tblGrid>
      <w:tr w14:paraId="673765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vMerge w:val="restart"/>
            <w:noWrap w:val="0"/>
            <w:vAlign w:val="center"/>
          </w:tcPr>
          <w:p w14:paraId="5463CD64">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2708" w:type="dxa"/>
            <w:vMerge w:val="restart"/>
            <w:noWrap w:val="0"/>
            <w:vAlign w:val="center"/>
          </w:tcPr>
          <w:p w14:paraId="7B1DC4B8">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污染物</w:t>
            </w:r>
          </w:p>
        </w:tc>
        <w:tc>
          <w:tcPr>
            <w:tcW w:w="3794" w:type="dxa"/>
            <w:vMerge w:val="restart"/>
            <w:noWrap w:val="0"/>
            <w:vAlign w:val="center"/>
          </w:tcPr>
          <w:p w14:paraId="5B83498A">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年排放量（t/a）</w:t>
            </w:r>
          </w:p>
        </w:tc>
      </w:tr>
      <w:tr w14:paraId="099BB7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002" w:type="dxa"/>
            <w:vMerge w:val="continue"/>
            <w:noWrap w:val="0"/>
            <w:vAlign w:val="center"/>
          </w:tcPr>
          <w:p w14:paraId="000F5389">
            <w:pPr>
              <w:pStyle w:val="24"/>
              <w:rPr>
                <w:rFonts w:hint="default" w:ascii="Times New Roman" w:hAnsi="Times New Roman" w:cs="Times New Roman"/>
                <w:color w:val="auto"/>
                <w:u w:val="none" w:color="auto"/>
                <w:lang w:val="en-US" w:eastAsia="zh-CN"/>
              </w:rPr>
            </w:pPr>
          </w:p>
        </w:tc>
        <w:tc>
          <w:tcPr>
            <w:tcW w:w="2708" w:type="dxa"/>
            <w:vMerge w:val="continue"/>
            <w:noWrap w:val="0"/>
            <w:vAlign w:val="center"/>
          </w:tcPr>
          <w:p w14:paraId="0BF326AD">
            <w:pPr>
              <w:pStyle w:val="24"/>
              <w:rPr>
                <w:rFonts w:hint="default" w:ascii="Times New Roman" w:hAnsi="Times New Roman" w:cs="Times New Roman"/>
                <w:color w:val="auto"/>
                <w:u w:val="none" w:color="auto"/>
                <w:lang w:val="en-US" w:eastAsia="zh-CN"/>
              </w:rPr>
            </w:pPr>
          </w:p>
        </w:tc>
        <w:tc>
          <w:tcPr>
            <w:tcW w:w="3794" w:type="dxa"/>
            <w:vMerge w:val="continue"/>
            <w:noWrap w:val="0"/>
            <w:vAlign w:val="center"/>
          </w:tcPr>
          <w:p w14:paraId="2F3E3250">
            <w:pPr>
              <w:pStyle w:val="24"/>
              <w:rPr>
                <w:rFonts w:hint="default" w:ascii="Times New Roman" w:hAnsi="Times New Roman" w:cs="Times New Roman"/>
                <w:color w:val="auto"/>
                <w:u w:val="none" w:color="auto"/>
                <w:lang w:val="en-US" w:eastAsia="zh-CN"/>
              </w:rPr>
            </w:pPr>
          </w:p>
        </w:tc>
      </w:tr>
      <w:tr w14:paraId="14B80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1405A5FF">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1</w:t>
            </w:r>
          </w:p>
        </w:tc>
        <w:tc>
          <w:tcPr>
            <w:tcW w:w="2708" w:type="dxa"/>
            <w:noWrap w:val="0"/>
            <w:vAlign w:val="center"/>
          </w:tcPr>
          <w:p w14:paraId="29AAE260">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颗粒物</w:t>
            </w:r>
          </w:p>
        </w:tc>
        <w:tc>
          <w:tcPr>
            <w:tcW w:w="3794" w:type="dxa"/>
            <w:noWrap w:val="0"/>
            <w:vAlign w:val="center"/>
          </w:tcPr>
          <w:p w14:paraId="1D9835C9">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1.132</w:t>
            </w:r>
          </w:p>
        </w:tc>
      </w:tr>
      <w:tr w14:paraId="3FC227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354F40BA">
            <w:pPr>
              <w:pStyle w:val="24"/>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w:t>
            </w:r>
          </w:p>
        </w:tc>
        <w:tc>
          <w:tcPr>
            <w:tcW w:w="2708" w:type="dxa"/>
            <w:noWrap w:val="0"/>
            <w:vAlign w:val="center"/>
          </w:tcPr>
          <w:p w14:paraId="49ED2BE6">
            <w:pPr>
              <w:pStyle w:val="24"/>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u w:val="none" w:color="auto"/>
                <w:lang w:val="en-US" w:eastAsia="zh-CN"/>
              </w:rPr>
              <w:t>非甲烷总烃</w:t>
            </w:r>
          </w:p>
        </w:tc>
        <w:tc>
          <w:tcPr>
            <w:tcW w:w="3794" w:type="dxa"/>
            <w:noWrap w:val="0"/>
            <w:vAlign w:val="center"/>
          </w:tcPr>
          <w:p w14:paraId="7F5DE9C6">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2.146</w:t>
            </w:r>
          </w:p>
        </w:tc>
      </w:tr>
      <w:tr w14:paraId="1E40D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68FD0EDE">
            <w:pPr>
              <w:pStyle w:val="24"/>
              <w:rPr>
                <w:rFonts w:hint="default" w:cs="Times New Roman"/>
                <w:color w:val="auto"/>
                <w:u w:val="none" w:color="auto"/>
                <w:lang w:val="en-US" w:eastAsia="zh-CN"/>
              </w:rPr>
            </w:pPr>
            <w:r>
              <w:rPr>
                <w:rFonts w:hint="eastAsia" w:cs="Times New Roman"/>
                <w:color w:val="auto"/>
                <w:u w:val="none" w:color="auto"/>
                <w:lang w:val="en-US" w:eastAsia="zh-CN"/>
              </w:rPr>
              <w:t>3</w:t>
            </w:r>
          </w:p>
        </w:tc>
        <w:tc>
          <w:tcPr>
            <w:tcW w:w="2708" w:type="dxa"/>
            <w:noWrap w:val="0"/>
            <w:vAlign w:val="center"/>
          </w:tcPr>
          <w:p w14:paraId="7646AE10">
            <w:pPr>
              <w:pStyle w:val="24"/>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氯化氢</w:t>
            </w:r>
          </w:p>
        </w:tc>
        <w:tc>
          <w:tcPr>
            <w:tcW w:w="3794" w:type="dxa"/>
            <w:noWrap w:val="0"/>
            <w:vAlign w:val="center"/>
          </w:tcPr>
          <w:p w14:paraId="2A02CC57">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0.57</w:t>
            </w:r>
          </w:p>
        </w:tc>
      </w:tr>
      <w:tr w14:paraId="467CA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02" w:type="dxa"/>
            <w:noWrap w:val="0"/>
            <w:vAlign w:val="center"/>
          </w:tcPr>
          <w:p w14:paraId="7DDBC5B8">
            <w:pPr>
              <w:pStyle w:val="24"/>
              <w:rPr>
                <w:rFonts w:hint="default" w:cs="Times New Roman"/>
                <w:color w:val="auto"/>
                <w:u w:val="none" w:color="auto"/>
                <w:lang w:val="en-US" w:eastAsia="zh-CN"/>
              </w:rPr>
            </w:pPr>
            <w:r>
              <w:rPr>
                <w:rFonts w:hint="eastAsia" w:cs="Times New Roman"/>
                <w:color w:val="auto"/>
                <w:u w:val="none" w:color="auto"/>
                <w:lang w:val="en-US" w:eastAsia="zh-CN"/>
              </w:rPr>
              <w:t>4</w:t>
            </w:r>
          </w:p>
        </w:tc>
        <w:tc>
          <w:tcPr>
            <w:tcW w:w="2708" w:type="dxa"/>
            <w:noWrap w:val="0"/>
            <w:vAlign w:val="center"/>
          </w:tcPr>
          <w:p w14:paraId="2E97E156">
            <w:pPr>
              <w:pStyle w:val="24"/>
              <w:rPr>
                <w:rFonts w:hint="default" w:cs="Times New Roman"/>
                <w:color w:val="auto"/>
                <w:u w:val="none" w:color="auto"/>
                <w:lang w:val="en-US" w:eastAsia="zh-CN"/>
              </w:rPr>
            </w:pPr>
            <w:r>
              <w:rPr>
                <w:rFonts w:hint="eastAsia" w:cs="Times New Roman"/>
                <w:color w:val="auto"/>
                <w:u w:val="none" w:color="auto"/>
                <w:lang w:val="en-US" w:eastAsia="zh-CN"/>
              </w:rPr>
              <w:t>二甲苯</w:t>
            </w:r>
          </w:p>
        </w:tc>
        <w:tc>
          <w:tcPr>
            <w:tcW w:w="3794" w:type="dxa"/>
            <w:noWrap w:val="0"/>
            <w:vAlign w:val="center"/>
          </w:tcPr>
          <w:p w14:paraId="146821E5">
            <w:pPr>
              <w:pStyle w:val="24"/>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0.225</w:t>
            </w:r>
          </w:p>
        </w:tc>
      </w:tr>
    </w:tbl>
    <w:p w14:paraId="023CDE1F">
      <w:pPr>
        <w:pStyle w:val="20"/>
        <w:bidi w:val="0"/>
        <w:rPr>
          <w:rFonts w:hint="eastAsia"/>
          <w:b/>
          <w:bCs/>
          <w:color w:val="auto"/>
          <w:u w:val="none" w:color="auto"/>
          <w:lang w:val="en-US" w:eastAsia="zh-CN"/>
        </w:rPr>
      </w:pPr>
      <w:r>
        <w:rPr>
          <w:rFonts w:hint="eastAsia"/>
          <w:b/>
          <w:bCs/>
          <w:color w:val="auto"/>
          <w:u w:val="none" w:color="auto"/>
          <w:lang w:val="en-US" w:eastAsia="zh-CN"/>
        </w:rPr>
        <w:t>5、臭气浓度影响评价分析</w:t>
      </w:r>
    </w:p>
    <w:p w14:paraId="41794A59">
      <w:pPr>
        <w:pStyle w:val="20"/>
        <w:bidi w:val="0"/>
        <w:rPr>
          <w:color w:val="auto"/>
          <w:u w:val="none" w:color="auto"/>
        </w:rPr>
      </w:pPr>
      <w:r>
        <w:rPr>
          <w:rFonts w:hint="eastAsia"/>
          <w:color w:val="auto"/>
          <w:u w:val="none" w:color="auto"/>
          <w:lang w:val="en-US" w:eastAsia="zh-CN"/>
        </w:rPr>
        <w:t>项目在生产过程中升温熔融工序会散发出少量的异味，以臭气浓度表征，为减少恶臭气体对周边的影响，要求建设单位加强对恶臭气体的收集措施，并加强周边绿化，以降低对周边范围的影响。经收集处理后的臭气浓度达到</w:t>
      </w:r>
      <w:r>
        <w:rPr>
          <w:rFonts w:hint="eastAsia" w:ascii="Times New Roman" w:hAnsi="Times New Roman" w:cs="Times New Roman"/>
          <w:color w:val="auto"/>
          <w:u w:val="none" w:color="auto"/>
          <w:lang w:val="en-US" w:eastAsia="zh-CN"/>
        </w:rPr>
        <w:t>《恶臭污染物排放标准》（GB14554-93）表1恶臭污染物厂界标准值。</w:t>
      </w:r>
    </w:p>
    <w:p w14:paraId="1B98D49D">
      <w:pPr>
        <w:pStyle w:val="20"/>
        <w:ind w:firstLine="480"/>
        <w:rPr>
          <w:rFonts w:hint="default" w:ascii="Times New Roman" w:hAnsi="Times New Roman" w:cs="Times New Roman"/>
          <w:color w:val="auto"/>
          <w:u w:val="none" w:color="auto"/>
        </w:rPr>
      </w:pPr>
      <w:r>
        <w:rPr>
          <w:rFonts w:hint="eastAsia" w:ascii="Times New Roman" w:hAnsi="Times New Roman" w:cs="Times New Roman"/>
          <w:b/>
          <w:bCs/>
          <w:color w:val="auto"/>
          <w:u w:val="none" w:color="auto"/>
          <w:lang w:val="en-US" w:eastAsia="zh-CN"/>
        </w:rPr>
        <w:t>6</w:t>
      </w:r>
      <w:r>
        <w:rPr>
          <w:rFonts w:hint="default" w:ascii="Times New Roman" w:hAnsi="Times New Roman" w:cs="Times New Roman"/>
          <w:b/>
          <w:bCs/>
          <w:color w:val="auto"/>
          <w:u w:val="none" w:color="auto"/>
        </w:rPr>
        <w:t>、排气筒高度和数量可行性、合理性分析</w:t>
      </w:r>
    </w:p>
    <w:p w14:paraId="5AAECD9C">
      <w:pPr>
        <w:pStyle w:val="20"/>
        <w:bidi w:val="0"/>
        <w:rPr>
          <w:rFonts w:hint="default" w:ascii="Times New Roman" w:hAnsi="Times New Roman" w:cs="Times New Roman"/>
          <w:color w:val="auto"/>
          <w:u w:val="none" w:color="auto"/>
        </w:rPr>
      </w:pPr>
      <w:bookmarkStart w:id="1043" w:name="_Toc2673"/>
      <w:bookmarkStart w:id="1044" w:name="_Toc12240"/>
      <w:bookmarkStart w:id="1045" w:name="_Toc20933"/>
      <w:bookmarkStart w:id="1046" w:name="_Toc24523"/>
      <w:bookmarkStart w:id="1047" w:name="_Toc3928"/>
      <w:bookmarkStart w:id="1048" w:name="_Toc14824"/>
      <w:bookmarkStart w:id="1049" w:name="_Toc4146"/>
      <w:bookmarkStart w:id="1050" w:name="_Toc17318"/>
      <w:bookmarkStart w:id="1051" w:name="_Toc6647"/>
      <w:bookmarkStart w:id="1052" w:name="_Toc12869"/>
      <w:r>
        <w:rPr>
          <w:rFonts w:hint="default" w:ascii="Times New Roman" w:hAnsi="Times New Roman" w:cs="Times New Roman"/>
          <w:color w:val="auto"/>
          <w:u w:val="none" w:color="auto"/>
        </w:rPr>
        <w:t>根据现场踏勘可知，本项目200m范围内最高建筑物建筑约为</w:t>
      </w:r>
      <w:r>
        <w:rPr>
          <w:rFonts w:hint="eastAsia" w:ascii="Times New Roman" w:hAnsi="Times New Roman" w:cs="Times New Roman"/>
          <w:color w:val="auto"/>
          <w:u w:val="none" w:color="auto"/>
          <w:lang w:val="en-US" w:eastAsia="zh-CN"/>
        </w:rPr>
        <w:t>15</w:t>
      </w:r>
      <w:r>
        <w:rPr>
          <w:rFonts w:hint="default" w:ascii="Times New Roman" w:hAnsi="Times New Roman" w:cs="Times New Roman"/>
          <w:color w:val="auto"/>
          <w:u w:val="none" w:color="auto"/>
        </w:rPr>
        <w:t>m</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为本项目新建综合楼，</w:t>
      </w:r>
      <w:r>
        <w:rPr>
          <w:rFonts w:hint="default" w:ascii="Times New Roman" w:hAnsi="Times New Roman" w:cs="Times New Roman"/>
          <w:color w:val="auto"/>
          <w:u w:val="none" w:color="auto"/>
        </w:rPr>
        <w:t>因项目厂房高度问题及安全方面</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高压线</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考虑，项目生产废气通过15m高排气筒排放，项目排气简高度未高出周围200m半径范围内的最高建筑5m以上，故按排放速率标准值严格50%执行。</w:t>
      </w:r>
    </w:p>
    <w:p w14:paraId="01F4B2F7">
      <w:pPr>
        <w:pStyle w:val="20"/>
        <w:bidi w:val="0"/>
        <w:rPr>
          <w:rFonts w:hint="default" w:ascii="Times New Roman" w:hAnsi="Times New Roman" w:cs="Times New Roman"/>
          <w:b w:val="0"/>
          <w:bCs w:val="0"/>
          <w:color w:val="auto"/>
          <w:u w:val="none" w:color="auto"/>
          <w:lang w:eastAsia="zh-CN"/>
        </w:rPr>
      </w:pPr>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拟</w:t>
      </w:r>
      <w:r>
        <w:rPr>
          <w:rFonts w:hint="default" w:ascii="Times New Roman" w:hAnsi="Times New Roman" w:cs="Times New Roman"/>
          <w:color w:val="auto"/>
          <w:u w:val="none" w:color="auto"/>
        </w:rPr>
        <w:t>设置</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根排气筒</w:t>
      </w:r>
      <w:r>
        <w:rPr>
          <w:rFonts w:hint="eastAsia" w:ascii="Times New Roman" w:hAnsi="Times New Roman" w:cs="Times New Roman"/>
          <w:color w:val="auto"/>
          <w:u w:val="none" w:color="auto"/>
          <w:lang w:val="en-US" w:eastAsia="zh-CN"/>
        </w:rPr>
        <w:t>分别</w:t>
      </w:r>
      <w:r>
        <w:rPr>
          <w:rFonts w:hint="default" w:ascii="Times New Roman" w:hAnsi="Times New Roman" w:cs="Times New Roman"/>
          <w:color w:val="auto"/>
          <w:u w:val="none" w:color="auto"/>
        </w:rPr>
        <w:t>对</w:t>
      </w:r>
      <w:r>
        <w:rPr>
          <w:rFonts w:hint="eastAsia" w:ascii="Times New Roman" w:hAnsi="Times New Roman" w:cs="Times New Roman"/>
          <w:color w:val="auto"/>
          <w:u w:val="none" w:color="auto"/>
          <w:lang w:val="en-US" w:eastAsia="zh-CN"/>
        </w:rPr>
        <w:t>破碎磨粉混料废气、1#厂房挤出覆膜废气与2#厂房覆膜废气</w:t>
      </w:r>
      <w:r>
        <w:rPr>
          <w:rFonts w:hint="default" w:ascii="Times New Roman" w:hAnsi="Times New Roman" w:cs="Times New Roman"/>
          <w:color w:val="auto"/>
          <w:u w:val="none" w:color="auto"/>
        </w:rPr>
        <w:t>进行高空达标排放，因此排气筒的设置的数量合理可行。</w:t>
      </w:r>
    </w:p>
    <w:p w14:paraId="6A936A16">
      <w:pPr>
        <w:pStyle w:val="4"/>
        <w:rPr>
          <w:rFonts w:hint="default" w:ascii="Times New Roman" w:hAnsi="Times New Roman" w:cs="Times New Roman"/>
          <w:color w:val="auto"/>
          <w:u w:val="none" w:color="auto"/>
        </w:rPr>
      </w:pPr>
      <w:bookmarkStart w:id="1053" w:name="_Toc23731"/>
      <w:bookmarkStart w:id="1054" w:name="_Toc16688"/>
      <w:bookmarkStart w:id="1055" w:name="_Toc19205"/>
      <w:bookmarkStart w:id="1056" w:name="_Toc21632"/>
      <w:bookmarkStart w:id="1057" w:name="_Toc4295"/>
      <w:bookmarkStart w:id="1058" w:name="_Toc11607"/>
      <w:bookmarkStart w:id="1059" w:name="_Toc18698"/>
      <w:bookmarkStart w:id="1060" w:name="_Toc27031"/>
      <w:bookmarkStart w:id="1061" w:name="_Toc3472"/>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.2地表水环境影响分析</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p>
    <w:p w14:paraId="04705532">
      <w:pPr>
        <w:pStyle w:val="20"/>
        <w:rPr>
          <w:rFonts w:hint="default" w:ascii="Times New Roman" w:hAnsi="Times New Roman" w:eastAsia="宋体" w:cs="Times New Roman"/>
          <w:color w:val="auto"/>
          <w:kern w:val="0"/>
          <w:sz w:val="24"/>
          <w:szCs w:val="20"/>
          <w:highlight w:val="none"/>
          <w:u w:val="none" w:color="auto"/>
          <w:lang w:val="en-US" w:eastAsia="zh-CN" w:bidi="ar-SA"/>
        </w:rPr>
      </w:pPr>
      <w:r>
        <w:rPr>
          <w:rFonts w:hint="default" w:ascii="Times New Roman" w:hAnsi="Times New Roman" w:cs="Times New Roman"/>
          <w:color w:val="auto"/>
          <w:u w:val="none" w:color="auto"/>
          <w:lang w:val="en-US" w:eastAsia="zh-CN"/>
        </w:rPr>
        <w:t>根据《环境影响评价技术导则 地表水环境》（HJ 2.3-2018）：建设项目地表水环境影响评价等级按照影响类型、排放方式、排放量或影响情况、受纳水体环境质量现状、水环境保护目标等综合确定。本项目为水污染影响型建设项目，</w:t>
      </w:r>
      <w:r>
        <w:rPr>
          <w:rStyle w:val="50"/>
          <w:rFonts w:hint="eastAsia" w:ascii="Times New Roman" w:hAnsi="Times New Roman" w:cs="Times New Roman"/>
          <w:color w:val="auto"/>
          <w:u w:val="none" w:color="auto"/>
          <w:lang w:val="en-US" w:eastAsia="zh-CN"/>
        </w:rPr>
        <w:t>项目冷却水经冷却循环水池+冷却塔处理后循环使用，不外排</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生活污水经化粪池处理</w:t>
      </w:r>
      <w:r>
        <w:rPr>
          <w:rFonts w:hint="eastAsia"/>
          <w:color w:val="auto"/>
          <w:u w:val="none" w:color="auto"/>
          <w:lang w:val="en-US" w:eastAsia="zh-CN"/>
        </w:rPr>
        <w:t>后排入湖南汨罗高新技术产业开发区（循环园区）污水处理厂</w:t>
      </w:r>
      <w:r>
        <w:rPr>
          <w:rFonts w:hint="eastAsia" w:ascii="Times New Roman" w:hAnsi="Times New Roman" w:cs="Times New Roman"/>
          <w:color w:val="auto"/>
          <w:u w:val="none" w:color="auto"/>
          <w:lang w:val="en-US" w:eastAsia="zh-CN"/>
        </w:rPr>
        <w:t>。</w:t>
      </w:r>
      <w:r>
        <w:rPr>
          <w:rFonts w:hint="default" w:ascii="Times New Roman" w:hAnsi="Times New Roman" w:eastAsia="宋体" w:cs="Times New Roman"/>
          <w:color w:val="auto"/>
          <w:kern w:val="0"/>
          <w:sz w:val="24"/>
          <w:szCs w:val="20"/>
          <w:u w:val="none" w:color="auto"/>
          <w:lang w:val="en-US" w:eastAsia="zh-CN" w:bidi="ar-SA"/>
        </w:rPr>
        <w:t>根据</w:t>
      </w:r>
      <w:r>
        <w:rPr>
          <w:rFonts w:hint="default" w:ascii="Times New Roman" w:hAnsi="Times New Roman" w:eastAsia="宋体" w:cs="Times New Roman"/>
          <w:color w:val="auto"/>
          <w:kern w:val="0"/>
          <w:sz w:val="24"/>
          <w:szCs w:val="20"/>
          <w:highlight w:val="none"/>
          <w:u w:val="none" w:color="auto"/>
          <w:lang w:val="en-US" w:eastAsia="zh-CN" w:bidi="ar-SA"/>
        </w:rPr>
        <w:t>水污染影响型建设项目评价等级判定表，本次地表水环境影响评价等级为三级B。同时，根据</w:t>
      </w:r>
      <w:r>
        <w:rPr>
          <w:rFonts w:hint="default" w:ascii="Times New Roman" w:hAnsi="Times New Roman" w:eastAsia="宋体" w:cs="Times New Roman"/>
          <w:color w:val="auto"/>
          <w:kern w:val="0"/>
          <w:sz w:val="24"/>
          <w:szCs w:val="20"/>
          <w:u w:val="none" w:color="auto"/>
          <w:lang w:val="en-US" w:eastAsia="zh-CN" w:bidi="ar-SA"/>
        </w:rPr>
        <w:t>《环境影响评</w:t>
      </w:r>
      <w:r>
        <w:rPr>
          <w:rFonts w:hint="default" w:ascii="Times New Roman" w:hAnsi="Times New Roman" w:eastAsia="宋体" w:cs="Times New Roman"/>
          <w:color w:val="auto"/>
          <w:kern w:val="0"/>
          <w:sz w:val="24"/>
          <w:szCs w:val="20"/>
          <w:highlight w:val="none"/>
          <w:u w:val="none" w:color="auto"/>
          <w:lang w:val="en-US" w:eastAsia="zh-CN" w:bidi="ar-SA"/>
        </w:rPr>
        <w:t>价技术导则-地表水环境》（HJ2.3-2018）中7.1.2中地表水环境影响预测的总体要求，水污染影响型三级B评价可不进行水环境影响预测。</w:t>
      </w:r>
    </w:p>
    <w:p w14:paraId="050423AE">
      <w:pPr>
        <w:pStyle w:val="20"/>
        <w:rPr>
          <w:rFonts w:hint="default" w:ascii="Times New Roman" w:hAnsi="Times New Roman" w:cs="Times New Roman"/>
          <w:b w:val="0"/>
          <w:bCs w:val="0"/>
          <w:color w:val="auto"/>
          <w:sz w:val="24"/>
          <w:highlight w:val="none"/>
          <w:u w:val="none" w:color="auto"/>
          <w:lang w:eastAsia="zh-CN"/>
        </w:rPr>
      </w:pPr>
      <w:r>
        <w:rPr>
          <w:rFonts w:hint="eastAsia" w:ascii="Times New Roman" w:hAnsi="Times New Roman" w:cs="Times New Roman"/>
          <w:b/>
          <w:bCs/>
          <w:color w:val="auto"/>
          <w:sz w:val="24"/>
          <w:highlight w:val="none"/>
          <w:u w:val="none" w:color="auto"/>
          <w:lang w:val="en-US" w:eastAsia="zh-CN"/>
        </w:rPr>
        <w:t>1、</w:t>
      </w:r>
      <w:r>
        <w:rPr>
          <w:rFonts w:hint="default" w:ascii="Times New Roman" w:hAnsi="Times New Roman" w:cs="Times New Roman"/>
          <w:b/>
          <w:bCs/>
          <w:color w:val="auto"/>
          <w:sz w:val="24"/>
          <w:highlight w:val="none"/>
          <w:u w:val="none" w:color="auto"/>
          <w:lang w:eastAsia="zh-CN"/>
        </w:rPr>
        <w:t>水污染控制和水环境影响减缓措施有效性评价</w:t>
      </w:r>
    </w:p>
    <w:p w14:paraId="04ACA55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本项目职工</w:t>
      </w:r>
      <w:r>
        <w:rPr>
          <w:rFonts w:hint="default" w:ascii="Times New Roman" w:hAnsi="Times New Roman" w:cs="Times New Roman"/>
          <w:color w:val="auto"/>
          <w:u w:val="none" w:color="auto"/>
          <w:lang w:val="en-US" w:eastAsia="zh-CN"/>
        </w:rPr>
        <w:t>生活</w:t>
      </w:r>
      <w:r>
        <w:rPr>
          <w:rFonts w:hint="default" w:ascii="Times New Roman" w:hAnsi="Times New Roman" w:cs="Times New Roman"/>
          <w:color w:val="auto"/>
          <w:u w:val="none" w:color="auto"/>
        </w:rPr>
        <w:t>污水排放量为</w:t>
      </w:r>
      <w:r>
        <w:rPr>
          <w:rFonts w:hint="eastAsia" w:ascii="Times New Roman" w:hAnsi="Times New Roman" w:cs="Times New Roman"/>
          <w:color w:val="auto"/>
          <w:u w:val="none" w:color="auto"/>
          <w:lang w:val="en-US" w:eastAsia="zh-CN"/>
        </w:rPr>
        <w:t>2088</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a</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6.96</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/d）</w:t>
      </w:r>
      <w:r>
        <w:rPr>
          <w:rFonts w:hint="default" w:ascii="Times New Roman" w:hAnsi="Times New Roman" w:cs="Times New Roman"/>
          <w:color w:val="auto"/>
          <w:u w:val="none" w:color="auto"/>
          <w:lang w:eastAsia="zh-CN"/>
        </w:rPr>
        <w:t>。</w:t>
      </w:r>
      <w:r>
        <w:rPr>
          <w:rStyle w:val="50"/>
          <w:rFonts w:hint="default" w:ascii="Times New Roman" w:hAnsi="Times New Roman" w:cs="Times New Roman"/>
          <w:color w:val="auto"/>
          <w:u w:val="none" w:color="auto"/>
          <w:lang w:eastAsia="zh-CN"/>
        </w:rPr>
        <w:t>员工生活污水</w:t>
      </w:r>
      <w:r>
        <w:rPr>
          <w:rStyle w:val="50"/>
          <w:rFonts w:hint="eastAsia" w:ascii="Times New Roman" w:hAnsi="Times New Roman" w:cs="Times New Roman"/>
          <w:color w:val="auto"/>
          <w:u w:val="none" w:color="auto"/>
          <w:lang w:val="en-US" w:eastAsia="zh-CN"/>
        </w:rPr>
        <w:t>经</w:t>
      </w:r>
      <w:r>
        <w:rPr>
          <w:rStyle w:val="50"/>
          <w:rFonts w:hint="default" w:ascii="Times New Roman" w:hAnsi="Times New Roman" w:cs="Times New Roman"/>
          <w:color w:val="auto"/>
          <w:u w:val="none" w:color="auto"/>
          <w:lang w:eastAsia="zh-CN"/>
        </w:rPr>
        <w:t>化粪池处理后进入</w:t>
      </w:r>
      <w:r>
        <w:rPr>
          <w:rStyle w:val="50"/>
          <w:rFonts w:hint="eastAsia" w:ascii="Times New Roman" w:hAnsi="Times New Roman" w:cs="Times New Roman"/>
          <w:color w:val="auto"/>
          <w:u w:val="none" w:color="auto"/>
          <w:lang w:eastAsia="zh-CN"/>
        </w:rPr>
        <w:t>湖南汨罗高新技术产业开发区（循环园区）污水处理厂处理</w:t>
      </w:r>
      <w:r>
        <w:rPr>
          <w:rFonts w:hint="default" w:ascii="Times New Roman" w:hAnsi="Times New Roman" w:cs="Times New Roman"/>
          <w:color w:val="auto"/>
          <w:u w:val="none" w:color="auto"/>
        </w:rPr>
        <w:t>。</w:t>
      </w:r>
    </w:p>
    <w:p w14:paraId="3F5E2F43">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生活污水中主要污染物CODcr、BOD</w:t>
      </w:r>
      <w:r>
        <w:rPr>
          <w:rFonts w:hint="default" w:ascii="Times New Roman" w:hAnsi="Times New Roman" w:cs="Times New Roman"/>
          <w:color w:val="auto"/>
          <w:u w:val="none" w:color="auto"/>
          <w:vertAlign w:val="subscript"/>
        </w:rPr>
        <w:t>5</w:t>
      </w:r>
      <w:r>
        <w:rPr>
          <w:rFonts w:hint="default" w:ascii="Times New Roman" w:hAnsi="Times New Roman" w:cs="Times New Roman"/>
          <w:color w:val="auto"/>
          <w:u w:val="none" w:color="auto"/>
        </w:rPr>
        <w:t>、SS、NH</w:t>
      </w:r>
      <w:r>
        <w:rPr>
          <w:rFonts w:hint="default" w:ascii="Times New Roman" w:hAnsi="Times New Roman" w:cs="Times New Roman"/>
          <w:color w:val="auto"/>
          <w:u w:val="none" w:color="auto"/>
          <w:vertAlign w:val="subscript"/>
        </w:rPr>
        <w:t>3</w:t>
      </w:r>
      <w:r>
        <w:rPr>
          <w:rFonts w:hint="default" w:ascii="Times New Roman" w:hAnsi="Times New Roman" w:cs="Times New Roman"/>
          <w:color w:val="auto"/>
          <w:u w:val="none" w:color="auto"/>
        </w:rPr>
        <w:t>-N 的产生浓度分别为：300mg/L、200mg/L、250mg/L、25mg/L。根据同类工程数据可知，生活污水经化粪池预处理后，各污染物的浓度约为：CODcr：255mg/L、BOD</w:t>
      </w:r>
      <w:r>
        <w:rPr>
          <w:rFonts w:hint="default" w:ascii="Times New Roman" w:hAnsi="Times New Roman" w:cs="Times New Roman"/>
          <w:color w:val="auto"/>
          <w:u w:val="none" w:color="auto"/>
          <w:vertAlign w:val="subscript"/>
        </w:rPr>
        <w:t>5</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160</w:t>
      </w:r>
      <w:r>
        <w:rPr>
          <w:rFonts w:hint="default" w:ascii="Times New Roman" w:hAnsi="Times New Roman" w:cs="Times New Roman"/>
          <w:color w:val="auto"/>
          <w:u w:val="none" w:color="auto"/>
        </w:rPr>
        <w:t>mg/L、SS</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150</w:t>
      </w:r>
      <w:r>
        <w:rPr>
          <w:rFonts w:hint="default" w:ascii="Times New Roman" w:hAnsi="Times New Roman" w:cs="Times New Roman"/>
          <w:color w:val="auto"/>
          <w:u w:val="none" w:color="auto"/>
        </w:rPr>
        <w:t>mg/L、NH</w:t>
      </w:r>
      <w:r>
        <w:rPr>
          <w:rFonts w:hint="default" w:ascii="Times New Roman" w:hAnsi="Times New Roman" w:cs="Times New Roman"/>
          <w:color w:val="auto"/>
          <w:u w:val="none" w:color="auto"/>
          <w:vertAlign w:val="subscript"/>
        </w:rPr>
        <w:t>3</w:t>
      </w:r>
      <w:r>
        <w:rPr>
          <w:rFonts w:hint="default" w:ascii="Times New Roman" w:hAnsi="Times New Roman" w:cs="Times New Roman"/>
          <w:color w:val="auto"/>
          <w:u w:val="none" w:color="auto"/>
        </w:rPr>
        <w:t>-N：</w:t>
      </w:r>
      <w:r>
        <w:rPr>
          <w:rFonts w:hint="eastAsia" w:ascii="Times New Roman" w:hAnsi="Times New Roman" w:cs="Times New Roman"/>
          <w:color w:val="auto"/>
          <w:u w:val="none" w:color="auto"/>
          <w:lang w:val="en-US" w:eastAsia="zh-CN"/>
        </w:rPr>
        <w:t>10</w:t>
      </w:r>
      <w:r>
        <w:rPr>
          <w:rFonts w:hint="default" w:ascii="Times New Roman" w:hAnsi="Times New Roman" w:cs="Times New Roman"/>
          <w:color w:val="auto"/>
          <w:u w:val="none" w:color="auto"/>
        </w:rPr>
        <w:t>mg/L。生活污水经化粪池预处理后各污染物浓度能够达到湖南汨罗高新技术产业开发区（循环园区）污水处理厂进水水质标准。</w:t>
      </w:r>
    </w:p>
    <w:p w14:paraId="5018F04D">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生活污水经预处理后进入湖南汨罗高新技术产业开发区（循环园区）污水处理厂进一步处理，最终达标排入汨罗江，水污染物排放的影响已在湖南汨罗高新技术产业开发区（循环园区）污水处理厂排水中考虑。根据地表水体汨罗江新市断面、南渡断面监测数据，湖南汨罗高新技术产业开发区（循环园区）污水处理厂处理后外排尾水对地表水体汨罗江影响很小，纳污水体汨罗江的水质不会因为本项目的建设而有明显的恶化，水污染控制和水环境影响减缓措施有效。</w:t>
      </w:r>
    </w:p>
    <w:p w14:paraId="4A8F20D8">
      <w:pPr>
        <w:pStyle w:val="20"/>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b/>
          <w:bCs/>
          <w:color w:val="auto"/>
          <w:u w:val="none" w:color="auto"/>
          <w:lang w:val="en-US" w:eastAsia="zh-CN"/>
        </w:rPr>
        <w:t>2、依托污水处理设施的环境可行性评价</w:t>
      </w:r>
    </w:p>
    <w:p w14:paraId="4847F887">
      <w:pPr>
        <w:pStyle w:val="20"/>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（1）生产废水可行性分析</w:t>
      </w:r>
    </w:p>
    <w:p w14:paraId="5E16BA3B">
      <w:pPr>
        <w:pStyle w:val="20"/>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项目冷却水经循环</w:t>
      </w:r>
      <w:r>
        <w:rPr>
          <w:rFonts w:hint="eastAsia" w:ascii="Times New Roman" w:hAnsi="Times New Roman" w:cs="Times New Roman"/>
          <w:color w:val="auto"/>
          <w:u w:val="none" w:color="auto"/>
          <w:lang w:val="en-US" w:eastAsia="zh-CN"/>
        </w:rPr>
        <w:t>冷却</w:t>
      </w:r>
      <w:r>
        <w:rPr>
          <w:rFonts w:hint="default" w:ascii="Times New Roman" w:hAnsi="Times New Roman" w:cs="Times New Roman"/>
          <w:color w:val="auto"/>
          <w:u w:val="none" w:color="auto"/>
          <w:lang w:val="en-US" w:eastAsia="zh-CN"/>
        </w:rPr>
        <w:t>池+冷却塔处理后循环使用，不外排。地面清洁采用人工清扫的方式不使用水对地面进行冲洗，故无地面冲洗水的产生。</w:t>
      </w:r>
    </w:p>
    <w:p w14:paraId="5EE4DC7F">
      <w:pPr>
        <w:pStyle w:val="20"/>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（2）生活污水处理可行性分析</w:t>
      </w:r>
    </w:p>
    <w:p w14:paraId="27B22F32">
      <w:pPr>
        <w:pStyle w:val="20"/>
        <w:ind w:firstLine="480"/>
        <w:rPr>
          <w:rFonts w:hint="eastAsia" w:ascii="Times New Roman" w:hAnsi="Times New Roman" w:cs="Times New Roman"/>
          <w:color w:val="auto"/>
          <w:u w:val="none" w:color="auto"/>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eastAsia" w:ascii="Times New Roman" w:hAnsi="Times New Roman" w:cs="Times New Roman"/>
          <w:color w:val="auto"/>
          <w:u w:val="none" w:color="auto"/>
          <w:lang w:val="en-US" w:eastAsia="zh-CN"/>
        </w:rPr>
        <w:t>湖南汨罗高新技术产业开发区（循环园区）污水处理厂设计处理规模为3万m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/d，近期已建成规模为2万m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湖南汨罗高新技术产业开发区（循环园区）污水处理厂的污水处理工艺为预处理+水解酸化（远期）—改良型AAO生物池＋组合二沉池+高效沉淀池+反硝化深床滤池+紫外线消毒，设计外排尾水达到《城镇污水处理厂污染物排放标准》（GB18918- -2002）一级A标准（其中化学需氧量、氨氮、总氮、总磷达到《湖南省城镇污水处理厂主要水污染物排放标准》（DB43/T1546-2018）一级标准，枯水期等应急时段总磷执行≤0.1mg/L标准）。根据调查，湖南汨罗高新技术产业开发区（循环园区）污水处理厂近期规模2万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/d主体工程已经建设完成，正在进行试运行。本项目位于</w:t>
      </w:r>
      <w:r>
        <w:rPr>
          <w:rFonts w:hint="eastAsia"/>
          <w:color w:val="auto"/>
          <w:u w:val="none" w:color="auto"/>
          <w:lang w:val="en-US" w:eastAsia="zh-CN"/>
        </w:rPr>
        <w:t>湖南省岳阳市汨罗市汨罗高新技术产业开发区新市片区西片区龙舟路东侧合心路北侧</w:t>
      </w:r>
      <w:r>
        <w:rPr>
          <w:rFonts w:hint="eastAsia" w:ascii="Times New Roman" w:hAnsi="Times New Roman" w:cs="Times New Roman"/>
          <w:color w:val="auto"/>
          <w:u w:val="none" w:color="auto"/>
          <w:lang w:val="en-US" w:eastAsia="zh-CN"/>
        </w:rPr>
        <w:t>，污水管网已接通至项目所在地，具有管网可达性。目前湖南汨罗高新技术产业开发区（循环园区）污水处理厂纳污范围内废水实际排放水量约为1.4万m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/d，剩余处理余量为0.6万m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/d，本项目生活污水排放量为 2088m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/a，折合6.96m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/d，远低于湖南汨罗高新技术产业开发区（循环园区）污水处理厂的剩余处理能力，能够满足接纳本项目废水排放处理的要求。</w:t>
      </w:r>
    </w:p>
    <w:p w14:paraId="6DE5CFFE">
      <w:pPr>
        <w:pStyle w:val="20"/>
        <w:rPr>
          <w:rFonts w:hint="default" w:ascii="Times New Roman" w:hAnsi="Times New Roman" w:cs="Times New Roman"/>
          <w:color w:val="auto"/>
          <w:u w:val="none" w:color="auto"/>
          <w:lang w:val="en-US" w:eastAsia="zh-CN"/>
        </w:rPr>
      </w:pPr>
      <w:r>
        <w:rPr>
          <w:rFonts w:hint="default" w:ascii="Times New Roman" w:hAnsi="Times New Roman" w:cs="Times New Roman"/>
          <w:bCs/>
          <w:color w:val="auto"/>
          <w:sz w:val="24"/>
          <w:u w:val="none" w:color="auto"/>
        </w:rPr>
        <w:t>本项目废水类别、污染物及污染治理措施见</w:t>
      </w:r>
      <w:r>
        <w:rPr>
          <w:rFonts w:hint="default" w:ascii="Times New Roman" w:hAnsi="Times New Roman" w:cs="Times New Roman"/>
          <w:color w:val="auto"/>
          <w:u w:val="none" w:color="auto"/>
          <w:lang w:val="en-US" w:eastAsia="zh-CN"/>
        </w:rPr>
        <w:t>表</w:t>
      </w:r>
      <w:r>
        <w:rPr>
          <w:rFonts w:hint="eastAsia" w:ascii="Times New Roman" w:hAnsi="Times New Roman" w:cs="Times New Roman"/>
          <w:color w:val="auto"/>
          <w:u w:val="none" w:color="auto"/>
          <w:lang w:val="en-US" w:eastAsia="zh-CN"/>
        </w:rPr>
        <w:t>6.2</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14</w:t>
      </w:r>
      <w:r>
        <w:rPr>
          <w:rFonts w:hint="default" w:ascii="Times New Roman" w:hAnsi="Times New Roman" w:cs="Times New Roman"/>
          <w:bCs/>
          <w:color w:val="auto"/>
          <w:sz w:val="24"/>
          <w:u w:val="none" w:color="auto"/>
        </w:rPr>
        <w:t>。</w:t>
      </w:r>
    </w:p>
    <w:p w14:paraId="5060BF74">
      <w:pPr>
        <w:pStyle w:val="22"/>
        <w:bidi w:val="0"/>
        <w:rPr>
          <w:rFonts w:hint="default"/>
          <w:color w:val="auto"/>
          <w:u w:val="none" w:color="auto"/>
        </w:rPr>
      </w:pPr>
      <w:r>
        <w:rPr>
          <w:rFonts w:hint="default"/>
          <w:color w:val="auto"/>
          <w:u w:val="none" w:color="auto"/>
          <w:lang w:val="en-US" w:eastAsia="zh-CN"/>
        </w:rPr>
        <w:t>表</w:t>
      </w:r>
      <w:r>
        <w:rPr>
          <w:rFonts w:hint="eastAsia"/>
          <w:color w:val="auto"/>
          <w:u w:val="none" w:color="auto"/>
          <w:lang w:val="en-US" w:eastAsia="zh-CN"/>
        </w:rPr>
        <w:t>6.2-14</w:t>
      </w:r>
      <w:r>
        <w:rPr>
          <w:rFonts w:hint="default"/>
          <w:color w:val="auto"/>
          <w:u w:val="none" w:color="auto"/>
        </w:rPr>
        <w:t xml:space="preserve"> 本项目废水类别、污染物及污染治理措施信息表</w:t>
      </w:r>
    </w:p>
    <w:tbl>
      <w:tblPr>
        <w:tblStyle w:val="1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605"/>
        <w:gridCol w:w="910"/>
        <w:gridCol w:w="1100"/>
        <w:gridCol w:w="1300"/>
        <w:gridCol w:w="1075"/>
        <w:gridCol w:w="1150"/>
        <w:gridCol w:w="1100"/>
        <w:gridCol w:w="1900"/>
        <w:gridCol w:w="1003"/>
        <w:gridCol w:w="1462"/>
        <w:gridCol w:w="2568"/>
      </w:tblGrid>
      <w:tr w14:paraId="694AD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5" w:type="dxa"/>
            <w:vMerge w:val="restart"/>
            <w:noWrap w:val="0"/>
            <w:vAlign w:val="center"/>
          </w:tcPr>
          <w:p w14:paraId="53BF845F">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序号</w:t>
            </w:r>
          </w:p>
        </w:tc>
        <w:tc>
          <w:tcPr>
            <w:tcW w:w="910" w:type="dxa"/>
            <w:vMerge w:val="restart"/>
            <w:noWrap w:val="0"/>
            <w:vAlign w:val="center"/>
          </w:tcPr>
          <w:p w14:paraId="28E13FBB">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废水类别</w:t>
            </w:r>
          </w:p>
        </w:tc>
        <w:tc>
          <w:tcPr>
            <w:tcW w:w="1100" w:type="dxa"/>
            <w:vMerge w:val="restart"/>
            <w:noWrap w:val="0"/>
            <w:vAlign w:val="center"/>
          </w:tcPr>
          <w:p w14:paraId="74A30CC7">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污染物种类</w:t>
            </w:r>
          </w:p>
        </w:tc>
        <w:tc>
          <w:tcPr>
            <w:tcW w:w="1300" w:type="dxa"/>
            <w:vMerge w:val="restart"/>
            <w:noWrap w:val="0"/>
            <w:vAlign w:val="center"/>
          </w:tcPr>
          <w:p w14:paraId="7800D74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排放去向</w:t>
            </w:r>
          </w:p>
        </w:tc>
        <w:tc>
          <w:tcPr>
            <w:tcW w:w="1075" w:type="dxa"/>
            <w:vMerge w:val="restart"/>
            <w:noWrap w:val="0"/>
            <w:vAlign w:val="center"/>
          </w:tcPr>
          <w:p w14:paraId="0B75A5E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排放规律</w:t>
            </w:r>
          </w:p>
        </w:tc>
        <w:tc>
          <w:tcPr>
            <w:tcW w:w="4150" w:type="dxa"/>
            <w:gridSpan w:val="3"/>
            <w:noWrap w:val="0"/>
            <w:vAlign w:val="center"/>
          </w:tcPr>
          <w:p w14:paraId="4A40C13E">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污染治理设施</w:t>
            </w:r>
          </w:p>
        </w:tc>
        <w:tc>
          <w:tcPr>
            <w:tcW w:w="1003" w:type="dxa"/>
            <w:vMerge w:val="restart"/>
            <w:noWrap w:val="0"/>
            <w:vAlign w:val="center"/>
          </w:tcPr>
          <w:p w14:paraId="62AE0D19">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排放口编号</w:t>
            </w:r>
          </w:p>
        </w:tc>
        <w:tc>
          <w:tcPr>
            <w:tcW w:w="1462" w:type="dxa"/>
            <w:vMerge w:val="restart"/>
            <w:noWrap w:val="0"/>
            <w:vAlign w:val="center"/>
          </w:tcPr>
          <w:p w14:paraId="3577494E">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排放口设置是否符合要求</w:t>
            </w:r>
          </w:p>
        </w:tc>
        <w:tc>
          <w:tcPr>
            <w:tcW w:w="2568" w:type="dxa"/>
            <w:vMerge w:val="restart"/>
            <w:noWrap w:val="0"/>
            <w:vAlign w:val="center"/>
          </w:tcPr>
          <w:p w14:paraId="40D57CCE">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排放口类型</w:t>
            </w:r>
          </w:p>
        </w:tc>
      </w:tr>
      <w:tr w14:paraId="0E250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5" w:type="dxa"/>
            <w:vMerge w:val="continue"/>
            <w:noWrap w:val="0"/>
            <w:vAlign w:val="center"/>
          </w:tcPr>
          <w:p w14:paraId="6AD36633">
            <w:pPr>
              <w:pStyle w:val="24"/>
              <w:bidi w:val="0"/>
              <w:rPr>
                <w:rFonts w:hint="default" w:ascii="Times New Roman" w:hAnsi="Times New Roman" w:cs="Times New Roman"/>
                <w:color w:val="auto"/>
                <w:u w:val="none" w:color="auto"/>
              </w:rPr>
            </w:pPr>
          </w:p>
        </w:tc>
        <w:tc>
          <w:tcPr>
            <w:tcW w:w="910" w:type="dxa"/>
            <w:vMerge w:val="continue"/>
            <w:noWrap w:val="0"/>
            <w:vAlign w:val="center"/>
          </w:tcPr>
          <w:p w14:paraId="1D6AEDBE">
            <w:pPr>
              <w:pStyle w:val="24"/>
              <w:bidi w:val="0"/>
              <w:rPr>
                <w:rFonts w:hint="default" w:ascii="Times New Roman" w:hAnsi="Times New Roman" w:cs="Times New Roman"/>
                <w:color w:val="auto"/>
                <w:u w:val="none" w:color="auto"/>
              </w:rPr>
            </w:pPr>
          </w:p>
        </w:tc>
        <w:tc>
          <w:tcPr>
            <w:tcW w:w="1100" w:type="dxa"/>
            <w:vMerge w:val="continue"/>
            <w:noWrap w:val="0"/>
            <w:vAlign w:val="center"/>
          </w:tcPr>
          <w:p w14:paraId="1C638425">
            <w:pPr>
              <w:pStyle w:val="24"/>
              <w:bidi w:val="0"/>
              <w:rPr>
                <w:rFonts w:hint="default" w:ascii="Times New Roman" w:hAnsi="Times New Roman" w:cs="Times New Roman"/>
                <w:color w:val="auto"/>
                <w:u w:val="none" w:color="auto"/>
              </w:rPr>
            </w:pPr>
          </w:p>
        </w:tc>
        <w:tc>
          <w:tcPr>
            <w:tcW w:w="1300" w:type="dxa"/>
            <w:vMerge w:val="continue"/>
            <w:noWrap w:val="0"/>
            <w:vAlign w:val="center"/>
          </w:tcPr>
          <w:p w14:paraId="667121D5">
            <w:pPr>
              <w:pStyle w:val="24"/>
              <w:bidi w:val="0"/>
              <w:rPr>
                <w:rFonts w:hint="default" w:ascii="Times New Roman" w:hAnsi="Times New Roman" w:cs="Times New Roman"/>
                <w:color w:val="auto"/>
                <w:u w:val="none" w:color="auto"/>
              </w:rPr>
            </w:pPr>
          </w:p>
        </w:tc>
        <w:tc>
          <w:tcPr>
            <w:tcW w:w="1075" w:type="dxa"/>
            <w:vMerge w:val="continue"/>
            <w:noWrap w:val="0"/>
            <w:vAlign w:val="center"/>
          </w:tcPr>
          <w:p w14:paraId="4D200040">
            <w:pPr>
              <w:pStyle w:val="24"/>
              <w:bidi w:val="0"/>
              <w:rPr>
                <w:rFonts w:hint="default" w:ascii="Times New Roman" w:hAnsi="Times New Roman" w:cs="Times New Roman"/>
                <w:color w:val="auto"/>
                <w:u w:val="none" w:color="auto"/>
              </w:rPr>
            </w:pPr>
          </w:p>
        </w:tc>
        <w:tc>
          <w:tcPr>
            <w:tcW w:w="1150" w:type="dxa"/>
            <w:noWrap w:val="0"/>
            <w:vAlign w:val="center"/>
          </w:tcPr>
          <w:p w14:paraId="577CD39C">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污染治理设施编号</w:t>
            </w:r>
          </w:p>
        </w:tc>
        <w:tc>
          <w:tcPr>
            <w:tcW w:w="1100" w:type="dxa"/>
            <w:noWrap w:val="0"/>
            <w:vAlign w:val="center"/>
          </w:tcPr>
          <w:p w14:paraId="750B08AD">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污染治理设施名称</w:t>
            </w:r>
          </w:p>
        </w:tc>
        <w:tc>
          <w:tcPr>
            <w:tcW w:w="1900" w:type="dxa"/>
            <w:noWrap w:val="0"/>
            <w:vAlign w:val="center"/>
          </w:tcPr>
          <w:p w14:paraId="41539636">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污染治理设施工艺</w:t>
            </w:r>
          </w:p>
        </w:tc>
        <w:tc>
          <w:tcPr>
            <w:tcW w:w="1003" w:type="dxa"/>
            <w:vMerge w:val="continue"/>
            <w:noWrap w:val="0"/>
            <w:vAlign w:val="center"/>
          </w:tcPr>
          <w:p w14:paraId="6B8CF2F6">
            <w:pPr>
              <w:pStyle w:val="24"/>
              <w:bidi w:val="0"/>
              <w:rPr>
                <w:rFonts w:hint="default" w:ascii="Times New Roman" w:hAnsi="Times New Roman" w:cs="Times New Roman"/>
                <w:color w:val="auto"/>
                <w:u w:val="none" w:color="auto"/>
              </w:rPr>
            </w:pPr>
          </w:p>
        </w:tc>
        <w:tc>
          <w:tcPr>
            <w:tcW w:w="1462" w:type="dxa"/>
            <w:vMerge w:val="continue"/>
            <w:noWrap w:val="0"/>
            <w:vAlign w:val="center"/>
          </w:tcPr>
          <w:p w14:paraId="53DC393F">
            <w:pPr>
              <w:pStyle w:val="24"/>
              <w:bidi w:val="0"/>
              <w:rPr>
                <w:rFonts w:hint="default" w:ascii="Times New Roman" w:hAnsi="Times New Roman" w:cs="Times New Roman"/>
                <w:color w:val="auto"/>
                <w:u w:val="none" w:color="auto"/>
              </w:rPr>
            </w:pPr>
          </w:p>
        </w:tc>
        <w:tc>
          <w:tcPr>
            <w:tcW w:w="2568" w:type="dxa"/>
            <w:vMerge w:val="continue"/>
            <w:noWrap w:val="0"/>
            <w:vAlign w:val="center"/>
          </w:tcPr>
          <w:p w14:paraId="4A81BF79">
            <w:pPr>
              <w:pStyle w:val="24"/>
              <w:bidi w:val="0"/>
              <w:rPr>
                <w:rFonts w:hint="default" w:ascii="Times New Roman" w:hAnsi="Times New Roman" w:cs="Times New Roman"/>
                <w:color w:val="auto"/>
                <w:u w:val="none" w:color="auto"/>
              </w:rPr>
            </w:pPr>
          </w:p>
        </w:tc>
      </w:tr>
      <w:tr w14:paraId="5BFA1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0" w:hRule="atLeast"/>
          <w:jc w:val="center"/>
        </w:trPr>
        <w:tc>
          <w:tcPr>
            <w:tcW w:w="605" w:type="dxa"/>
            <w:noWrap w:val="0"/>
            <w:vAlign w:val="center"/>
          </w:tcPr>
          <w:p w14:paraId="689D88F8">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910" w:type="dxa"/>
            <w:noWrap w:val="0"/>
            <w:vAlign w:val="center"/>
          </w:tcPr>
          <w:p w14:paraId="3239183F">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生活污水</w:t>
            </w:r>
          </w:p>
        </w:tc>
        <w:tc>
          <w:tcPr>
            <w:tcW w:w="1100" w:type="dxa"/>
            <w:noWrap w:val="0"/>
            <w:vAlign w:val="center"/>
          </w:tcPr>
          <w:p w14:paraId="231344FE">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COD</w:t>
            </w:r>
            <w:r>
              <w:rPr>
                <w:rFonts w:hint="default" w:ascii="Times New Roman" w:hAnsi="Times New Roman" w:cs="Times New Roman"/>
                <w:color w:val="auto"/>
                <w:u w:val="none" w:color="auto"/>
                <w:lang w:val="en-US" w:eastAsia="zh-CN"/>
              </w:rPr>
              <w:t>c</w:t>
            </w:r>
            <w:r>
              <w:rPr>
                <w:rFonts w:hint="default" w:ascii="Times New Roman" w:hAnsi="Times New Roman" w:cs="Times New Roman"/>
                <w:color w:val="auto"/>
                <w:u w:val="none" w:color="auto"/>
              </w:rPr>
              <w:t>r、BOD</w:t>
            </w:r>
            <w:r>
              <w:rPr>
                <w:rFonts w:hint="default" w:ascii="Times New Roman" w:hAnsi="Times New Roman" w:cs="Times New Roman"/>
                <w:color w:val="auto"/>
                <w:u w:val="none" w:color="auto"/>
                <w:vertAlign w:val="subscript"/>
              </w:rPr>
              <w:t>5</w:t>
            </w:r>
            <w:r>
              <w:rPr>
                <w:rFonts w:hint="default" w:ascii="Times New Roman" w:hAnsi="Times New Roman" w:cs="Times New Roman"/>
                <w:color w:val="auto"/>
                <w:u w:val="none" w:color="auto"/>
              </w:rPr>
              <w:t>、SS、氨氮</w:t>
            </w:r>
          </w:p>
        </w:tc>
        <w:tc>
          <w:tcPr>
            <w:tcW w:w="1300" w:type="dxa"/>
            <w:noWrap w:val="0"/>
            <w:vAlign w:val="center"/>
          </w:tcPr>
          <w:p w14:paraId="53238C1B">
            <w:pPr>
              <w:pStyle w:val="24"/>
              <w:bidi w:val="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湖南汨罗高新技术产业开发区（循环园区）污水处理厂</w:t>
            </w:r>
          </w:p>
        </w:tc>
        <w:tc>
          <w:tcPr>
            <w:tcW w:w="1075" w:type="dxa"/>
            <w:noWrap w:val="0"/>
            <w:vAlign w:val="center"/>
          </w:tcPr>
          <w:p w14:paraId="24964F98">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间断</w:t>
            </w:r>
            <w:r>
              <w:rPr>
                <w:rFonts w:hint="default" w:ascii="Times New Roman" w:hAnsi="Times New Roman" w:cs="Times New Roman"/>
                <w:color w:val="auto"/>
                <w:u w:val="none" w:color="auto"/>
              </w:rPr>
              <w:t>排放</w:t>
            </w:r>
          </w:p>
        </w:tc>
        <w:tc>
          <w:tcPr>
            <w:tcW w:w="1150" w:type="dxa"/>
            <w:noWrap w:val="0"/>
            <w:vAlign w:val="center"/>
          </w:tcPr>
          <w:p w14:paraId="545F6A27">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01</w:t>
            </w:r>
          </w:p>
        </w:tc>
        <w:tc>
          <w:tcPr>
            <w:tcW w:w="1100" w:type="dxa"/>
            <w:noWrap w:val="0"/>
            <w:vAlign w:val="center"/>
          </w:tcPr>
          <w:p w14:paraId="3CDF751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化粪池</w:t>
            </w:r>
          </w:p>
        </w:tc>
        <w:tc>
          <w:tcPr>
            <w:tcW w:w="1900" w:type="dxa"/>
            <w:noWrap w:val="0"/>
            <w:vAlign w:val="center"/>
          </w:tcPr>
          <w:p w14:paraId="674FE12C">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化粪池预处理</w:t>
            </w:r>
          </w:p>
        </w:tc>
        <w:tc>
          <w:tcPr>
            <w:tcW w:w="1003" w:type="dxa"/>
            <w:noWrap w:val="0"/>
            <w:vAlign w:val="center"/>
          </w:tcPr>
          <w:p w14:paraId="7356F8DC">
            <w:pPr>
              <w:pStyle w:val="24"/>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DW001</w:t>
            </w:r>
          </w:p>
        </w:tc>
        <w:tc>
          <w:tcPr>
            <w:tcW w:w="1462" w:type="dxa"/>
            <w:noWrap w:val="0"/>
            <w:vAlign w:val="center"/>
          </w:tcPr>
          <w:p w14:paraId="587337B2">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sym w:font="Wingdings 2" w:char="0052"/>
            </w:r>
            <w:r>
              <w:rPr>
                <w:rFonts w:hint="default" w:ascii="Times New Roman" w:hAnsi="Times New Roman" w:cs="Times New Roman"/>
                <w:color w:val="auto"/>
                <w:u w:val="none" w:color="auto"/>
              </w:rPr>
              <w:t>是</w:t>
            </w:r>
          </w:p>
          <w:p w14:paraId="5A374BD3">
            <w:pPr>
              <w:pStyle w:val="24"/>
              <w:bidi w:val="0"/>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sym w:font="Wingdings 2" w:char="F0A3"/>
            </w:r>
            <w:r>
              <w:rPr>
                <w:rFonts w:hint="default" w:ascii="Times New Roman" w:hAnsi="Times New Roman" w:cs="Times New Roman"/>
                <w:color w:val="auto"/>
                <w:u w:val="none" w:color="auto"/>
              </w:rPr>
              <w:t>否</w:t>
            </w:r>
          </w:p>
        </w:tc>
        <w:tc>
          <w:tcPr>
            <w:tcW w:w="2568" w:type="dxa"/>
            <w:noWrap w:val="0"/>
            <w:vAlign w:val="center"/>
          </w:tcPr>
          <w:p w14:paraId="16615351">
            <w:pPr>
              <w:pStyle w:val="51"/>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eastAsia="zh-CN"/>
              </w:rPr>
              <w:sym w:font="Wingdings 2" w:char="0052"/>
            </w:r>
            <w:r>
              <w:rPr>
                <w:rFonts w:hint="default" w:ascii="Times New Roman" w:hAnsi="Times New Roman" w:eastAsia="宋体" w:cs="Times New Roman"/>
                <w:color w:val="auto"/>
                <w:sz w:val="21"/>
                <w:szCs w:val="21"/>
                <w:u w:val="none" w:color="auto"/>
              </w:rPr>
              <w:t>企业总排</w:t>
            </w:r>
          </w:p>
          <w:p w14:paraId="5D2948A1">
            <w:pPr>
              <w:pStyle w:val="51"/>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sym w:font="Wingdings 2" w:char="00A3"/>
            </w:r>
            <w:r>
              <w:rPr>
                <w:rFonts w:hint="default" w:ascii="Times New Roman" w:hAnsi="Times New Roman" w:eastAsia="宋体" w:cs="Times New Roman"/>
                <w:color w:val="auto"/>
                <w:sz w:val="21"/>
                <w:szCs w:val="21"/>
                <w:u w:val="none" w:color="auto"/>
              </w:rPr>
              <w:t>雨水排放</w:t>
            </w:r>
          </w:p>
          <w:p w14:paraId="7B2337B1">
            <w:pPr>
              <w:pStyle w:val="51"/>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sym w:font="Wingdings 2" w:char="00A3"/>
            </w:r>
            <w:r>
              <w:rPr>
                <w:rFonts w:hint="default" w:ascii="Times New Roman" w:hAnsi="Times New Roman" w:eastAsia="宋体" w:cs="Times New Roman"/>
                <w:color w:val="auto"/>
                <w:sz w:val="21"/>
                <w:szCs w:val="21"/>
                <w:u w:val="none" w:color="auto"/>
              </w:rPr>
              <w:t>清净下水排放</w:t>
            </w:r>
          </w:p>
          <w:p w14:paraId="613B1D2E">
            <w:pPr>
              <w:pStyle w:val="51"/>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sym w:font="Wingdings 2" w:char="00A3"/>
            </w:r>
            <w:r>
              <w:rPr>
                <w:rFonts w:hint="default" w:ascii="Times New Roman" w:hAnsi="Times New Roman" w:eastAsia="宋体" w:cs="Times New Roman"/>
                <w:color w:val="auto"/>
                <w:sz w:val="21"/>
                <w:szCs w:val="21"/>
                <w:u w:val="none" w:color="auto"/>
              </w:rPr>
              <w:t>温排水排放</w:t>
            </w:r>
          </w:p>
          <w:p w14:paraId="636293E4">
            <w:pPr>
              <w:pStyle w:val="24"/>
              <w:bidi w:val="0"/>
              <w:rPr>
                <w:rFonts w:hint="default" w:ascii="Times New Roman" w:hAnsi="Times New Roman" w:cs="Times New Roman"/>
                <w:color w:val="auto"/>
                <w:u w:val="none" w:color="auto"/>
              </w:rPr>
            </w:pPr>
            <w:r>
              <w:rPr>
                <w:rFonts w:hint="default" w:ascii="Times New Roman" w:hAnsi="Times New Roman" w:eastAsia="宋体" w:cs="Times New Roman"/>
                <w:color w:val="auto"/>
                <w:sz w:val="21"/>
                <w:szCs w:val="21"/>
                <w:u w:val="none" w:color="auto"/>
              </w:rPr>
              <w:sym w:font="Wingdings 2" w:char="00A3"/>
            </w:r>
            <w:r>
              <w:rPr>
                <w:rFonts w:hint="default" w:ascii="Times New Roman" w:hAnsi="Times New Roman" w:eastAsia="宋体" w:cs="Times New Roman"/>
                <w:color w:val="auto"/>
                <w:sz w:val="21"/>
                <w:szCs w:val="21"/>
                <w:u w:val="none" w:color="auto"/>
              </w:rPr>
              <w:t>车间或车间处理设施排放口</w:t>
            </w:r>
            <w:r>
              <w:rPr>
                <w:rFonts w:hint="default" w:ascii="Times New Roman" w:hAnsi="Times New Roman" w:cs="Times New Roman"/>
                <w:color w:val="auto"/>
                <w:u w:val="none" w:color="auto"/>
              </w:rPr>
              <w:t>排放</w:t>
            </w:r>
          </w:p>
        </w:tc>
      </w:tr>
    </w:tbl>
    <w:p w14:paraId="326DCABF">
      <w:pPr>
        <w:spacing w:line="360" w:lineRule="auto"/>
        <w:ind w:firstLine="540"/>
        <w:rPr>
          <w:rFonts w:hint="default" w:ascii="Times New Roman" w:hAnsi="Times New Roman" w:cs="Times New Roman"/>
          <w:color w:val="auto"/>
          <w:sz w:val="24"/>
          <w:szCs w:val="24"/>
          <w:u w:val="none" w:color="auto"/>
          <w:lang w:val="en-US" w:eastAsia="zh-CN"/>
        </w:rPr>
      </w:pPr>
      <w:r>
        <w:rPr>
          <w:rFonts w:hint="default" w:ascii="Times New Roman" w:hAnsi="Times New Roman" w:cs="Times New Roman"/>
          <w:color w:val="auto"/>
          <w:sz w:val="24"/>
          <w:szCs w:val="24"/>
          <w:u w:val="none" w:color="auto"/>
        </w:rPr>
        <w:t>本项目废水排放口基本情况见表</w:t>
      </w:r>
      <w:r>
        <w:rPr>
          <w:rFonts w:hint="eastAsia" w:cs="Times New Roman"/>
          <w:color w:val="auto"/>
          <w:sz w:val="24"/>
          <w:szCs w:val="24"/>
          <w:u w:val="none" w:color="auto"/>
          <w:lang w:val="en-US" w:eastAsia="zh-CN"/>
        </w:rPr>
        <w:t>6.2-15</w:t>
      </w:r>
      <w:r>
        <w:rPr>
          <w:rFonts w:hint="default" w:ascii="Times New Roman" w:hAnsi="Times New Roman" w:cs="Times New Roman"/>
          <w:color w:val="auto"/>
          <w:sz w:val="24"/>
          <w:szCs w:val="24"/>
          <w:u w:val="none" w:color="auto"/>
        </w:rPr>
        <w:t>。</w:t>
      </w:r>
    </w:p>
    <w:p w14:paraId="761FC102">
      <w:pPr>
        <w:pStyle w:val="22"/>
        <w:bidi w:val="0"/>
        <w:rPr>
          <w:rFonts w:hint="default"/>
          <w:color w:val="auto"/>
          <w:u w:val="none" w:color="auto"/>
        </w:rPr>
      </w:pPr>
      <w:r>
        <w:rPr>
          <w:rFonts w:hint="default"/>
          <w:color w:val="auto"/>
          <w:u w:val="none" w:color="auto"/>
          <w:lang w:val="en-US" w:eastAsia="zh-CN"/>
        </w:rPr>
        <w:t>表</w:t>
      </w:r>
      <w:r>
        <w:rPr>
          <w:rFonts w:hint="eastAsia"/>
          <w:color w:val="auto"/>
          <w:u w:val="none" w:color="auto"/>
          <w:lang w:val="en-US" w:eastAsia="zh-CN"/>
        </w:rPr>
        <w:t>6.2-15</w:t>
      </w:r>
      <w:r>
        <w:rPr>
          <w:rFonts w:hint="default"/>
          <w:color w:val="auto"/>
          <w:u w:val="none" w:color="auto"/>
        </w:rPr>
        <w:t xml:space="preserve"> 项目废水间接排放口基本情况表</w:t>
      </w:r>
    </w:p>
    <w:tbl>
      <w:tblPr>
        <w:tblStyle w:val="1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1075"/>
        <w:gridCol w:w="865"/>
        <w:gridCol w:w="1000"/>
        <w:gridCol w:w="1150"/>
        <w:gridCol w:w="1025"/>
        <w:gridCol w:w="1425"/>
        <w:gridCol w:w="950"/>
        <w:gridCol w:w="1000"/>
        <w:gridCol w:w="1525"/>
        <w:gridCol w:w="1550"/>
        <w:gridCol w:w="2608"/>
      </w:tblGrid>
      <w:tr w14:paraId="7A866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1075" w:type="dxa"/>
            <w:vMerge w:val="restart"/>
            <w:noWrap w:val="0"/>
            <w:vAlign w:val="center"/>
          </w:tcPr>
          <w:p w14:paraId="6E14D246">
            <w:pPr>
              <w:pStyle w:val="23"/>
              <w:bidi w:val="0"/>
              <w:rPr>
                <w:rFonts w:hint="eastAsia"/>
                <w:color w:val="auto"/>
                <w:u w:val="none" w:color="auto"/>
                <w:lang w:eastAsia="zh-CN"/>
              </w:rPr>
            </w:pPr>
            <w:r>
              <w:rPr>
                <w:rFonts w:hint="eastAsia"/>
                <w:color w:val="auto"/>
                <w:u w:val="none" w:color="auto"/>
                <w:lang w:val="en-US" w:eastAsia="zh-CN"/>
              </w:rPr>
              <w:t>序号</w:t>
            </w:r>
          </w:p>
        </w:tc>
        <w:tc>
          <w:tcPr>
            <w:tcW w:w="865" w:type="dxa"/>
            <w:vMerge w:val="restart"/>
            <w:noWrap w:val="0"/>
            <w:vAlign w:val="center"/>
          </w:tcPr>
          <w:p w14:paraId="4529BDC0">
            <w:pPr>
              <w:pStyle w:val="23"/>
              <w:bidi w:val="0"/>
              <w:rPr>
                <w:rFonts w:hint="default"/>
                <w:color w:val="auto"/>
                <w:u w:val="none" w:color="auto"/>
              </w:rPr>
            </w:pPr>
            <w:r>
              <w:rPr>
                <w:rFonts w:hint="default"/>
                <w:color w:val="auto"/>
                <w:u w:val="none" w:color="auto"/>
              </w:rPr>
              <w:t>排放口编号</w:t>
            </w:r>
          </w:p>
        </w:tc>
        <w:tc>
          <w:tcPr>
            <w:tcW w:w="2150" w:type="dxa"/>
            <w:gridSpan w:val="2"/>
            <w:noWrap w:val="0"/>
            <w:vAlign w:val="center"/>
          </w:tcPr>
          <w:p w14:paraId="51350828">
            <w:pPr>
              <w:pStyle w:val="23"/>
              <w:bidi w:val="0"/>
              <w:rPr>
                <w:rFonts w:hint="default"/>
                <w:color w:val="auto"/>
                <w:u w:val="none" w:color="auto"/>
              </w:rPr>
            </w:pPr>
            <w:r>
              <w:rPr>
                <w:rFonts w:hint="default"/>
                <w:color w:val="auto"/>
                <w:u w:val="none" w:color="auto"/>
              </w:rPr>
              <w:t>排放口地理坐标</w:t>
            </w:r>
          </w:p>
        </w:tc>
        <w:tc>
          <w:tcPr>
            <w:tcW w:w="1025" w:type="dxa"/>
            <w:vMerge w:val="restart"/>
            <w:noWrap w:val="0"/>
            <w:vAlign w:val="center"/>
          </w:tcPr>
          <w:p w14:paraId="5F2120CB">
            <w:pPr>
              <w:pStyle w:val="23"/>
              <w:bidi w:val="0"/>
              <w:rPr>
                <w:rFonts w:hint="default"/>
                <w:color w:val="auto"/>
                <w:u w:val="none" w:color="auto"/>
              </w:rPr>
            </w:pPr>
            <w:r>
              <w:rPr>
                <w:rFonts w:hint="default"/>
                <w:color w:val="auto"/>
                <w:u w:val="none" w:color="auto"/>
              </w:rPr>
              <w:t>废水排放量/（t/a）</w:t>
            </w:r>
          </w:p>
        </w:tc>
        <w:tc>
          <w:tcPr>
            <w:tcW w:w="1425" w:type="dxa"/>
            <w:vMerge w:val="restart"/>
            <w:noWrap w:val="0"/>
            <w:vAlign w:val="center"/>
          </w:tcPr>
          <w:p w14:paraId="17417814">
            <w:pPr>
              <w:pStyle w:val="23"/>
              <w:bidi w:val="0"/>
              <w:rPr>
                <w:rFonts w:hint="default"/>
                <w:color w:val="auto"/>
                <w:u w:val="none" w:color="auto"/>
              </w:rPr>
            </w:pPr>
            <w:r>
              <w:rPr>
                <w:rFonts w:hint="default"/>
                <w:color w:val="auto"/>
                <w:u w:val="none" w:color="auto"/>
              </w:rPr>
              <w:t>排放去向</w:t>
            </w:r>
          </w:p>
        </w:tc>
        <w:tc>
          <w:tcPr>
            <w:tcW w:w="950" w:type="dxa"/>
            <w:vMerge w:val="restart"/>
            <w:noWrap w:val="0"/>
            <w:vAlign w:val="center"/>
          </w:tcPr>
          <w:p w14:paraId="63280D85">
            <w:pPr>
              <w:pStyle w:val="23"/>
              <w:bidi w:val="0"/>
              <w:rPr>
                <w:rFonts w:hint="default"/>
                <w:color w:val="auto"/>
                <w:u w:val="none" w:color="auto"/>
              </w:rPr>
            </w:pPr>
            <w:r>
              <w:rPr>
                <w:rFonts w:hint="default"/>
                <w:color w:val="auto"/>
                <w:u w:val="none" w:color="auto"/>
              </w:rPr>
              <w:t>排放规律</w:t>
            </w:r>
          </w:p>
        </w:tc>
        <w:tc>
          <w:tcPr>
            <w:tcW w:w="1000" w:type="dxa"/>
            <w:vMerge w:val="restart"/>
            <w:noWrap w:val="0"/>
            <w:vAlign w:val="center"/>
          </w:tcPr>
          <w:p w14:paraId="26F194D8">
            <w:pPr>
              <w:pStyle w:val="23"/>
              <w:bidi w:val="0"/>
              <w:rPr>
                <w:rFonts w:hint="default"/>
                <w:color w:val="auto"/>
                <w:u w:val="none" w:color="auto"/>
              </w:rPr>
            </w:pPr>
            <w:r>
              <w:rPr>
                <w:rFonts w:hint="default"/>
                <w:color w:val="auto"/>
                <w:u w:val="none" w:color="auto"/>
              </w:rPr>
              <w:t>间歇排放时段</w:t>
            </w:r>
          </w:p>
        </w:tc>
        <w:tc>
          <w:tcPr>
            <w:tcW w:w="5683" w:type="dxa"/>
            <w:gridSpan w:val="3"/>
            <w:vMerge w:val="restart"/>
            <w:noWrap w:val="0"/>
            <w:vAlign w:val="center"/>
          </w:tcPr>
          <w:p w14:paraId="2FD72C08">
            <w:pPr>
              <w:pStyle w:val="23"/>
              <w:bidi w:val="0"/>
              <w:rPr>
                <w:rFonts w:hint="default"/>
                <w:color w:val="auto"/>
                <w:u w:val="none" w:color="auto"/>
              </w:rPr>
            </w:pPr>
            <w:r>
              <w:rPr>
                <w:rFonts w:hint="default"/>
                <w:color w:val="auto"/>
                <w:u w:val="none" w:color="auto"/>
              </w:rPr>
              <w:t>受纳污水处理厂信息</w:t>
            </w:r>
          </w:p>
        </w:tc>
      </w:tr>
      <w:tr w14:paraId="27D8DD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26" w:hRule="atLeast"/>
          <w:jc w:val="center"/>
        </w:trPr>
        <w:tc>
          <w:tcPr>
            <w:tcW w:w="1075" w:type="dxa"/>
            <w:vMerge w:val="continue"/>
            <w:noWrap w:val="0"/>
            <w:vAlign w:val="center"/>
          </w:tcPr>
          <w:p w14:paraId="3842937B">
            <w:pPr>
              <w:pStyle w:val="23"/>
              <w:bidi w:val="0"/>
              <w:rPr>
                <w:rFonts w:hint="default"/>
                <w:color w:val="auto"/>
                <w:u w:val="none" w:color="auto"/>
              </w:rPr>
            </w:pPr>
          </w:p>
        </w:tc>
        <w:tc>
          <w:tcPr>
            <w:tcW w:w="865" w:type="dxa"/>
            <w:vMerge w:val="continue"/>
            <w:noWrap w:val="0"/>
            <w:vAlign w:val="center"/>
          </w:tcPr>
          <w:p w14:paraId="79A5FE04">
            <w:pPr>
              <w:pStyle w:val="23"/>
              <w:bidi w:val="0"/>
              <w:rPr>
                <w:rFonts w:hint="default"/>
                <w:color w:val="auto"/>
                <w:u w:val="none" w:color="auto"/>
              </w:rPr>
            </w:pPr>
          </w:p>
        </w:tc>
        <w:tc>
          <w:tcPr>
            <w:tcW w:w="1000" w:type="dxa"/>
            <w:vMerge w:val="restart"/>
            <w:noWrap w:val="0"/>
            <w:vAlign w:val="center"/>
          </w:tcPr>
          <w:p w14:paraId="02C1EF3C">
            <w:pPr>
              <w:pStyle w:val="23"/>
              <w:bidi w:val="0"/>
              <w:rPr>
                <w:rFonts w:hint="default"/>
                <w:color w:val="auto"/>
                <w:u w:val="none" w:color="auto"/>
              </w:rPr>
            </w:pPr>
            <w:r>
              <w:rPr>
                <w:rFonts w:hint="default"/>
                <w:color w:val="auto"/>
                <w:u w:val="none" w:color="auto"/>
              </w:rPr>
              <w:t>经度</w:t>
            </w:r>
          </w:p>
        </w:tc>
        <w:tc>
          <w:tcPr>
            <w:tcW w:w="1150" w:type="dxa"/>
            <w:vMerge w:val="restart"/>
            <w:noWrap w:val="0"/>
            <w:vAlign w:val="center"/>
          </w:tcPr>
          <w:p w14:paraId="382932E7">
            <w:pPr>
              <w:pStyle w:val="23"/>
              <w:bidi w:val="0"/>
              <w:rPr>
                <w:rFonts w:hint="default"/>
                <w:color w:val="auto"/>
                <w:u w:val="none" w:color="auto"/>
              </w:rPr>
            </w:pPr>
            <w:r>
              <w:rPr>
                <w:rFonts w:hint="default"/>
                <w:color w:val="auto"/>
                <w:u w:val="none" w:color="auto"/>
              </w:rPr>
              <w:t>纬度</w:t>
            </w:r>
          </w:p>
        </w:tc>
        <w:tc>
          <w:tcPr>
            <w:tcW w:w="1025" w:type="dxa"/>
            <w:vMerge w:val="continue"/>
            <w:noWrap w:val="0"/>
            <w:vAlign w:val="center"/>
          </w:tcPr>
          <w:p w14:paraId="04183150">
            <w:pPr>
              <w:pStyle w:val="23"/>
              <w:bidi w:val="0"/>
              <w:rPr>
                <w:rFonts w:hint="default"/>
                <w:color w:val="auto"/>
                <w:u w:val="none" w:color="auto"/>
              </w:rPr>
            </w:pPr>
          </w:p>
        </w:tc>
        <w:tc>
          <w:tcPr>
            <w:tcW w:w="1425" w:type="dxa"/>
            <w:vMerge w:val="continue"/>
            <w:noWrap w:val="0"/>
            <w:vAlign w:val="center"/>
          </w:tcPr>
          <w:p w14:paraId="4161AAF2">
            <w:pPr>
              <w:pStyle w:val="23"/>
              <w:bidi w:val="0"/>
              <w:rPr>
                <w:rFonts w:hint="default"/>
                <w:color w:val="auto"/>
                <w:u w:val="none" w:color="auto"/>
              </w:rPr>
            </w:pPr>
          </w:p>
        </w:tc>
        <w:tc>
          <w:tcPr>
            <w:tcW w:w="950" w:type="dxa"/>
            <w:vMerge w:val="continue"/>
            <w:noWrap w:val="0"/>
            <w:vAlign w:val="center"/>
          </w:tcPr>
          <w:p w14:paraId="7D961165">
            <w:pPr>
              <w:pStyle w:val="23"/>
              <w:bidi w:val="0"/>
              <w:rPr>
                <w:rFonts w:hint="default"/>
                <w:color w:val="auto"/>
                <w:u w:val="none" w:color="auto"/>
              </w:rPr>
            </w:pPr>
          </w:p>
        </w:tc>
        <w:tc>
          <w:tcPr>
            <w:tcW w:w="1000" w:type="dxa"/>
            <w:vMerge w:val="continue"/>
            <w:noWrap w:val="0"/>
            <w:vAlign w:val="center"/>
          </w:tcPr>
          <w:p w14:paraId="5920D2C1">
            <w:pPr>
              <w:pStyle w:val="23"/>
              <w:bidi w:val="0"/>
              <w:rPr>
                <w:rFonts w:hint="default"/>
                <w:color w:val="auto"/>
                <w:u w:val="none" w:color="auto"/>
              </w:rPr>
            </w:pPr>
          </w:p>
        </w:tc>
        <w:tc>
          <w:tcPr>
            <w:tcW w:w="5683" w:type="dxa"/>
            <w:gridSpan w:val="3"/>
            <w:vMerge w:val="continue"/>
            <w:noWrap w:val="0"/>
            <w:vAlign w:val="center"/>
          </w:tcPr>
          <w:p w14:paraId="3CF2EE5B">
            <w:pPr>
              <w:pStyle w:val="23"/>
              <w:bidi w:val="0"/>
              <w:rPr>
                <w:rFonts w:hint="default"/>
                <w:color w:val="auto"/>
                <w:u w:val="none" w:color="auto"/>
              </w:rPr>
            </w:pPr>
          </w:p>
        </w:tc>
      </w:tr>
      <w:tr w14:paraId="2F47EC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82" w:hRule="atLeast"/>
          <w:jc w:val="center"/>
        </w:trPr>
        <w:tc>
          <w:tcPr>
            <w:tcW w:w="1075" w:type="dxa"/>
            <w:vMerge w:val="continue"/>
            <w:noWrap w:val="0"/>
            <w:vAlign w:val="center"/>
          </w:tcPr>
          <w:p w14:paraId="2574BF59">
            <w:pPr>
              <w:pStyle w:val="23"/>
              <w:bidi w:val="0"/>
              <w:rPr>
                <w:rFonts w:hint="default"/>
                <w:color w:val="auto"/>
                <w:u w:val="none" w:color="auto"/>
              </w:rPr>
            </w:pPr>
          </w:p>
        </w:tc>
        <w:tc>
          <w:tcPr>
            <w:tcW w:w="865" w:type="dxa"/>
            <w:vMerge w:val="continue"/>
            <w:noWrap w:val="0"/>
            <w:vAlign w:val="center"/>
          </w:tcPr>
          <w:p w14:paraId="54022552">
            <w:pPr>
              <w:pStyle w:val="23"/>
              <w:bidi w:val="0"/>
              <w:rPr>
                <w:rFonts w:hint="default"/>
                <w:color w:val="auto"/>
                <w:u w:val="none" w:color="auto"/>
              </w:rPr>
            </w:pPr>
          </w:p>
        </w:tc>
        <w:tc>
          <w:tcPr>
            <w:tcW w:w="1000" w:type="dxa"/>
            <w:vMerge w:val="continue"/>
            <w:noWrap w:val="0"/>
            <w:vAlign w:val="center"/>
          </w:tcPr>
          <w:p w14:paraId="522AD8BF">
            <w:pPr>
              <w:pStyle w:val="23"/>
              <w:bidi w:val="0"/>
              <w:rPr>
                <w:rFonts w:hint="default"/>
                <w:color w:val="auto"/>
                <w:u w:val="none" w:color="auto"/>
              </w:rPr>
            </w:pPr>
          </w:p>
        </w:tc>
        <w:tc>
          <w:tcPr>
            <w:tcW w:w="1150" w:type="dxa"/>
            <w:vMerge w:val="continue"/>
            <w:noWrap w:val="0"/>
            <w:vAlign w:val="center"/>
          </w:tcPr>
          <w:p w14:paraId="47FA6D47">
            <w:pPr>
              <w:pStyle w:val="23"/>
              <w:bidi w:val="0"/>
              <w:rPr>
                <w:rFonts w:hint="default"/>
                <w:color w:val="auto"/>
                <w:u w:val="none" w:color="auto"/>
              </w:rPr>
            </w:pPr>
          </w:p>
        </w:tc>
        <w:tc>
          <w:tcPr>
            <w:tcW w:w="1025" w:type="dxa"/>
            <w:vMerge w:val="continue"/>
            <w:noWrap w:val="0"/>
            <w:vAlign w:val="center"/>
          </w:tcPr>
          <w:p w14:paraId="5A948483">
            <w:pPr>
              <w:pStyle w:val="23"/>
              <w:bidi w:val="0"/>
              <w:rPr>
                <w:rFonts w:hint="default"/>
                <w:color w:val="auto"/>
                <w:u w:val="none" w:color="auto"/>
              </w:rPr>
            </w:pPr>
          </w:p>
        </w:tc>
        <w:tc>
          <w:tcPr>
            <w:tcW w:w="1425" w:type="dxa"/>
            <w:vMerge w:val="continue"/>
            <w:noWrap w:val="0"/>
            <w:vAlign w:val="center"/>
          </w:tcPr>
          <w:p w14:paraId="26D23280">
            <w:pPr>
              <w:pStyle w:val="23"/>
              <w:bidi w:val="0"/>
              <w:rPr>
                <w:rFonts w:hint="default"/>
                <w:color w:val="auto"/>
                <w:u w:val="none" w:color="auto"/>
              </w:rPr>
            </w:pPr>
          </w:p>
        </w:tc>
        <w:tc>
          <w:tcPr>
            <w:tcW w:w="950" w:type="dxa"/>
            <w:vMerge w:val="continue"/>
            <w:noWrap w:val="0"/>
            <w:vAlign w:val="center"/>
          </w:tcPr>
          <w:p w14:paraId="776E5EF4">
            <w:pPr>
              <w:pStyle w:val="23"/>
              <w:bidi w:val="0"/>
              <w:rPr>
                <w:rFonts w:hint="default"/>
                <w:color w:val="auto"/>
                <w:u w:val="none" w:color="auto"/>
              </w:rPr>
            </w:pPr>
          </w:p>
        </w:tc>
        <w:tc>
          <w:tcPr>
            <w:tcW w:w="1000" w:type="dxa"/>
            <w:vMerge w:val="continue"/>
            <w:noWrap w:val="0"/>
            <w:vAlign w:val="center"/>
          </w:tcPr>
          <w:p w14:paraId="2D35B576">
            <w:pPr>
              <w:pStyle w:val="23"/>
              <w:bidi w:val="0"/>
              <w:rPr>
                <w:rFonts w:hint="default"/>
                <w:color w:val="auto"/>
                <w:u w:val="none" w:color="auto"/>
              </w:rPr>
            </w:pPr>
          </w:p>
        </w:tc>
        <w:tc>
          <w:tcPr>
            <w:tcW w:w="1525" w:type="dxa"/>
            <w:noWrap w:val="0"/>
            <w:vAlign w:val="center"/>
          </w:tcPr>
          <w:p w14:paraId="7EFA547A">
            <w:pPr>
              <w:pStyle w:val="23"/>
              <w:bidi w:val="0"/>
              <w:rPr>
                <w:rFonts w:hint="default"/>
                <w:color w:val="auto"/>
                <w:u w:val="none" w:color="auto"/>
              </w:rPr>
            </w:pPr>
            <w:r>
              <w:rPr>
                <w:rFonts w:hint="default"/>
                <w:color w:val="auto"/>
                <w:u w:val="none" w:color="auto"/>
              </w:rPr>
              <w:t>名称</w:t>
            </w:r>
          </w:p>
        </w:tc>
        <w:tc>
          <w:tcPr>
            <w:tcW w:w="1550" w:type="dxa"/>
            <w:noWrap w:val="0"/>
            <w:vAlign w:val="center"/>
          </w:tcPr>
          <w:p w14:paraId="505CB37D">
            <w:pPr>
              <w:pStyle w:val="23"/>
              <w:bidi w:val="0"/>
              <w:rPr>
                <w:rFonts w:hint="default"/>
                <w:color w:val="auto"/>
                <w:u w:val="none" w:color="auto"/>
              </w:rPr>
            </w:pPr>
            <w:r>
              <w:rPr>
                <w:rFonts w:hint="default"/>
                <w:color w:val="auto"/>
                <w:u w:val="none" w:color="auto"/>
              </w:rPr>
              <w:t>污染物种类</w:t>
            </w:r>
          </w:p>
        </w:tc>
        <w:tc>
          <w:tcPr>
            <w:tcW w:w="2608" w:type="dxa"/>
            <w:noWrap w:val="0"/>
            <w:vAlign w:val="center"/>
          </w:tcPr>
          <w:p w14:paraId="482490FE">
            <w:pPr>
              <w:pStyle w:val="23"/>
              <w:bidi w:val="0"/>
              <w:rPr>
                <w:rFonts w:hint="default"/>
                <w:color w:val="auto"/>
                <w:u w:val="none" w:color="auto"/>
              </w:rPr>
            </w:pPr>
            <w:r>
              <w:rPr>
                <w:rFonts w:hint="default"/>
                <w:color w:val="auto"/>
                <w:u w:val="none" w:color="auto"/>
              </w:rPr>
              <w:t>国家或地方污染物排放标准浓度限值</w:t>
            </w:r>
          </w:p>
        </w:tc>
      </w:tr>
      <w:tr w14:paraId="375E1E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1075" w:type="dxa"/>
            <w:vMerge w:val="restart"/>
            <w:tcBorders>
              <w:top w:val="single" w:color="auto" w:sz="4" w:space="0"/>
            </w:tcBorders>
            <w:noWrap w:val="0"/>
            <w:vAlign w:val="center"/>
          </w:tcPr>
          <w:p w14:paraId="0E9D8BF5">
            <w:pPr>
              <w:pStyle w:val="23"/>
              <w:bidi w:val="0"/>
              <w:rPr>
                <w:rFonts w:hint="eastAsia"/>
                <w:color w:val="auto"/>
                <w:u w:val="none" w:color="auto"/>
                <w:lang w:val="en-US" w:eastAsia="zh-CN"/>
              </w:rPr>
            </w:pPr>
            <w:r>
              <w:rPr>
                <w:rFonts w:hint="eastAsia"/>
                <w:color w:val="auto"/>
                <w:u w:val="none" w:color="auto"/>
                <w:lang w:val="en-US" w:eastAsia="zh-CN"/>
              </w:rPr>
              <w:t>1</w:t>
            </w:r>
          </w:p>
        </w:tc>
        <w:tc>
          <w:tcPr>
            <w:tcW w:w="865" w:type="dxa"/>
            <w:vMerge w:val="restart"/>
            <w:tcBorders>
              <w:top w:val="single" w:color="auto" w:sz="4" w:space="0"/>
            </w:tcBorders>
            <w:noWrap w:val="0"/>
            <w:vAlign w:val="center"/>
          </w:tcPr>
          <w:p w14:paraId="40175E90">
            <w:pPr>
              <w:pStyle w:val="23"/>
              <w:bidi w:val="0"/>
              <w:rPr>
                <w:rFonts w:hint="eastAsia"/>
                <w:color w:val="auto"/>
                <w:u w:val="none" w:color="auto"/>
                <w:lang w:eastAsia="zh-CN"/>
              </w:rPr>
            </w:pPr>
            <w:r>
              <w:rPr>
                <w:rFonts w:hint="eastAsia"/>
                <w:color w:val="auto"/>
                <w:u w:val="none" w:color="auto"/>
                <w:lang w:val="en-US" w:eastAsia="zh-CN"/>
              </w:rPr>
              <w:t>DW001</w:t>
            </w:r>
          </w:p>
        </w:tc>
        <w:tc>
          <w:tcPr>
            <w:tcW w:w="1000" w:type="dxa"/>
            <w:vMerge w:val="restart"/>
            <w:tcBorders>
              <w:top w:val="single" w:color="auto" w:sz="4" w:space="0"/>
            </w:tcBorders>
            <w:noWrap w:val="0"/>
            <w:vAlign w:val="center"/>
          </w:tcPr>
          <w:p w14:paraId="0082246B">
            <w:pPr>
              <w:pStyle w:val="23"/>
              <w:bidi w:val="0"/>
              <w:rPr>
                <w:rFonts w:hint="default"/>
                <w:color w:val="auto"/>
                <w:u w:val="none" w:color="auto"/>
                <w:lang w:val="en-US" w:eastAsia="zh-CN"/>
              </w:rPr>
            </w:pPr>
            <w:r>
              <w:rPr>
                <w:rFonts w:hint="default"/>
                <w:color w:val="auto"/>
                <w:u w:val="none" w:color="auto"/>
                <w:lang w:val="en-US" w:eastAsia="zh-CN"/>
              </w:rPr>
              <w:t>113.143746</w:t>
            </w:r>
          </w:p>
        </w:tc>
        <w:tc>
          <w:tcPr>
            <w:tcW w:w="1150" w:type="dxa"/>
            <w:vMerge w:val="restart"/>
            <w:tcBorders>
              <w:top w:val="single" w:color="auto" w:sz="4" w:space="0"/>
            </w:tcBorders>
            <w:noWrap w:val="0"/>
            <w:vAlign w:val="center"/>
          </w:tcPr>
          <w:p w14:paraId="4B00E98C">
            <w:pPr>
              <w:pStyle w:val="23"/>
              <w:bidi w:val="0"/>
              <w:rPr>
                <w:rFonts w:hint="default"/>
                <w:color w:val="auto"/>
                <w:u w:val="none" w:color="auto"/>
                <w:lang w:val="en-US" w:eastAsia="zh-CN"/>
              </w:rPr>
            </w:pPr>
            <w:r>
              <w:rPr>
                <w:rFonts w:hint="default"/>
                <w:color w:val="auto"/>
                <w:u w:val="none" w:color="auto"/>
                <w:lang w:val="en-US" w:eastAsia="zh-CN"/>
              </w:rPr>
              <w:t>28.765963</w:t>
            </w:r>
          </w:p>
        </w:tc>
        <w:tc>
          <w:tcPr>
            <w:tcW w:w="1025" w:type="dxa"/>
            <w:vMerge w:val="restart"/>
            <w:tcBorders>
              <w:top w:val="single" w:color="auto" w:sz="4" w:space="0"/>
            </w:tcBorders>
            <w:noWrap w:val="0"/>
            <w:vAlign w:val="center"/>
          </w:tcPr>
          <w:p w14:paraId="709C4194">
            <w:pPr>
              <w:pStyle w:val="23"/>
              <w:bidi w:val="0"/>
              <w:rPr>
                <w:rFonts w:hint="default"/>
                <w:color w:val="auto"/>
                <w:u w:val="none" w:color="auto"/>
                <w:lang w:val="en-US" w:eastAsia="zh-CN"/>
              </w:rPr>
            </w:pPr>
            <w:r>
              <w:rPr>
                <w:rFonts w:hint="eastAsia"/>
                <w:color w:val="auto"/>
                <w:u w:val="none" w:color="auto"/>
                <w:lang w:val="en-US" w:eastAsia="zh-CN"/>
              </w:rPr>
              <w:t>2088</w:t>
            </w:r>
          </w:p>
        </w:tc>
        <w:tc>
          <w:tcPr>
            <w:tcW w:w="1425" w:type="dxa"/>
            <w:vMerge w:val="restart"/>
            <w:tcBorders>
              <w:top w:val="single" w:color="auto" w:sz="4" w:space="0"/>
            </w:tcBorders>
            <w:noWrap w:val="0"/>
            <w:vAlign w:val="center"/>
          </w:tcPr>
          <w:p w14:paraId="4C12178E">
            <w:pPr>
              <w:pStyle w:val="23"/>
              <w:bidi w:val="0"/>
              <w:rPr>
                <w:rFonts w:hint="default"/>
                <w:color w:val="auto"/>
                <w:u w:val="none" w:color="auto"/>
              </w:rPr>
            </w:pPr>
            <w:r>
              <w:rPr>
                <w:rFonts w:hint="eastAsia" w:ascii="Times New Roman" w:hAnsi="Times New Roman" w:cs="Times New Roman"/>
                <w:color w:val="auto"/>
                <w:u w:val="none" w:color="auto"/>
                <w:lang w:val="en-US" w:eastAsia="zh-CN"/>
              </w:rPr>
              <w:t>湖南汨罗高新技术产业开发区（循环园区）污水处理厂</w:t>
            </w:r>
          </w:p>
        </w:tc>
        <w:tc>
          <w:tcPr>
            <w:tcW w:w="950" w:type="dxa"/>
            <w:vMerge w:val="restart"/>
            <w:tcBorders>
              <w:top w:val="single" w:color="auto" w:sz="4" w:space="0"/>
            </w:tcBorders>
            <w:noWrap w:val="0"/>
            <w:vAlign w:val="center"/>
          </w:tcPr>
          <w:p w14:paraId="4C9FADF1">
            <w:pPr>
              <w:pStyle w:val="23"/>
              <w:bidi w:val="0"/>
              <w:rPr>
                <w:rFonts w:hint="default"/>
                <w:color w:val="auto"/>
                <w:u w:val="none" w:color="auto"/>
              </w:rPr>
            </w:pPr>
            <w:r>
              <w:rPr>
                <w:rFonts w:hint="default"/>
                <w:color w:val="auto"/>
                <w:u w:val="none" w:color="auto"/>
                <w:lang w:eastAsia="zh-CN"/>
              </w:rPr>
              <w:t>间断</w:t>
            </w:r>
            <w:r>
              <w:rPr>
                <w:rFonts w:hint="default"/>
                <w:color w:val="auto"/>
                <w:u w:val="none" w:color="auto"/>
              </w:rPr>
              <w:t>排放</w:t>
            </w:r>
          </w:p>
        </w:tc>
        <w:tc>
          <w:tcPr>
            <w:tcW w:w="1000" w:type="dxa"/>
            <w:vMerge w:val="restart"/>
            <w:tcBorders>
              <w:top w:val="single" w:color="auto" w:sz="4" w:space="0"/>
            </w:tcBorders>
            <w:noWrap w:val="0"/>
            <w:vAlign w:val="center"/>
          </w:tcPr>
          <w:p w14:paraId="31DB8776">
            <w:pPr>
              <w:pStyle w:val="23"/>
              <w:bidi w:val="0"/>
              <w:rPr>
                <w:rFonts w:hint="default"/>
                <w:color w:val="auto"/>
                <w:u w:val="none" w:color="auto"/>
              </w:rPr>
            </w:pPr>
            <w:r>
              <w:rPr>
                <w:rFonts w:hint="default"/>
                <w:color w:val="auto"/>
                <w:u w:val="none" w:color="auto"/>
              </w:rPr>
              <w:t>/</w:t>
            </w:r>
          </w:p>
        </w:tc>
        <w:tc>
          <w:tcPr>
            <w:tcW w:w="1525" w:type="dxa"/>
            <w:vMerge w:val="restart"/>
            <w:tcBorders>
              <w:top w:val="single" w:color="auto" w:sz="4" w:space="0"/>
            </w:tcBorders>
            <w:noWrap w:val="0"/>
            <w:vAlign w:val="center"/>
          </w:tcPr>
          <w:p w14:paraId="174CC58B">
            <w:pPr>
              <w:pStyle w:val="23"/>
              <w:bidi w:val="0"/>
              <w:rPr>
                <w:rFonts w:hint="default"/>
                <w:color w:val="auto"/>
                <w:u w:val="none" w:color="auto"/>
              </w:rPr>
            </w:pPr>
            <w:r>
              <w:rPr>
                <w:rFonts w:hint="eastAsia" w:ascii="Times New Roman" w:hAnsi="Times New Roman" w:cs="Times New Roman"/>
                <w:color w:val="auto"/>
                <w:u w:val="none" w:color="auto"/>
                <w:lang w:val="en-US" w:eastAsia="zh-CN"/>
              </w:rPr>
              <w:t>湖南汨罗高新技术产业开发区（循环园区）污水处理厂</w:t>
            </w:r>
          </w:p>
        </w:tc>
        <w:tc>
          <w:tcPr>
            <w:tcW w:w="1550" w:type="dxa"/>
            <w:noWrap w:val="0"/>
            <w:vAlign w:val="center"/>
          </w:tcPr>
          <w:p w14:paraId="0195FD29">
            <w:pPr>
              <w:pStyle w:val="23"/>
              <w:bidi w:val="0"/>
              <w:rPr>
                <w:rFonts w:hint="default"/>
                <w:color w:val="auto"/>
                <w:u w:val="none" w:color="auto"/>
                <w:lang w:val="en-US" w:eastAsia="zh-CN"/>
              </w:rPr>
            </w:pPr>
            <w:r>
              <w:rPr>
                <w:rFonts w:hint="eastAsia"/>
                <w:color w:val="auto"/>
                <w:u w:val="none" w:color="auto"/>
                <w:lang w:val="en-US" w:eastAsia="zh-CN"/>
              </w:rPr>
              <w:t>pH</w:t>
            </w:r>
          </w:p>
        </w:tc>
        <w:tc>
          <w:tcPr>
            <w:tcW w:w="2608" w:type="dxa"/>
            <w:noWrap w:val="0"/>
            <w:vAlign w:val="center"/>
          </w:tcPr>
          <w:p w14:paraId="00B60987">
            <w:pPr>
              <w:pStyle w:val="23"/>
              <w:bidi w:val="0"/>
              <w:rPr>
                <w:rFonts w:hint="default"/>
                <w:color w:val="auto"/>
                <w:u w:val="none" w:color="auto"/>
                <w:lang w:val="en-US" w:eastAsia="zh-CN"/>
              </w:rPr>
            </w:pPr>
            <w:r>
              <w:rPr>
                <w:rFonts w:hint="eastAsia"/>
                <w:color w:val="auto"/>
                <w:u w:val="none" w:color="auto"/>
                <w:lang w:val="en-US" w:eastAsia="zh-CN"/>
              </w:rPr>
              <w:t>6.0~9.0（无量纲）</w:t>
            </w:r>
          </w:p>
        </w:tc>
      </w:tr>
      <w:tr w14:paraId="27A741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1075" w:type="dxa"/>
            <w:vMerge w:val="continue"/>
            <w:noWrap w:val="0"/>
            <w:vAlign w:val="center"/>
          </w:tcPr>
          <w:p w14:paraId="76E9594D">
            <w:pPr>
              <w:pStyle w:val="23"/>
              <w:bidi w:val="0"/>
              <w:rPr>
                <w:rFonts w:hint="eastAsia"/>
                <w:color w:val="auto"/>
                <w:u w:val="none" w:color="auto"/>
                <w:lang w:val="en-US" w:eastAsia="zh-CN"/>
              </w:rPr>
            </w:pPr>
          </w:p>
        </w:tc>
        <w:tc>
          <w:tcPr>
            <w:tcW w:w="865" w:type="dxa"/>
            <w:vMerge w:val="continue"/>
            <w:noWrap w:val="0"/>
            <w:vAlign w:val="center"/>
          </w:tcPr>
          <w:p w14:paraId="7954950F">
            <w:pPr>
              <w:pStyle w:val="23"/>
              <w:bidi w:val="0"/>
              <w:rPr>
                <w:rFonts w:hint="eastAsia"/>
                <w:color w:val="auto"/>
                <w:u w:val="none" w:color="auto"/>
                <w:lang w:val="en-US" w:eastAsia="zh-CN"/>
              </w:rPr>
            </w:pPr>
          </w:p>
        </w:tc>
        <w:tc>
          <w:tcPr>
            <w:tcW w:w="1000" w:type="dxa"/>
            <w:vMerge w:val="continue"/>
            <w:noWrap w:val="0"/>
            <w:vAlign w:val="center"/>
          </w:tcPr>
          <w:p w14:paraId="700A2A3D">
            <w:pPr>
              <w:pStyle w:val="23"/>
              <w:bidi w:val="0"/>
              <w:rPr>
                <w:rFonts w:hint="default"/>
                <w:color w:val="auto"/>
                <w:u w:val="none" w:color="auto"/>
                <w:lang w:val="en-US" w:eastAsia="zh-CN"/>
              </w:rPr>
            </w:pPr>
          </w:p>
        </w:tc>
        <w:tc>
          <w:tcPr>
            <w:tcW w:w="1150" w:type="dxa"/>
            <w:vMerge w:val="continue"/>
            <w:noWrap w:val="0"/>
            <w:vAlign w:val="center"/>
          </w:tcPr>
          <w:p w14:paraId="0A53A27F">
            <w:pPr>
              <w:pStyle w:val="23"/>
              <w:bidi w:val="0"/>
              <w:rPr>
                <w:rFonts w:hint="default"/>
                <w:color w:val="auto"/>
                <w:u w:val="none" w:color="auto"/>
                <w:lang w:val="en-US" w:eastAsia="zh-CN"/>
              </w:rPr>
            </w:pPr>
          </w:p>
        </w:tc>
        <w:tc>
          <w:tcPr>
            <w:tcW w:w="1025" w:type="dxa"/>
            <w:vMerge w:val="continue"/>
            <w:noWrap w:val="0"/>
            <w:vAlign w:val="center"/>
          </w:tcPr>
          <w:p w14:paraId="34C8C64C">
            <w:pPr>
              <w:pStyle w:val="23"/>
              <w:bidi w:val="0"/>
              <w:rPr>
                <w:rFonts w:hint="eastAsia"/>
                <w:color w:val="auto"/>
                <w:u w:val="none" w:color="auto"/>
                <w:lang w:val="en-US" w:eastAsia="zh-CN"/>
              </w:rPr>
            </w:pPr>
          </w:p>
        </w:tc>
        <w:tc>
          <w:tcPr>
            <w:tcW w:w="1425" w:type="dxa"/>
            <w:vMerge w:val="continue"/>
            <w:noWrap w:val="0"/>
            <w:vAlign w:val="center"/>
          </w:tcPr>
          <w:p w14:paraId="5C8D57BE">
            <w:pPr>
              <w:pStyle w:val="23"/>
              <w:bidi w:val="0"/>
              <w:rPr>
                <w:rFonts w:hint="default"/>
                <w:color w:val="auto"/>
                <w:u w:val="none" w:color="auto"/>
              </w:rPr>
            </w:pPr>
          </w:p>
        </w:tc>
        <w:tc>
          <w:tcPr>
            <w:tcW w:w="950" w:type="dxa"/>
            <w:vMerge w:val="continue"/>
            <w:noWrap w:val="0"/>
            <w:vAlign w:val="center"/>
          </w:tcPr>
          <w:p w14:paraId="30A8C896">
            <w:pPr>
              <w:pStyle w:val="23"/>
              <w:bidi w:val="0"/>
              <w:rPr>
                <w:rFonts w:hint="default"/>
                <w:color w:val="auto"/>
                <w:u w:val="none" w:color="auto"/>
                <w:lang w:eastAsia="zh-CN"/>
              </w:rPr>
            </w:pPr>
          </w:p>
        </w:tc>
        <w:tc>
          <w:tcPr>
            <w:tcW w:w="1000" w:type="dxa"/>
            <w:vMerge w:val="continue"/>
            <w:noWrap w:val="0"/>
            <w:vAlign w:val="center"/>
          </w:tcPr>
          <w:p w14:paraId="4497C99F">
            <w:pPr>
              <w:pStyle w:val="23"/>
              <w:bidi w:val="0"/>
              <w:rPr>
                <w:rFonts w:hint="default"/>
                <w:color w:val="auto"/>
                <w:u w:val="none" w:color="auto"/>
              </w:rPr>
            </w:pPr>
          </w:p>
        </w:tc>
        <w:tc>
          <w:tcPr>
            <w:tcW w:w="1525" w:type="dxa"/>
            <w:vMerge w:val="continue"/>
            <w:noWrap w:val="0"/>
            <w:vAlign w:val="center"/>
          </w:tcPr>
          <w:p w14:paraId="274D178C">
            <w:pPr>
              <w:pStyle w:val="23"/>
              <w:bidi w:val="0"/>
              <w:rPr>
                <w:rFonts w:hint="default"/>
                <w:color w:val="auto"/>
                <w:u w:val="none" w:color="auto"/>
              </w:rPr>
            </w:pPr>
          </w:p>
        </w:tc>
        <w:tc>
          <w:tcPr>
            <w:tcW w:w="1550" w:type="dxa"/>
            <w:noWrap w:val="0"/>
            <w:vAlign w:val="center"/>
          </w:tcPr>
          <w:p w14:paraId="01A260A0">
            <w:pPr>
              <w:pStyle w:val="23"/>
              <w:bidi w:val="0"/>
              <w:rPr>
                <w:rFonts w:hint="eastAsia"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eastAsia="zh-CN"/>
              </w:rPr>
              <w:t>CODcr</w:t>
            </w:r>
          </w:p>
        </w:tc>
        <w:tc>
          <w:tcPr>
            <w:tcW w:w="2608" w:type="dxa"/>
            <w:noWrap w:val="0"/>
            <w:vAlign w:val="center"/>
          </w:tcPr>
          <w:p w14:paraId="0250D5D1">
            <w:pPr>
              <w:pStyle w:val="23"/>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s="Times New Roman"/>
                <w:b w:val="0"/>
                <w:bCs/>
                <w:color w:val="auto"/>
                <w:kern w:val="0"/>
                <w:sz w:val="21"/>
                <w:szCs w:val="21"/>
                <w:u w:val="none" w:color="auto"/>
                <w:lang w:val="en-US" w:eastAsia="zh-CN" w:bidi="ar-SA"/>
              </w:rPr>
              <w:t>30</w:t>
            </w:r>
          </w:p>
        </w:tc>
      </w:tr>
      <w:tr w14:paraId="02BDF9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38" w:hRule="atLeast"/>
          <w:jc w:val="center"/>
        </w:trPr>
        <w:tc>
          <w:tcPr>
            <w:tcW w:w="1075" w:type="dxa"/>
            <w:vMerge w:val="continue"/>
            <w:noWrap w:val="0"/>
            <w:vAlign w:val="center"/>
          </w:tcPr>
          <w:p w14:paraId="2AE82EDD">
            <w:pPr>
              <w:pStyle w:val="23"/>
              <w:bidi w:val="0"/>
              <w:rPr>
                <w:rFonts w:hint="default"/>
                <w:color w:val="auto"/>
                <w:u w:val="none" w:color="auto"/>
              </w:rPr>
            </w:pPr>
          </w:p>
        </w:tc>
        <w:tc>
          <w:tcPr>
            <w:tcW w:w="865" w:type="dxa"/>
            <w:vMerge w:val="continue"/>
            <w:noWrap w:val="0"/>
            <w:vAlign w:val="center"/>
          </w:tcPr>
          <w:p w14:paraId="44E9C990">
            <w:pPr>
              <w:pStyle w:val="23"/>
              <w:bidi w:val="0"/>
              <w:rPr>
                <w:rFonts w:hint="default"/>
                <w:color w:val="auto"/>
                <w:u w:val="none" w:color="auto"/>
              </w:rPr>
            </w:pPr>
          </w:p>
        </w:tc>
        <w:tc>
          <w:tcPr>
            <w:tcW w:w="1000" w:type="dxa"/>
            <w:vMerge w:val="continue"/>
            <w:noWrap w:val="0"/>
            <w:vAlign w:val="center"/>
          </w:tcPr>
          <w:p w14:paraId="11D0BEDB">
            <w:pPr>
              <w:pStyle w:val="23"/>
              <w:bidi w:val="0"/>
              <w:rPr>
                <w:rFonts w:hint="default"/>
                <w:color w:val="auto"/>
                <w:u w:val="none" w:color="auto"/>
                <w:lang w:val="en-US" w:eastAsia="zh-CN"/>
              </w:rPr>
            </w:pPr>
          </w:p>
        </w:tc>
        <w:tc>
          <w:tcPr>
            <w:tcW w:w="1150" w:type="dxa"/>
            <w:vMerge w:val="continue"/>
            <w:noWrap w:val="0"/>
            <w:vAlign w:val="center"/>
          </w:tcPr>
          <w:p w14:paraId="3E7293F4">
            <w:pPr>
              <w:pStyle w:val="23"/>
              <w:bidi w:val="0"/>
              <w:rPr>
                <w:rFonts w:hint="default"/>
                <w:color w:val="auto"/>
                <w:u w:val="none" w:color="auto"/>
                <w:lang w:val="en-US" w:eastAsia="zh-CN"/>
              </w:rPr>
            </w:pPr>
          </w:p>
        </w:tc>
        <w:tc>
          <w:tcPr>
            <w:tcW w:w="1025" w:type="dxa"/>
            <w:vMerge w:val="continue"/>
            <w:noWrap w:val="0"/>
            <w:vAlign w:val="center"/>
          </w:tcPr>
          <w:p w14:paraId="6ACFF0D3">
            <w:pPr>
              <w:pStyle w:val="23"/>
              <w:bidi w:val="0"/>
              <w:rPr>
                <w:rFonts w:hint="default"/>
                <w:color w:val="auto"/>
                <w:u w:val="none" w:color="auto"/>
                <w:lang w:val="en-US" w:eastAsia="zh-CN"/>
              </w:rPr>
            </w:pPr>
          </w:p>
        </w:tc>
        <w:tc>
          <w:tcPr>
            <w:tcW w:w="1425" w:type="dxa"/>
            <w:vMerge w:val="continue"/>
            <w:noWrap w:val="0"/>
            <w:vAlign w:val="center"/>
          </w:tcPr>
          <w:p w14:paraId="61593BCF">
            <w:pPr>
              <w:pStyle w:val="23"/>
              <w:bidi w:val="0"/>
              <w:rPr>
                <w:rFonts w:hint="default"/>
                <w:color w:val="auto"/>
                <w:u w:val="none" w:color="auto"/>
              </w:rPr>
            </w:pPr>
          </w:p>
        </w:tc>
        <w:tc>
          <w:tcPr>
            <w:tcW w:w="950" w:type="dxa"/>
            <w:vMerge w:val="continue"/>
            <w:noWrap w:val="0"/>
            <w:vAlign w:val="center"/>
          </w:tcPr>
          <w:p w14:paraId="146D814F">
            <w:pPr>
              <w:pStyle w:val="23"/>
              <w:bidi w:val="0"/>
              <w:rPr>
                <w:rFonts w:hint="default"/>
                <w:color w:val="auto"/>
                <w:u w:val="none" w:color="auto"/>
                <w:lang w:eastAsia="zh-CN"/>
              </w:rPr>
            </w:pPr>
          </w:p>
        </w:tc>
        <w:tc>
          <w:tcPr>
            <w:tcW w:w="1000" w:type="dxa"/>
            <w:vMerge w:val="continue"/>
            <w:noWrap w:val="0"/>
            <w:vAlign w:val="center"/>
          </w:tcPr>
          <w:p w14:paraId="1069A744">
            <w:pPr>
              <w:pStyle w:val="23"/>
              <w:bidi w:val="0"/>
              <w:rPr>
                <w:rFonts w:hint="default"/>
                <w:color w:val="auto"/>
                <w:u w:val="none" w:color="auto"/>
              </w:rPr>
            </w:pPr>
          </w:p>
        </w:tc>
        <w:tc>
          <w:tcPr>
            <w:tcW w:w="1525" w:type="dxa"/>
            <w:vMerge w:val="continue"/>
            <w:noWrap w:val="0"/>
            <w:vAlign w:val="center"/>
          </w:tcPr>
          <w:p w14:paraId="29375AB0">
            <w:pPr>
              <w:pStyle w:val="23"/>
              <w:bidi w:val="0"/>
              <w:rPr>
                <w:rFonts w:hint="default"/>
                <w:color w:val="auto"/>
                <w:u w:val="none" w:color="auto"/>
                <w:lang w:eastAsia="zh-CN"/>
              </w:rPr>
            </w:pPr>
          </w:p>
        </w:tc>
        <w:tc>
          <w:tcPr>
            <w:tcW w:w="1550" w:type="dxa"/>
            <w:noWrap w:val="0"/>
            <w:vAlign w:val="center"/>
          </w:tcPr>
          <w:p w14:paraId="0C9191F6">
            <w:pPr>
              <w:pStyle w:val="23"/>
              <w:bidi w:val="0"/>
              <w:rPr>
                <w:rFonts w:hint="default"/>
                <w:color w:val="auto"/>
                <w:u w:val="none" w:color="auto"/>
                <w:lang w:val="en-US" w:eastAsia="zh-CN"/>
              </w:rPr>
            </w:pPr>
            <w:r>
              <w:rPr>
                <w:rFonts w:hint="eastAsia"/>
                <w:color w:val="auto"/>
                <w:u w:val="none" w:color="auto"/>
                <w:lang w:val="en-US" w:eastAsia="zh-CN"/>
              </w:rPr>
              <w:t>BOD</w:t>
            </w:r>
            <w:r>
              <w:rPr>
                <w:rFonts w:hint="eastAsia"/>
                <w:color w:val="auto"/>
                <w:u w:val="none" w:color="auto"/>
                <w:vertAlign w:val="subscript"/>
                <w:lang w:val="en-US" w:eastAsia="zh-CN"/>
              </w:rPr>
              <w:t>5</w:t>
            </w:r>
          </w:p>
        </w:tc>
        <w:tc>
          <w:tcPr>
            <w:tcW w:w="2608" w:type="dxa"/>
            <w:noWrap w:val="0"/>
            <w:vAlign w:val="center"/>
          </w:tcPr>
          <w:p w14:paraId="69A92FB9">
            <w:pPr>
              <w:pStyle w:val="23"/>
              <w:bidi w:val="0"/>
              <w:rPr>
                <w:rFonts w:hint="default"/>
                <w:color w:val="auto"/>
                <w:u w:val="none" w:color="auto"/>
                <w:lang w:val="en-US" w:eastAsia="zh-CN"/>
              </w:rPr>
            </w:pPr>
            <w:r>
              <w:rPr>
                <w:rFonts w:hint="eastAsia"/>
                <w:color w:val="auto"/>
                <w:u w:val="none" w:color="auto"/>
                <w:lang w:val="en-US" w:eastAsia="zh-CN"/>
              </w:rPr>
              <w:t>10</w:t>
            </w:r>
          </w:p>
        </w:tc>
      </w:tr>
      <w:tr w14:paraId="7899D0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43" w:hRule="atLeast"/>
          <w:jc w:val="center"/>
        </w:trPr>
        <w:tc>
          <w:tcPr>
            <w:tcW w:w="1075" w:type="dxa"/>
            <w:vMerge w:val="continue"/>
            <w:noWrap w:val="0"/>
            <w:vAlign w:val="center"/>
          </w:tcPr>
          <w:p w14:paraId="1D231053">
            <w:pPr>
              <w:pStyle w:val="23"/>
              <w:bidi w:val="0"/>
              <w:rPr>
                <w:rFonts w:hint="default"/>
                <w:color w:val="auto"/>
                <w:u w:val="none" w:color="auto"/>
                <w:lang w:val="en-US" w:eastAsia="zh-CN"/>
              </w:rPr>
            </w:pPr>
          </w:p>
        </w:tc>
        <w:tc>
          <w:tcPr>
            <w:tcW w:w="865" w:type="dxa"/>
            <w:vMerge w:val="continue"/>
            <w:noWrap w:val="0"/>
            <w:vAlign w:val="center"/>
          </w:tcPr>
          <w:p w14:paraId="2754C721">
            <w:pPr>
              <w:pStyle w:val="23"/>
              <w:bidi w:val="0"/>
              <w:rPr>
                <w:rFonts w:hint="default"/>
                <w:color w:val="auto"/>
                <w:u w:val="none" w:color="auto"/>
              </w:rPr>
            </w:pPr>
          </w:p>
        </w:tc>
        <w:tc>
          <w:tcPr>
            <w:tcW w:w="1000" w:type="dxa"/>
            <w:vMerge w:val="continue"/>
            <w:noWrap w:val="0"/>
            <w:vAlign w:val="center"/>
          </w:tcPr>
          <w:p w14:paraId="131FD22E">
            <w:pPr>
              <w:pStyle w:val="23"/>
              <w:bidi w:val="0"/>
              <w:rPr>
                <w:rFonts w:hint="default"/>
                <w:color w:val="auto"/>
                <w:u w:val="none" w:color="auto"/>
              </w:rPr>
            </w:pPr>
          </w:p>
        </w:tc>
        <w:tc>
          <w:tcPr>
            <w:tcW w:w="1150" w:type="dxa"/>
            <w:vMerge w:val="continue"/>
            <w:noWrap w:val="0"/>
            <w:vAlign w:val="center"/>
          </w:tcPr>
          <w:p w14:paraId="7AD759C8">
            <w:pPr>
              <w:pStyle w:val="23"/>
              <w:bidi w:val="0"/>
              <w:rPr>
                <w:rFonts w:hint="default"/>
                <w:color w:val="auto"/>
                <w:u w:val="none" w:color="auto"/>
              </w:rPr>
            </w:pPr>
          </w:p>
        </w:tc>
        <w:tc>
          <w:tcPr>
            <w:tcW w:w="1025" w:type="dxa"/>
            <w:vMerge w:val="continue"/>
            <w:noWrap w:val="0"/>
            <w:vAlign w:val="center"/>
          </w:tcPr>
          <w:p w14:paraId="6491ED46">
            <w:pPr>
              <w:pStyle w:val="23"/>
              <w:bidi w:val="0"/>
              <w:rPr>
                <w:rFonts w:hint="default"/>
                <w:color w:val="auto"/>
                <w:u w:val="none" w:color="auto"/>
                <w:lang w:val="en-US" w:eastAsia="zh-CN"/>
              </w:rPr>
            </w:pPr>
          </w:p>
        </w:tc>
        <w:tc>
          <w:tcPr>
            <w:tcW w:w="1425" w:type="dxa"/>
            <w:vMerge w:val="continue"/>
            <w:noWrap w:val="0"/>
            <w:vAlign w:val="center"/>
          </w:tcPr>
          <w:p w14:paraId="4A8EE2C6">
            <w:pPr>
              <w:pStyle w:val="23"/>
              <w:bidi w:val="0"/>
              <w:rPr>
                <w:rFonts w:hint="default"/>
                <w:color w:val="auto"/>
                <w:u w:val="none" w:color="auto"/>
              </w:rPr>
            </w:pPr>
          </w:p>
        </w:tc>
        <w:tc>
          <w:tcPr>
            <w:tcW w:w="950" w:type="dxa"/>
            <w:vMerge w:val="continue"/>
            <w:noWrap w:val="0"/>
            <w:vAlign w:val="center"/>
          </w:tcPr>
          <w:p w14:paraId="1D84C7CB">
            <w:pPr>
              <w:pStyle w:val="23"/>
              <w:bidi w:val="0"/>
              <w:rPr>
                <w:rFonts w:hint="default"/>
                <w:color w:val="auto"/>
                <w:u w:val="none" w:color="auto"/>
                <w:lang w:val="en-US" w:eastAsia="zh-CN"/>
              </w:rPr>
            </w:pPr>
          </w:p>
        </w:tc>
        <w:tc>
          <w:tcPr>
            <w:tcW w:w="1000" w:type="dxa"/>
            <w:vMerge w:val="continue"/>
            <w:noWrap w:val="0"/>
            <w:vAlign w:val="center"/>
          </w:tcPr>
          <w:p w14:paraId="62CB2CF6">
            <w:pPr>
              <w:pStyle w:val="23"/>
              <w:bidi w:val="0"/>
              <w:rPr>
                <w:rFonts w:hint="default"/>
                <w:color w:val="auto"/>
                <w:u w:val="none" w:color="auto"/>
                <w:lang w:val="en-US" w:eastAsia="zh-CN"/>
              </w:rPr>
            </w:pPr>
          </w:p>
        </w:tc>
        <w:tc>
          <w:tcPr>
            <w:tcW w:w="1525" w:type="dxa"/>
            <w:vMerge w:val="continue"/>
            <w:noWrap w:val="0"/>
            <w:vAlign w:val="center"/>
          </w:tcPr>
          <w:p w14:paraId="1E14359D">
            <w:pPr>
              <w:pStyle w:val="23"/>
              <w:bidi w:val="0"/>
              <w:rPr>
                <w:rFonts w:hint="default"/>
                <w:color w:val="auto"/>
                <w:u w:val="none" w:color="auto"/>
              </w:rPr>
            </w:pPr>
          </w:p>
        </w:tc>
        <w:tc>
          <w:tcPr>
            <w:tcW w:w="1550" w:type="dxa"/>
            <w:noWrap w:val="0"/>
            <w:vAlign w:val="center"/>
          </w:tcPr>
          <w:p w14:paraId="64F5CE7E">
            <w:pPr>
              <w:pStyle w:val="23"/>
              <w:bidi w:val="0"/>
              <w:rPr>
                <w:rFonts w:hint="default"/>
                <w:color w:val="auto"/>
                <w:u w:val="none" w:color="auto"/>
                <w:lang w:val="en-US" w:eastAsia="zh-CN"/>
              </w:rPr>
            </w:pPr>
            <w:r>
              <w:rPr>
                <w:color w:val="auto"/>
                <w:u w:val="none" w:color="auto"/>
              </w:rPr>
              <w:t>氨氮</w:t>
            </w:r>
          </w:p>
        </w:tc>
        <w:tc>
          <w:tcPr>
            <w:tcW w:w="2608" w:type="dxa"/>
            <w:noWrap w:val="0"/>
            <w:vAlign w:val="center"/>
          </w:tcPr>
          <w:p w14:paraId="57CA0B35">
            <w:pPr>
              <w:pStyle w:val="23"/>
              <w:bidi w:val="0"/>
              <w:rPr>
                <w:rFonts w:hint="default"/>
                <w:color w:val="auto"/>
                <w:u w:val="none" w:color="auto"/>
                <w:lang w:val="en-US" w:eastAsia="zh-CN"/>
              </w:rPr>
            </w:pPr>
            <w:r>
              <w:rPr>
                <w:rFonts w:hint="eastAsia"/>
                <w:color w:val="auto"/>
                <w:u w:val="none" w:color="auto"/>
                <w:lang w:val="en-US" w:eastAsia="zh-CN"/>
              </w:rPr>
              <w:t>1.5（3）</w:t>
            </w:r>
          </w:p>
        </w:tc>
      </w:tr>
      <w:tr w14:paraId="472A92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243" w:hRule="atLeast"/>
          <w:jc w:val="center"/>
        </w:trPr>
        <w:tc>
          <w:tcPr>
            <w:tcW w:w="1075" w:type="dxa"/>
            <w:vMerge w:val="continue"/>
            <w:noWrap w:val="0"/>
            <w:vAlign w:val="center"/>
          </w:tcPr>
          <w:p w14:paraId="302C5E82">
            <w:pPr>
              <w:pStyle w:val="23"/>
              <w:bidi w:val="0"/>
              <w:rPr>
                <w:rFonts w:hint="default"/>
                <w:color w:val="auto"/>
                <w:u w:val="none" w:color="auto"/>
                <w:lang w:val="en-US" w:eastAsia="zh-CN"/>
              </w:rPr>
            </w:pPr>
          </w:p>
        </w:tc>
        <w:tc>
          <w:tcPr>
            <w:tcW w:w="865" w:type="dxa"/>
            <w:vMerge w:val="continue"/>
            <w:noWrap w:val="0"/>
            <w:vAlign w:val="center"/>
          </w:tcPr>
          <w:p w14:paraId="54A32DC2">
            <w:pPr>
              <w:pStyle w:val="23"/>
              <w:bidi w:val="0"/>
              <w:rPr>
                <w:rFonts w:hint="default"/>
                <w:color w:val="auto"/>
                <w:u w:val="none" w:color="auto"/>
              </w:rPr>
            </w:pPr>
          </w:p>
        </w:tc>
        <w:tc>
          <w:tcPr>
            <w:tcW w:w="1000" w:type="dxa"/>
            <w:vMerge w:val="continue"/>
            <w:noWrap w:val="0"/>
            <w:vAlign w:val="center"/>
          </w:tcPr>
          <w:p w14:paraId="3C86ADC1">
            <w:pPr>
              <w:pStyle w:val="23"/>
              <w:bidi w:val="0"/>
              <w:rPr>
                <w:rFonts w:hint="default"/>
                <w:color w:val="auto"/>
                <w:u w:val="none" w:color="auto"/>
              </w:rPr>
            </w:pPr>
          </w:p>
        </w:tc>
        <w:tc>
          <w:tcPr>
            <w:tcW w:w="1150" w:type="dxa"/>
            <w:vMerge w:val="continue"/>
            <w:noWrap w:val="0"/>
            <w:vAlign w:val="center"/>
          </w:tcPr>
          <w:p w14:paraId="236A70FF">
            <w:pPr>
              <w:pStyle w:val="23"/>
              <w:bidi w:val="0"/>
              <w:rPr>
                <w:rFonts w:hint="default"/>
                <w:color w:val="auto"/>
                <w:u w:val="none" w:color="auto"/>
              </w:rPr>
            </w:pPr>
          </w:p>
        </w:tc>
        <w:tc>
          <w:tcPr>
            <w:tcW w:w="1025" w:type="dxa"/>
            <w:vMerge w:val="continue"/>
            <w:noWrap w:val="0"/>
            <w:vAlign w:val="center"/>
          </w:tcPr>
          <w:p w14:paraId="5E24C9D1">
            <w:pPr>
              <w:pStyle w:val="23"/>
              <w:bidi w:val="0"/>
              <w:rPr>
                <w:rFonts w:hint="default"/>
                <w:color w:val="auto"/>
                <w:u w:val="none" w:color="auto"/>
                <w:lang w:val="en-US" w:eastAsia="zh-CN"/>
              </w:rPr>
            </w:pPr>
          </w:p>
        </w:tc>
        <w:tc>
          <w:tcPr>
            <w:tcW w:w="1425" w:type="dxa"/>
            <w:vMerge w:val="continue"/>
            <w:noWrap w:val="0"/>
            <w:vAlign w:val="center"/>
          </w:tcPr>
          <w:p w14:paraId="01B703FF">
            <w:pPr>
              <w:pStyle w:val="23"/>
              <w:bidi w:val="0"/>
              <w:rPr>
                <w:rFonts w:hint="default"/>
                <w:color w:val="auto"/>
                <w:u w:val="none" w:color="auto"/>
              </w:rPr>
            </w:pPr>
          </w:p>
        </w:tc>
        <w:tc>
          <w:tcPr>
            <w:tcW w:w="950" w:type="dxa"/>
            <w:vMerge w:val="continue"/>
            <w:noWrap w:val="0"/>
            <w:vAlign w:val="center"/>
          </w:tcPr>
          <w:p w14:paraId="68DCE478">
            <w:pPr>
              <w:pStyle w:val="23"/>
              <w:bidi w:val="0"/>
              <w:rPr>
                <w:rFonts w:hint="default"/>
                <w:color w:val="auto"/>
                <w:u w:val="none" w:color="auto"/>
                <w:lang w:val="en-US" w:eastAsia="zh-CN"/>
              </w:rPr>
            </w:pPr>
          </w:p>
        </w:tc>
        <w:tc>
          <w:tcPr>
            <w:tcW w:w="1000" w:type="dxa"/>
            <w:vMerge w:val="continue"/>
            <w:noWrap w:val="0"/>
            <w:vAlign w:val="center"/>
          </w:tcPr>
          <w:p w14:paraId="68470A3B">
            <w:pPr>
              <w:pStyle w:val="23"/>
              <w:bidi w:val="0"/>
              <w:rPr>
                <w:rFonts w:hint="default"/>
                <w:color w:val="auto"/>
                <w:u w:val="none" w:color="auto"/>
                <w:lang w:val="en-US" w:eastAsia="zh-CN"/>
              </w:rPr>
            </w:pPr>
          </w:p>
        </w:tc>
        <w:tc>
          <w:tcPr>
            <w:tcW w:w="1525" w:type="dxa"/>
            <w:vMerge w:val="continue"/>
            <w:noWrap w:val="0"/>
            <w:vAlign w:val="center"/>
          </w:tcPr>
          <w:p w14:paraId="6055E43D">
            <w:pPr>
              <w:pStyle w:val="23"/>
              <w:bidi w:val="0"/>
              <w:rPr>
                <w:rFonts w:hint="default"/>
                <w:color w:val="auto"/>
                <w:u w:val="none" w:color="auto"/>
              </w:rPr>
            </w:pPr>
          </w:p>
        </w:tc>
        <w:tc>
          <w:tcPr>
            <w:tcW w:w="1550" w:type="dxa"/>
            <w:noWrap w:val="0"/>
            <w:vAlign w:val="center"/>
          </w:tcPr>
          <w:p w14:paraId="37DD6C91">
            <w:pPr>
              <w:pStyle w:val="23"/>
              <w:bidi w:val="0"/>
              <w:rPr>
                <w:rFonts w:hint="eastAsia"/>
                <w:color w:val="auto"/>
                <w:u w:val="none" w:color="auto"/>
                <w:lang w:val="en-US" w:eastAsia="zh-CN"/>
              </w:rPr>
            </w:pPr>
            <w:r>
              <w:rPr>
                <w:rFonts w:hint="eastAsia"/>
                <w:color w:val="auto"/>
                <w:u w:val="none" w:color="auto"/>
                <w:lang w:val="en-US" w:eastAsia="zh-CN"/>
              </w:rPr>
              <w:t>SS</w:t>
            </w:r>
          </w:p>
        </w:tc>
        <w:tc>
          <w:tcPr>
            <w:tcW w:w="2608" w:type="dxa"/>
            <w:noWrap w:val="0"/>
            <w:vAlign w:val="center"/>
          </w:tcPr>
          <w:p w14:paraId="383F971F">
            <w:pPr>
              <w:pStyle w:val="23"/>
              <w:bidi w:val="0"/>
              <w:rPr>
                <w:rFonts w:hint="default"/>
                <w:color w:val="auto"/>
                <w:u w:val="none" w:color="auto"/>
                <w:lang w:val="en-US" w:eastAsia="zh-CN"/>
              </w:rPr>
            </w:pPr>
            <w:r>
              <w:rPr>
                <w:rFonts w:hint="eastAsia"/>
                <w:color w:val="auto"/>
                <w:u w:val="none" w:color="auto"/>
                <w:lang w:val="en-US" w:eastAsia="zh-CN"/>
              </w:rPr>
              <w:t>10</w:t>
            </w:r>
          </w:p>
        </w:tc>
      </w:tr>
      <w:tr w14:paraId="4A038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075" w:type="dxa"/>
            <w:vMerge w:val="continue"/>
            <w:noWrap w:val="0"/>
            <w:vAlign w:val="center"/>
          </w:tcPr>
          <w:p w14:paraId="1076198C">
            <w:pPr>
              <w:pStyle w:val="23"/>
              <w:bidi w:val="0"/>
              <w:rPr>
                <w:rFonts w:hint="default"/>
                <w:color w:val="auto"/>
                <w:u w:val="none" w:color="auto"/>
                <w:lang w:val="en-US" w:eastAsia="zh-CN"/>
              </w:rPr>
            </w:pPr>
          </w:p>
        </w:tc>
        <w:tc>
          <w:tcPr>
            <w:tcW w:w="865" w:type="dxa"/>
            <w:vMerge w:val="continue"/>
            <w:noWrap w:val="0"/>
            <w:vAlign w:val="center"/>
          </w:tcPr>
          <w:p w14:paraId="32383F53">
            <w:pPr>
              <w:pStyle w:val="23"/>
              <w:bidi w:val="0"/>
              <w:rPr>
                <w:rFonts w:hint="default"/>
                <w:color w:val="auto"/>
                <w:u w:val="none" w:color="auto"/>
              </w:rPr>
            </w:pPr>
          </w:p>
        </w:tc>
        <w:tc>
          <w:tcPr>
            <w:tcW w:w="1000" w:type="dxa"/>
            <w:vMerge w:val="continue"/>
            <w:noWrap w:val="0"/>
            <w:vAlign w:val="center"/>
          </w:tcPr>
          <w:p w14:paraId="0E9E4508">
            <w:pPr>
              <w:pStyle w:val="23"/>
              <w:bidi w:val="0"/>
              <w:rPr>
                <w:rFonts w:hint="default"/>
                <w:color w:val="auto"/>
                <w:u w:val="none" w:color="auto"/>
              </w:rPr>
            </w:pPr>
          </w:p>
        </w:tc>
        <w:tc>
          <w:tcPr>
            <w:tcW w:w="1150" w:type="dxa"/>
            <w:vMerge w:val="continue"/>
            <w:noWrap w:val="0"/>
            <w:vAlign w:val="center"/>
          </w:tcPr>
          <w:p w14:paraId="7E7EC9F7">
            <w:pPr>
              <w:pStyle w:val="23"/>
              <w:bidi w:val="0"/>
              <w:rPr>
                <w:rFonts w:hint="default"/>
                <w:color w:val="auto"/>
                <w:u w:val="none" w:color="auto"/>
              </w:rPr>
            </w:pPr>
          </w:p>
        </w:tc>
        <w:tc>
          <w:tcPr>
            <w:tcW w:w="1025" w:type="dxa"/>
            <w:vMerge w:val="continue"/>
            <w:noWrap w:val="0"/>
            <w:vAlign w:val="center"/>
          </w:tcPr>
          <w:p w14:paraId="3C7487FC">
            <w:pPr>
              <w:pStyle w:val="23"/>
              <w:bidi w:val="0"/>
              <w:rPr>
                <w:rFonts w:hint="default"/>
                <w:color w:val="auto"/>
                <w:u w:val="none" w:color="auto"/>
                <w:lang w:val="en-US" w:eastAsia="zh-CN"/>
              </w:rPr>
            </w:pPr>
          </w:p>
        </w:tc>
        <w:tc>
          <w:tcPr>
            <w:tcW w:w="1425" w:type="dxa"/>
            <w:vMerge w:val="continue"/>
            <w:noWrap w:val="0"/>
            <w:vAlign w:val="center"/>
          </w:tcPr>
          <w:p w14:paraId="7D66CA15">
            <w:pPr>
              <w:pStyle w:val="23"/>
              <w:bidi w:val="0"/>
              <w:rPr>
                <w:rFonts w:hint="default"/>
                <w:color w:val="auto"/>
                <w:u w:val="none" w:color="auto"/>
              </w:rPr>
            </w:pPr>
          </w:p>
        </w:tc>
        <w:tc>
          <w:tcPr>
            <w:tcW w:w="950" w:type="dxa"/>
            <w:vMerge w:val="continue"/>
            <w:noWrap w:val="0"/>
            <w:vAlign w:val="center"/>
          </w:tcPr>
          <w:p w14:paraId="7EB37D06">
            <w:pPr>
              <w:pStyle w:val="23"/>
              <w:bidi w:val="0"/>
              <w:rPr>
                <w:rFonts w:hint="default"/>
                <w:color w:val="auto"/>
                <w:u w:val="none" w:color="auto"/>
                <w:lang w:val="en-US" w:eastAsia="zh-CN"/>
              </w:rPr>
            </w:pPr>
          </w:p>
        </w:tc>
        <w:tc>
          <w:tcPr>
            <w:tcW w:w="1000" w:type="dxa"/>
            <w:vMerge w:val="continue"/>
            <w:noWrap w:val="0"/>
            <w:vAlign w:val="center"/>
          </w:tcPr>
          <w:p w14:paraId="5D38AA67">
            <w:pPr>
              <w:pStyle w:val="23"/>
              <w:bidi w:val="0"/>
              <w:rPr>
                <w:rFonts w:hint="default"/>
                <w:color w:val="auto"/>
                <w:u w:val="none" w:color="auto"/>
                <w:lang w:val="en-US" w:eastAsia="zh-CN"/>
              </w:rPr>
            </w:pPr>
          </w:p>
        </w:tc>
        <w:tc>
          <w:tcPr>
            <w:tcW w:w="1525" w:type="dxa"/>
            <w:vMerge w:val="continue"/>
            <w:noWrap w:val="0"/>
            <w:vAlign w:val="center"/>
          </w:tcPr>
          <w:p w14:paraId="45182793">
            <w:pPr>
              <w:pStyle w:val="23"/>
              <w:bidi w:val="0"/>
              <w:rPr>
                <w:rFonts w:hint="default"/>
                <w:color w:val="auto"/>
                <w:u w:val="none" w:color="auto"/>
              </w:rPr>
            </w:pPr>
          </w:p>
        </w:tc>
        <w:tc>
          <w:tcPr>
            <w:tcW w:w="1550" w:type="dxa"/>
            <w:noWrap w:val="0"/>
            <w:vAlign w:val="center"/>
          </w:tcPr>
          <w:p w14:paraId="2ADF9E9A">
            <w:pPr>
              <w:pStyle w:val="23"/>
              <w:bidi w:val="0"/>
              <w:rPr>
                <w:rFonts w:hint="default"/>
                <w:color w:val="auto"/>
                <w:u w:val="none" w:color="auto"/>
                <w:lang w:val="en-US" w:eastAsia="zh-CN"/>
              </w:rPr>
            </w:pPr>
            <w:r>
              <w:rPr>
                <w:rFonts w:hint="eastAsia"/>
                <w:color w:val="auto"/>
                <w:u w:val="none" w:color="auto"/>
                <w:lang w:val="en-US" w:eastAsia="zh-CN"/>
              </w:rPr>
              <w:t>动植物油</w:t>
            </w:r>
          </w:p>
        </w:tc>
        <w:tc>
          <w:tcPr>
            <w:tcW w:w="2608" w:type="dxa"/>
            <w:noWrap w:val="0"/>
            <w:vAlign w:val="center"/>
          </w:tcPr>
          <w:p w14:paraId="72D5407A">
            <w:pPr>
              <w:pStyle w:val="23"/>
              <w:bidi w:val="0"/>
              <w:rPr>
                <w:rFonts w:hint="default"/>
                <w:color w:val="auto"/>
                <w:u w:val="none" w:color="auto"/>
                <w:lang w:val="en-US" w:eastAsia="zh-CN"/>
              </w:rPr>
            </w:pPr>
            <w:r>
              <w:rPr>
                <w:rFonts w:hint="eastAsia"/>
                <w:color w:val="auto"/>
                <w:u w:val="none" w:color="auto"/>
                <w:lang w:val="en-US" w:eastAsia="zh-CN"/>
              </w:rPr>
              <w:t>1</w:t>
            </w:r>
          </w:p>
        </w:tc>
      </w:tr>
    </w:tbl>
    <w:p w14:paraId="7623C51D">
      <w:pPr>
        <w:pStyle w:val="22"/>
        <w:bidi w:val="0"/>
        <w:rPr>
          <w:rFonts w:hint="default"/>
          <w:color w:val="auto"/>
          <w:u w:val="none" w:color="auto"/>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14F94D02">
      <w:pPr>
        <w:pStyle w:val="22"/>
        <w:bidi w:val="0"/>
        <w:rPr>
          <w:rFonts w:hint="default"/>
          <w:color w:val="auto"/>
          <w:u w:val="none" w:color="auto"/>
        </w:rPr>
      </w:pPr>
      <w:r>
        <w:rPr>
          <w:rFonts w:hint="default"/>
          <w:color w:val="auto"/>
          <w:u w:val="none" w:color="auto"/>
          <w:lang w:val="en-US" w:eastAsia="zh-CN"/>
        </w:rPr>
        <w:t>表</w:t>
      </w:r>
      <w:r>
        <w:rPr>
          <w:rFonts w:hint="eastAsia"/>
          <w:color w:val="auto"/>
          <w:u w:val="none" w:color="auto"/>
          <w:lang w:val="en-US" w:eastAsia="zh-CN"/>
        </w:rPr>
        <w:t>6.2-16</w:t>
      </w:r>
      <w:r>
        <w:rPr>
          <w:rFonts w:hint="default"/>
          <w:color w:val="auto"/>
          <w:u w:val="none" w:color="auto"/>
        </w:rPr>
        <w:t xml:space="preserve"> 项目废水污染物排放执行情况表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6"/>
        <w:gridCol w:w="789"/>
        <w:gridCol w:w="1092"/>
        <w:gridCol w:w="3846"/>
        <w:gridCol w:w="2281"/>
      </w:tblGrid>
      <w:tr w14:paraId="588FEB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vMerge w:val="restart"/>
            <w:noWrap w:val="0"/>
            <w:vAlign w:val="center"/>
          </w:tcPr>
          <w:p w14:paraId="6273255E">
            <w:pPr>
              <w:pStyle w:val="23"/>
              <w:bidi w:val="0"/>
              <w:rPr>
                <w:rFonts w:hint="default"/>
                <w:color w:val="auto"/>
                <w:u w:val="none" w:color="auto"/>
              </w:rPr>
            </w:pPr>
            <w:r>
              <w:rPr>
                <w:rFonts w:hint="default"/>
                <w:color w:val="auto"/>
                <w:u w:val="none" w:color="auto"/>
              </w:rPr>
              <w:t>序号</w:t>
            </w:r>
          </w:p>
        </w:tc>
        <w:tc>
          <w:tcPr>
            <w:tcW w:w="789" w:type="dxa"/>
            <w:vMerge w:val="restart"/>
            <w:noWrap w:val="0"/>
            <w:vAlign w:val="center"/>
          </w:tcPr>
          <w:p w14:paraId="3884E0B6">
            <w:pPr>
              <w:pStyle w:val="23"/>
              <w:bidi w:val="0"/>
              <w:rPr>
                <w:rFonts w:hint="default"/>
                <w:color w:val="auto"/>
                <w:u w:val="none" w:color="auto"/>
              </w:rPr>
            </w:pPr>
            <w:r>
              <w:rPr>
                <w:rFonts w:hint="default"/>
                <w:color w:val="auto"/>
                <w:u w:val="none" w:color="auto"/>
              </w:rPr>
              <w:t>排放口编号</w:t>
            </w:r>
          </w:p>
        </w:tc>
        <w:tc>
          <w:tcPr>
            <w:tcW w:w="1092" w:type="dxa"/>
            <w:vMerge w:val="restart"/>
            <w:noWrap w:val="0"/>
            <w:vAlign w:val="center"/>
          </w:tcPr>
          <w:p w14:paraId="5E651DF9">
            <w:pPr>
              <w:pStyle w:val="23"/>
              <w:bidi w:val="0"/>
              <w:rPr>
                <w:rFonts w:hint="default"/>
                <w:color w:val="auto"/>
                <w:u w:val="none" w:color="auto"/>
              </w:rPr>
            </w:pPr>
            <w:r>
              <w:rPr>
                <w:rFonts w:hint="default"/>
                <w:color w:val="auto"/>
                <w:u w:val="none" w:color="auto"/>
              </w:rPr>
              <w:t>污染物种类</w:t>
            </w:r>
          </w:p>
        </w:tc>
        <w:tc>
          <w:tcPr>
            <w:tcW w:w="6127" w:type="dxa"/>
            <w:gridSpan w:val="2"/>
            <w:noWrap w:val="0"/>
            <w:vAlign w:val="center"/>
          </w:tcPr>
          <w:p w14:paraId="6263363C">
            <w:pPr>
              <w:pStyle w:val="23"/>
              <w:bidi w:val="0"/>
              <w:rPr>
                <w:rFonts w:hint="default"/>
                <w:color w:val="auto"/>
                <w:u w:val="none" w:color="auto"/>
              </w:rPr>
            </w:pPr>
            <w:r>
              <w:rPr>
                <w:rFonts w:hint="default"/>
                <w:color w:val="auto"/>
                <w:u w:val="none" w:color="auto"/>
              </w:rPr>
              <w:t>国家或地方污染物排放标准及其他按规定商定的排放协议</w:t>
            </w:r>
          </w:p>
        </w:tc>
      </w:tr>
      <w:tr w14:paraId="646B2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96" w:type="dxa"/>
            <w:vMerge w:val="continue"/>
            <w:noWrap w:val="0"/>
            <w:vAlign w:val="center"/>
          </w:tcPr>
          <w:p w14:paraId="584A3732">
            <w:pPr>
              <w:pStyle w:val="23"/>
              <w:bidi w:val="0"/>
              <w:rPr>
                <w:rFonts w:hint="default"/>
                <w:color w:val="auto"/>
                <w:u w:val="none" w:color="auto"/>
              </w:rPr>
            </w:pPr>
          </w:p>
        </w:tc>
        <w:tc>
          <w:tcPr>
            <w:tcW w:w="789" w:type="dxa"/>
            <w:vMerge w:val="continue"/>
            <w:noWrap w:val="0"/>
            <w:vAlign w:val="center"/>
          </w:tcPr>
          <w:p w14:paraId="0BE14B90">
            <w:pPr>
              <w:pStyle w:val="23"/>
              <w:bidi w:val="0"/>
              <w:rPr>
                <w:rFonts w:hint="default"/>
                <w:color w:val="auto"/>
                <w:u w:val="none" w:color="auto"/>
              </w:rPr>
            </w:pPr>
          </w:p>
        </w:tc>
        <w:tc>
          <w:tcPr>
            <w:tcW w:w="1092" w:type="dxa"/>
            <w:vMerge w:val="continue"/>
            <w:noWrap w:val="0"/>
            <w:vAlign w:val="center"/>
          </w:tcPr>
          <w:p w14:paraId="5F74BB14">
            <w:pPr>
              <w:pStyle w:val="23"/>
              <w:bidi w:val="0"/>
              <w:rPr>
                <w:rFonts w:hint="default"/>
                <w:color w:val="auto"/>
                <w:u w:val="none" w:color="auto"/>
              </w:rPr>
            </w:pPr>
          </w:p>
        </w:tc>
        <w:tc>
          <w:tcPr>
            <w:tcW w:w="3846" w:type="dxa"/>
            <w:noWrap w:val="0"/>
            <w:vAlign w:val="center"/>
          </w:tcPr>
          <w:p w14:paraId="090AD44B">
            <w:pPr>
              <w:pStyle w:val="23"/>
              <w:bidi w:val="0"/>
              <w:rPr>
                <w:rFonts w:hint="default"/>
                <w:color w:val="auto"/>
                <w:u w:val="none" w:color="auto"/>
              </w:rPr>
            </w:pPr>
            <w:r>
              <w:rPr>
                <w:rFonts w:hint="default"/>
                <w:color w:val="auto"/>
                <w:u w:val="none" w:color="auto"/>
              </w:rPr>
              <w:t>名称</w:t>
            </w:r>
          </w:p>
        </w:tc>
        <w:tc>
          <w:tcPr>
            <w:tcW w:w="2281" w:type="dxa"/>
            <w:noWrap w:val="0"/>
            <w:vAlign w:val="center"/>
          </w:tcPr>
          <w:p w14:paraId="1D0C8005">
            <w:pPr>
              <w:pStyle w:val="23"/>
              <w:bidi w:val="0"/>
              <w:rPr>
                <w:rFonts w:hint="default"/>
                <w:color w:val="auto"/>
                <w:u w:val="none" w:color="auto"/>
              </w:rPr>
            </w:pPr>
            <w:r>
              <w:rPr>
                <w:rFonts w:hint="default"/>
                <w:color w:val="auto"/>
                <w:u w:val="none" w:color="auto"/>
              </w:rPr>
              <w:t>浓度限值/（mg/L）</w:t>
            </w:r>
          </w:p>
        </w:tc>
      </w:tr>
      <w:tr w14:paraId="1011D3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96" w:type="dxa"/>
            <w:vMerge w:val="restart"/>
            <w:noWrap w:val="0"/>
            <w:vAlign w:val="center"/>
          </w:tcPr>
          <w:p w14:paraId="6381D5C5">
            <w:pPr>
              <w:pStyle w:val="23"/>
              <w:bidi w:val="0"/>
              <w:rPr>
                <w:rFonts w:hint="default"/>
                <w:color w:val="auto"/>
                <w:u w:val="none" w:color="auto"/>
              </w:rPr>
            </w:pPr>
            <w:r>
              <w:rPr>
                <w:rFonts w:hint="default"/>
                <w:color w:val="auto"/>
                <w:u w:val="none" w:color="auto"/>
              </w:rPr>
              <w:t>1</w:t>
            </w:r>
          </w:p>
        </w:tc>
        <w:tc>
          <w:tcPr>
            <w:tcW w:w="789" w:type="dxa"/>
            <w:vMerge w:val="restart"/>
            <w:noWrap w:val="0"/>
            <w:vAlign w:val="center"/>
          </w:tcPr>
          <w:p w14:paraId="4EC0D0EE">
            <w:pPr>
              <w:pStyle w:val="23"/>
              <w:bidi w:val="0"/>
              <w:rPr>
                <w:rFonts w:hint="eastAsia"/>
                <w:color w:val="auto"/>
                <w:u w:val="none" w:color="auto"/>
                <w:lang w:eastAsia="zh-CN"/>
              </w:rPr>
            </w:pPr>
            <w:r>
              <w:rPr>
                <w:rFonts w:hint="eastAsia"/>
                <w:color w:val="auto"/>
                <w:u w:val="none" w:color="auto"/>
                <w:lang w:val="en-US" w:eastAsia="zh-CN"/>
              </w:rPr>
              <w:t>DW001</w:t>
            </w:r>
          </w:p>
        </w:tc>
        <w:tc>
          <w:tcPr>
            <w:tcW w:w="1092" w:type="dxa"/>
            <w:noWrap w:val="0"/>
            <w:vAlign w:val="center"/>
          </w:tcPr>
          <w:p w14:paraId="00C40E01">
            <w:pPr>
              <w:pStyle w:val="23"/>
              <w:bidi w:val="0"/>
              <w:rPr>
                <w:rFonts w:hint="default"/>
                <w:color w:val="auto"/>
                <w:u w:val="none" w:color="auto"/>
              </w:rPr>
            </w:pPr>
            <w:r>
              <w:rPr>
                <w:rFonts w:hint="eastAsia"/>
                <w:color w:val="auto"/>
                <w:u w:val="none" w:color="auto"/>
                <w:lang w:val="en-US" w:eastAsia="zh-CN"/>
              </w:rPr>
              <w:t>pH</w:t>
            </w:r>
          </w:p>
        </w:tc>
        <w:tc>
          <w:tcPr>
            <w:tcW w:w="3846" w:type="dxa"/>
            <w:vMerge w:val="restart"/>
            <w:noWrap w:val="0"/>
            <w:vAlign w:val="center"/>
          </w:tcPr>
          <w:p w14:paraId="6CDEF3B3">
            <w:pPr>
              <w:pStyle w:val="23"/>
              <w:bidi w:val="0"/>
              <w:rPr>
                <w:rFonts w:hint="default"/>
                <w:color w:val="auto"/>
                <w:u w:val="none" w:color="auto"/>
                <w:lang w:val="en-US" w:eastAsia="zh-CN"/>
              </w:rPr>
            </w:pPr>
            <w:r>
              <w:rPr>
                <w:rFonts w:hint="default"/>
                <w:color w:val="auto"/>
                <w:u w:val="none" w:color="auto"/>
              </w:rPr>
              <w:t>湖南汨罗高新技术产业开发区（循环园区）污水处理厂进水水质标准</w:t>
            </w:r>
          </w:p>
        </w:tc>
        <w:tc>
          <w:tcPr>
            <w:tcW w:w="2281" w:type="dxa"/>
            <w:noWrap w:val="0"/>
            <w:vAlign w:val="center"/>
          </w:tcPr>
          <w:p w14:paraId="7DE4EE27">
            <w:pPr>
              <w:pStyle w:val="23"/>
              <w:bidi w:val="0"/>
              <w:rPr>
                <w:rFonts w:hint="default" w:ascii="Times New Roman" w:hAnsi="Times New Roman" w:eastAsia="宋体" w:cs="Times New Roman"/>
                <w:b w:val="0"/>
                <w:bCs/>
                <w:color w:val="auto"/>
                <w:kern w:val="0"/>
                <w:sz w:val="21"/>
                <w:szCs w:val="21"/>
                <w:u w:val="none" w:color="auto"/>
                <w:lang w:val="en-US" w:eastAsia="zh-CN" w:bidi="ar-SA"/>
              </w:rPr>
            </w:pPr>
            <w:r>
              <w:rPr>
                <w:rFonts w:hint="eastAsia"/>
                <w:color w:val="auto"/>
                <w:u w:val="none" w:color="auto"/>
                <w:lang w:val="en-US" w:eastAsia="zh-CN"/>
              </w:rPr>
              <w:t>6.0~9.0（无量纲）</w:t>
            </w:r>
          </w:p>
        </w:tc>
      </w:tr>
      <w:tr w14:paraId="44C973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496" w:type="dxa"/>
            <w:vMerge w:val="continue"/>
            <w:noWrap w:val="0"/>
            <w:vAlign w:val="center"/>
          </w:tcPr>
          <w:p w14:paraId="7EFCDE01">
            <w:pPr>
              <w:pStyle w:val="23"/>
              <w:bidi w:val="0"/>
              <w:rPr>
                <w:rFonts w:hint="default"/>
                <w:color w:val="auto"/>
                <w:u w:val="none" w:color="auto"/>
              </w:rPr>
            </w:pPr>
          </w:p>
        </w:tc>
        <w:tc>
          <w:tcPr>
            <w:tcW w:w="789" w:type="dxa"/>
            <w:vMerge w:val="continue"/>
            <w:noWrap w:val="0"/>
            <w:vAlign w:val="center"/>
          </w:tcPr>
          <w:p w14:paraId="11FB1F2D">
            <w:pPr>
              <w:pStyle w:val="23"/>
              <w:bidi w:val="0"/>
              <w:rPr>
                <w:rFonts w:hint="eastAsia"/>
                <w:color w:val="auto"/>
                <w:u w:val="none" w:color="auto"/>
                <w:lang w:val="en-US" w:eastAsia="zh-CN"/>
              </w:rPr>
            </w:pPr>
          </w:p>
        </w:tc>
        <w:tc>
          <w:tcPr>
            <w:tcW w:w="1092" w:type="dxa"/>
            <w:noWrap w:val="0"/>
            <w:vAlign w:val="center"/>
          </w:tcPr>
          <w:p w14:paraId="443F294A">
            <w:pPr>
              <w:pStyle w:val="23"/>
              <w:bidi w:val="0"/>
              <w:rPr>
                <w:rFonts w:hint="eastAsia"/>
                <w:color w:val="auto"/>
                <w:u w:val="none" w:color="auto"/>
                <w:lang w:eastAsia="zh-CN"/>
              </w:rPr>
            </w:pPr>
            <w:r>
              <w:rPr>
                <w:rFonts w:hint="eastAsia"/>
                <w:color w:val="auto"/>
                <w:u w:val="none" w:color="auto"/>
                <w:lang w:eastAsia="zh-CN"/>
              </w:rPr>
              <w:t>CODcr</w:t>
            </w:r>
          </w:p>
        </w:tc>
        <w:tc>
          <w:tcPr>
            <w:tcW w:w="3846" w:type="dxa"/>
            <w:vMerge w:val="continue"/>
            <w:noWrap w:val="0"/>
            <w:vAlign w:val="center"/>
          </w:tcPr>
          <w:p w14:paraId="74DDE8A8">
            <w:pPr>
              <w:pStyle w:val="23"/>
              <w:bidi w:val="0"/>
              <w:rPr>
                <w:rFonts w:hint="default"/>
                <w:color w:val="auto"/>
                <w:u w:val="none" w:color="auto"/>
              </w:rPr>
            </w:pPr>
          </w:p>
        </w:tc>
        <w:tc>
          <w:tcPr>
            <w:tcW w:w="2281" w:type="dxa"/>
            <w:noWrap w:val="0"/>
            <w:vAlign w:val="center"/>
          </w:tcPr>
          <w:p w14:paraId="601F959E">
            <w:pPr>
              <w:pStyle w:val="23"/>
              <w:bidi w:val="0"/>
              <w:rPr>
                <w:rFonts w:hint="default" w:eastAsia="宋体"/>
                <w:color w:val="auto"/>
                <w:u w:val="none" w:color="auto"/>
                <w:lang w:val="en-US" w:eastAsia="zh-CN"/>
              </w:rPr>
            </w:pPr>
            <w:r>
              <w:rPr>
                <w:rFonts w:hint="eastAsia"/>
                <w:color w:val="auto"/>
                <w:u w:val="none" w:color="auto"/>
                <w:lang w:val="en-US" w:eastAsia="zh-CN"/>
              </w:rPr>
              <w:t>420</w:t>
            </w:r>
          </w:p>
        </w:tc>
      </w:tr>
      <w:tr w14:paraId="48C3F4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96" w:type="dxa"/>
            <w:vMerge w:val="continue"/>
            <w:noWrap w:val="0"/>
            <w:vAlign w:val="center"/>
          </w:tcPr>
          <w:p w14:paraId="55E05815">
            <w:pPr>
              <w:pStyle w:val="23"/>
              <w:bidi w:val="0"/>
              <w:rPr>
                <w:rFonts w:hint="default"/>
                <w:color w:val="auto"/>
                <w:u w:val="none" w:color="auto"/>
              </w:rPr>
            </w:pPr>
          </w:p>
        </w:tc>
        <w:tc>
          <w:tcPr>
            <w:tcW w:w="789" w:type="dxa"/>
            <w:vMerge w:val="continue"/>
            <w:noWrap w:val="0"/>
            <w:vAlign w:val="center"/>
          </w:tcPr>
          <w:p w14:paraId="0A0D33D7">
            <w:pPr>
              <w:pStyle w:val="23"/>
              <w:bidi w:val="0"/>
              <w:rPr>
                <w:rFonts w:hint="default"/>
                <w:color w:val="auto"/>
                <w:u w:val="none" w:color="auto"/>
              </w:rPr>
            </w:pPr>
          </w:p>
        </w:tc>
        <w:tc>
          <w:tcPr>
            <w:tcW w:w="1092" w:type="dxa"/>
            <w:noWrap w:val="0"/>
            <w:vAlign w:val="center"/>
          </w:tcPr>
          <w:p w14:paraId="35C4E0F3">
            <w:pPr>
              <w:pStyle w:val="23"/>
              <w:bidi w:val="0"/>
              <w:rPr>
                <w:rFonts w:hint="default"/>
                <w:color w:val="auto"/>
                <w:u w:val="none" w:color="auto"/>
              </w:rPr>
            </w:pPr>
            <w:r>
              <w:rPr>
                <w:rFonts w:hint="eastAsia"/>
                <w:color w:val="auto"/>
                <w:u w:val="none" w:color="auto"/>
                <w:lang w:val="en-US" w:eastAsia="zh-CN"/>
              </w:rPr>
              <w:t>BOD</w:t>
            </w:r>
            <w:r>
              <w:rPr>
                <w:rFonts w:hint="eastAsia"/>
                <w:color w:val="auto"/>
                <w:u w:val="none" w:color="auto"/>
                <w:vertAlign w:val="subscript"/>
                <w:lang w:val="en-US" w:eastAsia="zh-CN"/>
              </w:rPr>
              <w:t>5</w:t>
            </w:r>
          </w:p>
        </w:tc>
        <w:tc>
          <w:tcPr>
            <w:tcW w:w="3846" w:type="dxa"/>
            <w:vMerge w:val="continue"/>
            <w:noWrap w:val="0"/>
            <w:vAlign w:val="center"/>
          </w:tcPr>
          <w:p w14:paraId="06ADF7BB">
            <w:pPr>
              <w:pStyle w:val="23"/>
              <w:bidi w:val="0"/>
              <w:rPr>
                <w:rFonts w:hint="default"/>
                <w:color w:val="auto"/>
                <w:u w:val="none" w:color="auto"/>
              </w:rPr>
            </w:pPr>
          </w:p>
        </w:tc>
        <w:tc>
          <w:tcPr>
            <w:tcW w:w="2281" w:type="dxa"/>
            <w:noWrap w:val="0"/>
            <w:vAlign w:val="center"/>
          </w:tcPr>
          <w:p w14:paraId="707D1D69">
            <w:pPr>
              <w:pStyle w:val="23"/>
              <w:bidi w:val="0"/>
              <w:rPr>
                <w:rFonts w:hint="default"/>
                <w:color w:val="auto"/>
                <w:u w:val="none" w:color="auto"/>
                <w:lang w:val="en-US" w:eastAsia="zh-CN"/>
              </w:rPr>
            </w:pPr>
            <w:r>
              <w:rPr>
                <w:rFonts w:hint="eastAsia"/>
                <w:color w:val="auto"/>
                <w:u w:val="none" w:color="auto"/>
                <w:lang w:val="en-US" w:eastAsia="zh-CN"/>
              </w:rPr>
              <w:t>200</w:t>
            </w:r>
          </w:p>
        </w:tc>
      </w:tr>
      <w:tr w14:paraId="5A2929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96" w:type="dxa"/>
            <w:vMerge w:val="continue"/>
            <w:noWrap w:val="0"/>
            <w:vAlign w:val="center"/>
          </w:tcPr>
          <w:p w14:paraId="32C677B9">
            <w:pPr>
              <w:pStyle w:val="23"/>
              <w:bidi w:val="0"/>
              <w:rPr>
                <w:rFonts w:hint="default"/>
                <w:color w:val="auto"/>
                <w:u w:val="none" w:color="auto"/>
              </w:rPr>
            </w:pPr>
          </w:p>
        </w:tc>
        <w:tc>
          <w:tcPr>
            <w:tcW w:w="789" w:type="dxa"/>
            <w:vMerge w:val="continue"/>
            <w:noWrap w:val="0"/>
            <w:vAlign w:val="center"/>
          </w:tcPr>
          <w:p w14:paraId="6B0F4169">
            <w:pPr>
              <w:pStyle w:val="23"/>
              <w:bidi w:val="0"/>
              <w:rPr>
                <w:rFonts w:hint="default"/>
                <w:color w:val="auto"/>
                <w:u w:val="none" w:color="auto"/>
              </w:rPr>
            </w:pPr>
          </w:p>
        </w:tc>
        <w:tc>
          <w:tcPr>
            <w:tcW w:w="1092" w:type="dxa"/>
            <w:noWrap w:val="0"/>
            <w:vAlign w:val="center"/>
          </w:tcPr>
          <w:p w14:paraId="1E4E0FEE">
            <w:pPr>
              <w:pStyle w:val="23"/>
              <w:bidi w:val="0"/>
              <w:rPr>
                <w:rFonts w:hint="default"/>
                <w:color w:val="auto"/>
                <w:u w:val="none" w:color="auto"/>
              </w:rPr>
            </w:pPr>
            <w:r>
              <w:rPr>
                <w:color w:val="auto"/>
                <w:u w:val="none" w:color="auto"/>
              </w:rPr>
              <w:t>氨氮</w:t>
            </w:r>
          </w:p>
        </w:tc>
        <w:tc>
          <w:tcPr>
            <w:tcW w:w="3846" w:type="dxa"/>
            <w:vMerge w:val="continue"/>
            <w:noWrap w:val="0"/>
            <w:vAlign w:val="center"/>
          </w:tcPr>
          <w:p w14:paraId="3F306FD8">
            <w:pPr>
              <w:pStyle w:val="23"/>
              <w:bidi w:val="0"/>
              <w:rPr>
                <w:rFonts w:hint="default"/>
                <w:color w:val="auto"/>
                <w:u w:val="none" w:color="auto"/>
              </w:rPr>
            </w:pPr>
          </w:p>
        </w:tc>
        <w:tc>
          <w:tcPr>
            <w:tcW w:w="2281" w:type="dxa"/>
            <w:noWrap w:val="0"/>
            <w:vAlign w:val="center"/>
          </w:tcPr>
          <w:p w14:paraId="107BD2E1">
            <w:pPr>
              <w:pStyle w:val="23"/>
              <w:bidi w:val="0"/>
              <w:rPr>
                <w:rFonts w:hint="default"/>
                <w:color w:val="auto"/>
                <w:u w:val="none" w:color="auto"/>
                <w:lang w:val="en-US" w:eastAsia="zh-CN"/>
              </w:rPr>
            </w:pPr>
            <w:r>
              <w:rPr>
                <w:rFonts w:hint="eastAsia"/>
                <w:color w:val="auto"/>
                <w:u w:val="none" w:color="auto"/>
                <w:lang w:val="en-US" w:eastAsia="zh-CN"/>
              </w:rPr>
              <w:t>30</w:t>
            </w:r>
          </w:p>
        </w:tc>
      </w:tr>
      <w:tr w14:paraId="25AC06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496" w:type="dxa"/>
            <w:vMerge w:val="continue"/>
            <w:noWrap w:val="0"/>
            <w:vAlign w:val="center"/>
          </w:tcPr>
          <w:p w14:paraId="475A40DF">
            <w:pPr>
              <w:pStyle w:val="23"/>
              <w:bidi w:val="0"/>
              <w:rPr>
                <w:rFonts w:hint="default"/>
                <w:color w:val="auto"/>
                <w:u w:val="none" w:color="auto"/>
              </w:rPr>
            </w:pPr>
          </w:p>
        </w:tc>
        <w:tc>
          <w:tcPr>
            <w:tcW w:w="789" w:type="dxa"/>
            <w:vMerge w:val="continue"/>
            <w:noWrap w:val="0"/>
            <w:vAlign w:val="center"/>
          </w:tcPr>
          <w:p w14:paraId="536522E2">
            <w:pPr>
              <w:pStyle w:val="23"/>
              <w:bidi w:val="0"/>
              <w:rPr>
                <w:rFonts w:hint="default"/>
                <w:color w:val="auto"/>
                <w:u w:val="none" w:color="auto"/>
              </w:rPr>
            </w:pPr>
          </w:p>
        </w:tc>
        <w:tc>
          <w:tcPr>
            <w:tcW w:w="1092" w:type="dxa"/>
            <w:noWrap w:val="0"/>
            <w:vAlign w:val="center"/>
          </w:tcPr>
          <w:p w14:paraId="1D0AD5FF">
            <w:pPr>
              <w:pStyle w:val="23"/>
              <w:bidi w:val="0"/>
              <w:rPr>
                <w:rFonts w:hint="default"/>
                <w:color w:val="auto"/>
                <w:u w:val="none" w:color="auto"/>
              </w:rPr>
            </w:pPr>
            <w:r>
              <w:rPr>
                <w:rFonts w:hint="eastAsia"/>
                <w:color w:val="auto"/>
                <w:u w:val="none" w:color="auto"/>
                <w:lang w:val="en-US" w:eastAsia="zh-CN"/>
              </w:rPr>
              <w:t>SS</w:t>
            </w:r>
          </w:p>
        </w:tc>
        <w:tc>
          <w:tcPr>
            <w:tcW w:w="3846" w:type="dxa"/>
            <w:vMerge w:val="continue"/>
            <w:noWrap w:val="0"/>
            <w:vAlign w:val="center"/>
          </w:tcPr>
          <w:p w14:paraId="3709041F">
            <w:pPr>
              <w:pStyle w:val="23"/>
              <w:bidi w:val="0"/>
              <w:rPr>
                <w:rFonts w:hint="default"/>
                <w:color w:val="auto"/>
                <w:u w:val="none" w:color="auto"/>
              </w:rPr>
            </w:pPr>
          </w:p>
        </w:tc>
        <w:tc>
          <w:tcPr>
            <w:tcW w:w="2281" w:type="dxa"/>
            <w:noWrap w:val="0"/>
            <w:vAlign w:val="center"/>
          </w:tcPr>
          <w:p w14:paraId="4211CABE">
            <w:pPr>
              <w:pStyle w:val="23"/>
              <w:bidi w:val="0"/>
              <w:rPr>
                <w:rFonts w:hint="default"/>
                <w:color w:val="auto"/>
                <w:u w:val="none" w:color="auto"/>
                <w:lang w:val="en-US" w:eastAsia="zh-CN"/>
              </w:rPr>
            </w:pPr>
            <w:r>
              <w:rPr>
                <w:rFonts w:hint="eastAsia"/>
                <w:color w:val="auto"/>
                <w:u w:val="none" w:color="auto"/>
                <w:lang w:val="en-US" w:eastAsia="zh-CN"/>
              </w:rPr>
              <w:t>250</w:t>
            </w:r>
          </w:p>
        </w:tc>
      </w:tr>
    </w:tbl>
    <w:p w14:paraId="1EDAF372">
      <w:pPr>
        <w:pStyle w:val="22"/>
        <w:bidi w:val="0"/>
        <w:rPr>
          <w:rFonts w:hint="eastAsia" w:eastAsia="宋体"/>
          <w:color w:val="auto"/>
          <w:u w:val="none" w:color="auto"/>
          <w:lang w:eastAsia="zh-CN"/>
        </w:rPr>
      </w:pPr>
      <w:r>
        <w:rPr>
          <w:rFonts w:hint="default"/>
          <w:color w:val="auto"/>
          <w:u w:val="none" w:color="auto"/>
          <w:lang w:val="en-US" w:eastAsia="zh-CN"/>
        </w:rPr>
        <w:t>表</w:t>
      </w:r>
      <w:r>
        <w:rPr>
          <w:rFonts w:hint="eastAsia"/>
          <w:color w:val="auto"/>
          <w:u w:val="none" w:color="auto"/>
          <w:lang w:val="en-US" w:eastAsia="zh-CN"/>
        </w:rPr>
        <w:t>6.2-17</w:t>
      </w:r>
      <w:r>
        <w:rPr>
          <w:rFonts w:hint="default"/>
          <w:color w:val="auto"/>
          <w:u w:val="none" w:color="auto"/>
        </w:rPr>
        <w:t xml:space="preserve"> 废水污染物排放信息表</w:t>
      </w:r>
      <w:r>
        <w:rPr>
          <w:rFonts w:hint="eastAsia"/>
          <w:color w:val="auto"/>
          <w:u w:val="none" w:color="auto"/>
          <w:lang w:eastAsia="zh-CN"/>
        </w:rPr>
        <w:t>（</w:t>
      </w:r>
      <w:r>
        <w:rPr>
          <w:rFonts w:hint="eastAsia"/>
          <w:color w:val="auto"/>
          <w:u w:val="none" w:color="auto"/>
          <w:lang w:val="en-US" w:eastAsia="zh-CN"/>
        </w:rPr>
        <w:t>排入外环境</w:t>
      </w:r>
      <w:r>
        <w:rPr>
          <w:rFonts w:hint="eastAsia"/>
          <w:color w:val="auto"/>
          <w:u w:val="none" w:color="auto"/>
          <w:lang w:eastAsia="zh-CN"/>
        </w:rPr>
        <w:t>）</w:t>
      </w:r>
    </w:p>
    <w:tbl>
      <w:tblPr>
        <w:tblStyle w:val="17"/>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240"/>
        <w:gridCol w:w="1237"/>
        <w:gridCol w:w="1953"/>
        <w:gridCol w:w="1731"/>
        <w:gridCol w:w="1717"/>
      </w:tblGrid>
      <w:tr w14:paraId="241A6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noWrap w:val="0"/>
            <w:vAlign w:val="center"/>
          </w:tcPr>
          <w:p w14:paraId="25B2BBDE">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序号</w:t>
            </w:r>
          </w:p>
        </w:tc>
        <w:tc>
          <w:tcPr>
            <w:tcW w:w="1240" w:type="dxa"/>
            <w:noWrap w:val="0"/>
            <w:vAlign w:val="center"/>
          </w:tcPr>
          <w:p w14:paraId="7F509286">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排放口编号</w:t>
            </w:r>
          </w:p>
        </w:tc>
        <w:tc>
          <w:tcPr>
            <w:tcW w:w="1237" w:type="dxa"/>
            <w:noWrap w:val="0"/>
            <w:vAlign w:val="center"/>
          </w:tcPr>
          <w:p w14:paraId="25A7A805">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污染物种类</w:t>
            </w:r>
          </w:p>
        </w:tc>
        <w:tc>
          <w:tcPr>
            <w:tcW w:w="1953" w:type="dxa"/>
            <w:noWrap w:val="0"/>
            <w:vAlign w:val="center"/>
          </w:tcPr>
          <w:p w14:paraId="641F490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排放浓度（mg/L）</w:t>
            </w:r>
          </w:p>
        </w:tc>
        <w:tc>
          <w:tcPr>
            <w:tcW w:w="1731" w:type="dxa"/>
            <w:noWrap w:val="0"/>
            <w:vAlign w:val="center"/>
          </w:tcPr>
          <w:p w14:paraId="7D9AAFBF">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日排放量（</w:t>
            </w:r>
            <w:r>
              <w:rPr>
                <w:rFonts w:hint="eastAsia" w:cs="Times New Roman"/>
                <w:color w:val="auto"/>
                <w:u w:val="none" w:color="auto"/>
                <w:lang w:val="en-US" w:eastAsia="zh-CN"/>
              </w:rPr>
              <w:t>kg</w:t>
            </w:r>
            <w:r>
              <w:rPr>
                <w:rFonts w:hint="default" w:ascii="Times New Roman" w:hAnsi="Times New Roman" w:cs="Times New Roman"/>
                <w:color w:val="auto"/>
                <w:u w:val="none" w:color="auto"/>
              </w:rPr>
              <w:t>/d）</w:t>
            </w:r>
          </w:p>
        </w:tc>
        <w:tc>
          <w:tcPr>
            <w:tcW w:w="1717" w:type="dxa"/>
            <w:noWrap w:val="0"/>
            <w:vAlign w:val="center"/>
          </w:tcPr>
          <w:p w14:paraId="5376D54E">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年排放量（t/a）</w:t>
            </w:r>
          </w:p>
        </w:tc>
      </w:tr>
      <w:tr w14:paraId="7340F4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restart"/>
            <w:noWrap w:val="0"/>
            <w:vAlign w:val="center"/>
          </w:tcPr>
          <w:p w14:paraId="1704CA30">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1240" w:type="dxa"/>
            <w:vMerge w:val="restart"/>
            <w:noWrap w:val="0"/>
            <w:vAlign w:val="center"/>
          </w:tcPr>
          <w:p w14:paraId="4B9EBB8F">
            <w:pPr>
              <w:pStyle w:val="24"/>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DW001</w:t>
            </w:r>
          </w:p>
        </w:tc>
        <w:tc>
          <w:tcPr>
            <w:tcW w:w="1237" w:type="dxa"/>
            <w:noWrap w:val="0"/>
            <w:vAlign w:val="center"/>
          </w:tcPr>
          <w:p w14:paraId="30F7BA4D">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废水量</w:t>
            </w:r>
          </w:p>
        </w:tc>
        <w:tc>
          <w:tcPr>
            <w:tcW w:w="5401" w:type="dxa"/>
            <w:gridSpan w:val="3"/>
            <w:noWrap w:val="0"/>
            <w:vAlign w:val="center"/>
          </w:tcPr>
          <w:p w14:paraId="01355BEF">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2088m</w:t>
            </w:r>
            <w:r>
              <w:rPr>
                <w:rFonts w:hint="eastAsia"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lang w:val="en-US" w:eastAsia="zh-CN"/>
              </w:rPr>
              <w:t>/a</w:t>
            </w:r>
          </w:p>
        </w:tc>
      </w:tr>
      <w:tr w14:paraId="76D945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dxa"/>
            <w:vMerge w:val="continue"/>
            <w:noWrap w:val="0"/>
            <w:vAlign w:val="center"/>
          </w:tcPr>
          <w:p w14:paraId="6BD9FD54">
            <w:pPr>
              <w:pStyle w:val="24"/>
              <w:bidi w:val="0"/>
              <w:rPr>
                <w:rFonts w:hint="default" w:ascii="Times New Roman" w:hAnsi="Times New Roman" w:cs="Times New Roman"/>
                <w:color w:val="auto"/>
                <w:u w:val="none" w:color="auto"/>
              </w:rPr>
            </w:pPr>
          </w:p>
        </w:tc>
        <w:tc>
          <w:tcPr>
            <w:tcW w:w="1240" w:type="dxa"/>
            <w:vMerge w:val="continue"/>
            <w:noWrap w:val="0"/>
            <w:vAlign w:val="center"/>
          </w:tcPr>
          <w:p w14:paraId="18371ECB">
            <w:pPr>
              <w:pStyle w:val="24"/>
              <w:bidi w:val="0"/>
              <w:rPr>
                <w:rFonts w:hint="default" w:ascii="Times New Roman" w:hAnsi="Times New Roman" w:cs="Times New Roman"/>
                <w:color w:val="auto"/>
                <w:u w:val="none" w:color="auto"/>
              </w:rPr>
            </w:pPr>
          </w:p>
        </w:tc>
        <w:tc>
          <w:tcPr>
            <w:tcW w:w="1237" w:type="dxa"/>
            <w:noWrap w:val="0"/>
            <w:vAlign w:val="center"/>
          </w:tcPr>
          <w:p w14:paraId="189F78BF">
            <w:pPr>
              <w:pStyle w:val="24"/>
              <w:bidi w:val="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COD</w:t>
            </w:r>
            <w:r>
              <w:rPr>
                <w:rFonts w:hint="default" w:ascii="Times New Roman" w:hAnsi="Times New Roman" w:cs="Times New Roman"/>
                <w:color w:val="auto"/>
                <w:u w:val="none" w:color="auto"/>
                <w:vertAlign w:val="subscript"/>
                <w:lang w:val="en-US"/>
              </w:rPr>
              <w:t>Cr</w:t>
            </w:r>
          </w:p>
        </w:tc>
        <w:tc>
          <w:tcPr>
            <w:tcW w:w="1953" w:type="dxa"/>
            <w:noWrap w:val="0"/>
            <w:vAlign w:val="center"/>
          </w:tcPr>
          <w:p w14:paraId="68E71E34">
            <w:pPr>
              <w:pStyle w:val="24"/>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30</w:t>
            </w:r>
          </w:p>
        </w:tc>
        <w:tc>
          <w:tcPr>
            <w:tcW w:w="1731" w:type="dxa"/>
            <w:noWrap w:val="0"/>
            <w:vAlign w:val="center"/>
          </w:tcPr>
          <w:p w14:paraId="4EF16304">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0.2088</w:t>
            </w:r>
          </w:p>
        </w:tc>
        <w:tc>
          <w:tcPr>
            <w:tcW w:w="1717" w:type="dxa"/>
            <w:noWrap w:val="0"/>
            <w:vAlign w:val="center"/>
          </w:tcPr>
          <w:p w14:paraId="665C9580">
            <w:pPr>
              <w:pStyle w:val="31"/>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0.06264</w:t>
            </w:r>
          </w:p>
        </w:tc>
      </w:tr>
      <w:tr w14:paraId="674740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continue"/>
            <w:noWrap w:val="0"/>
            <w:vAlign w:val="center"/>
          </w:tcPr>
          <w:p w14:paraId="2C7B7030">
            <w:pPr>
              <w:pStyle w:val="24"/>
              <w:bidi w:val="0"/>
              <w:rPr>
                <w:rFonts w:hint="default" w:ascii="Times New Roman" w:hAnsi="Times New Roman" w:cs="Times New Roman"/>
                <w:color w:val="auto"/>
                <w:u w:val="none" w:color="auto"/>
              </w:rPr>
            </w:pPr>
          </w:p>
        </w:tc>
        <w:tc>
          <w:tcPr>
            <w:tcW w:w="1240" w:type="dxa"/>
            <w:vMerge w:val="continue"/>
            <w:noWrap w:val="0"/>
            <w:vAlign w:val="center"/>
          </w:tcPr>
          <w:p w14:paraId="5559A092">
            <w:pPr>
              <w:pStyle w:val="24"/>
              <w:bidi w:val="0"/>
              <w:rPr>
                <w:rFonts w:hint="default" w:ascii="Times New Roman" w:hAnsi="Times New Roman" w:cs="Times New Roman"/>
                <w:color w:val="auto"/>
                <w:u w:val="none" w:color="auto"/>
              </w:rPr>
            </w:pPr>
          </w:p>
        </w:tc>
        <w:tc>
          <w:tcPr>
            <w:tcW w:w="1237" w:type="dxa"/>
            <w:noWrap w:val="0"/>
            <w:vAlign w:val="center"/>
          </w:tcPr>
          <w:p w14:paraId="408DD259">
            <w:pPr>
              <w:pStyle w:val="24"/>
              <w:bidi w:val="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BOD</w:t>
            </w:r>
            <w:r>
              <w:rPr>
                <w:rFonts w:hint="default" w:ascii="Times New Roman" w:hAnsi="Times New Roman" w:cs="Times New Roman"/>
                <w:color w:val="auto"/>
                <w:u w:val="none" w:color="auto"/>
                <w:vertAlign w:val="subscript"/>
                <w:lang w:val="en-US"/>
              </w:rPr>
              <w:t>5</w:t>
            </w:r>
          </w:p>
        </w:tc>
        <w:tc>
          <w:tcPr>
            <w:tcW w:w="1953" w:type="dxa"/>
            <w:noWrap w:val="0"/>
            <w:vAlign w:val="center"/>
          </w:tcPr>
          <w:p w14:paraId="2FDC4231">
            <w:pPr>
              <w:pStyle w:val="24"/>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10</w:t>
            </w:r>
          </w:p>
        </w:tc>
        <w:tc>
          <w:tcPr>
            <w:tcW w:w="1731" w:type="dxa"/>
            <w:noWrap w:val="0"/>
            <w:vAlign w:val="center"/>
          </w:tcPr>
          <w:p w14:paraId="04BC57B2">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0.0696</w:t>
            </w:r>
          </w:p>
        </w:tc>
        <w:tc>
          <w:tcPr>
            <w:tcW w:w="1717" w:type="dxa"/>
            <w:noWrap w:val="0"/>
            <w:vAlign w:val="center"/>
          </w:tcPr>
          <w:p w14:paraId="677D6A18">
            <w:pPr>
              <w:pStyle w:val="31"/>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0.02088</w:t>
            </w:r>
          </w:p>
        </w:tc>
      </w:tr>
      <w:tr w14:paraId="78AF0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continue"/>
            <w:noWrap w:val="0"/>
            <w:vAlign w:val="center"/>
          </w:tcPr>
          <w:p w14:paraId="655FDE5B">
            <w:pPr>
              <w:pStyle w:val="24"/>
              <w:bidi w:val="0"/>
              <w:rPr>
                <w:rFonts w:hint="default" w:ascii="Times New Roman" w:hAnsi="Times New Roman" w:cs="Times New Roman"/>
                <w:color w:val="auto"/>
                <w:u w:val="none" w:color="auto"/>
              </w:rPr>
            </w:pPr>
          </w:p>
        </w:tc>
        <w:tc>
          <w:tcPr>
            <w:tcW w:w="1240" w:type="dxa"/>
            <w:vMerge w:val="continue"/>
            <w:noWrap w:val="0"/>
            <w:vAlign w:val="center"/>
          </w:tcPr>
          <w:p w14:paraId="4754B52E">
            <w:pPr>
              <w:pStyle w:val="24"/>
              <w:bidi w:val="0"/>
              <w:rPr>
                <w:rFonts w:hint="default" w:ascii="Times New Roman" w:hAnsi="Times New Roman" w:cs="Times New Roman"/>
                <w:color w:val="auto"/>
                <w:u w:val="none" w:color="auto"/>
              </w:rPr>
            </w:pPr>
          </w:p>
        </w:tc>
        <w:tc>
          <w:tcPr>
            <w:tcW w:w="1237" w:type="dxa"/>
            <w:noWrap w:val="0"/>
            <w:vAlign w:val="center"/>
          </w:tcPr>
          <w:p w14:paraId="5BFE31DA">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氨氮</w:t>
            </w:r>
          </w:p>
        </w:tc>
        <w:tc>
          <w:tcPr>
            <w:tcW w:w="1953" w:type="dxa"/>
            <w:noWrap w:val="0"/>
            <w:vAlign w:val="center"/>
          </w:tcPr>
          <w:p w14:paraId="67D3C440">
            <w:pPr>
              <w:pStyle w:val="24"/>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1.5（3）</w:t>
            </w:r>
          </w:p>
        </w:tc>
        <w:tc>
          <w:tcPr>
            <w:tcW w:w="1731" w:type="dxa"/>
            <w:noWrap w:val="0"/>
            <w:vAlign w:val="center"/>
          </w:tcPr>
          <w:p w14:paraId="4E361D1C">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0.0209</w:t>
            </w:r>
          </w:p>
        </w:tc>
        <w:tc>
          <w:tcPr>
            <w:tcW w:w="1717" w:type="dxa"/>
            <w:noWrap w:val="0"/>
            <w:vAlign w:val="center"/>
          </w:tcPr>
          <w:p w14:paraId="1EF17ADA">
            <w:pPr>
              <w:pStyle w:val="31"/>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0.00626</w:t>
            </w:r>
          </w:p>
        </w:tc>
      </w:tr>
      <w:tr w14:paraId="2CF93A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26" w:type="dxa"/>
            <w:vMerge w:val="continue"/>
            <w:noWrap w:val="0"/>
            <w:vAlign w:val="center"/>
          </w:tcPr>
          <w:p w14:paraId="171E83B3">
            <w:pPr>
              <w:pStyle w:val="24"/>
              <w:bidi w:val="0"/>
              <w:rPr>
                <w:rFonts w:hint="default" w:ascii="Times New Roman" w:hAnsi="Times New Roman" w:cs="Times New Roman"/>
                <w:color w:val="auto"/>
                <w:u w:val="none" w:color="auto"/>
              </w:rPr>
            </w:pPr>
          </w:p>
        </w:tc>
        <w:tc>
          <w:tcPr>
            <w:tcW w:w="1240" w:type="dxa"/>
            <w:vMerge w:val="continue"/>
            <w:noWrap w:val="0"/>
            <w:vAlign w:val="center"/>
          </w:tcPr>
          <w:p w14:paraId="1AF2E3A2">
            <w:pPr>
              <w:pStyle w:val="24"/>
              <w:bidi w:val="0"/>
              <w:rPr>
                <w:rFonts w:hint="default" w:ascii="Times New Roman" w:hAnsi="Times New Roman" w:cs="Times New Roman"/>
                <w:color w:val="auto"/>
                <w:u w:val="none" w:color="auto"/>
              </w:rPr>
            </w:pPr>
          </w:p>
        </w:tc>
        <w:tc>
          <w:tcPr>
            <w:tcW w:w="1237" w:type="dxa"/>
            <w:noWrap w:val="0"/>
            <w:vAlign w:val="center"/>
          </w:tcPr>
          <w:p w14:paraId="63DCE739">
            <w:pPr>
              <w:pStyle w:val="24"/>
              <w:bidi w:val="0"/>
              <w:rPr>
                <w:rFonts w:hint="default" w:ascii="Times New Roman" w:hAnsi="Times New Roman" w:cs="Times New Roman"/>
                <w:color w:val="auto"/>
                <w:u w:val="none" w:color="auto"/>
                <w:lang w:val="en-US"/>
              </w:rPr>
            </w:pPr>
            <w:r>
              <w:rPr>
                <w:rFonts w:hint="default" w:ascii="Times New Roman" w:hAnsi="Times New Roman" w:cs="Times New Roman"/>
                <w:color w:val="auto"/>
                <w:u w:val="none" w:color="auto"/>
                <w:lang w:val="en-US"/>
              </w:rPr>
              <w:t>SS</w:t>
            </w:r>
          </w:p>
        </w:tc>
        <w:tc>
          <w:tcPr>
            <w:tcW w:w="1953" w:type="dxa"/>
            <w:noWrap w:val="0"/>
            <w:vAlign w:val="center"/>
          </w:tcPr>
          <w:p w14:paraId="3A8EF60C">
            <w:pPr>
              <w:pStyle w:val="24"/>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10</w:t>
            </w:r>
          </w:p>
        </w:tc>
        <w:tc>
          <w:tcPr>
            <w:tcW w:w="1731" w:type="dxa"/>
            <w:noWrap w:val="0"/>
            <w:vAlign w:val="center"/>
          </w:tcPr>
          <w:p w14:paraId="317A516F">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0.0696</w:t>
            </w:r>
          </w:p>
        </w:tc>
        <w:tc>
          <w:tcPr>
            <w:tcW w:w="1717" w:type="dxa"/>
            <w:noWrap w:val="0"/>
            <w:vAlign w:val="center"/>
          </w:tcPr>
          <w:p w14:paraId="3DCE1958">
            <w:pPr>
              <w:pStyle w:val="31"/>
              <w:bidi w:val="0"/>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0.02088</w:t>
            </w:r>
          </w:p>
        </w:tc>
      </w:tr>
      <w:tr w14:paraId="43862C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04" w:type="dxa"/>
            <w:gridSpan w:val="6"/>
            <w:noWrap w:val="0"/>
            <w:vAlign w:val="center"/>
          </w:tcPr>
          <w:p w14:paraId="6B55215D">
            <w:pPr>
              <w:pStyle w:val="31"/>
              <w:bidi w:val="0"/>
              <w:rPr>
                <w:rFonts w:hint="eastAsia" w:cs="Times New Roman"/>
                <w:color w:val="auto"/>
                <w:u w:val="none" w:color="auto"/>
                <w:lang w:val="en-US" w:eastAsia="zh-CN"/>
              </w:rPr>
            </w:pPr>
            <w:r>
              <w:rPr>
                <w:rFonts w:hint="eastAsia"/>
                <w:color w:val="auto"/>
                <w:u w:val="none" w:color="auto"/>
              </w:rPr>
              <w:t>污染物排入外环境量以湖南汨罗高新技术产业开发区（循环园区）污水处理厂排水浓度进行计算，即《城镇污水处理厂污染物排放标准》（GB18918-2002）一级A标准（其中化学需氧量、氨氮、总氮、总磷执行《湖南省城镇污水处理厂主要水污染物排放标准》（DB43/T1546-2018）一级标准。</w:t>
            </w:r>
          </w:p>
        </w:tc>
      </w:tr>
    </w:tbl>
    <w:p w14:paraId="29EE086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综上所述，项目</w:t>
      </w:r>
      <w:r>
        <w:rPr>
          <w:rFonts w:hint="eastAsia" w:ascii="Times New Roman" w:hAnsi="Times New Roman" w:cs="Times New Roman"/>
          <w:color w:val="auto"/>
          <w:u w:val="none" w:color="auto"/>
          <w:lang w:val="en-US" w:eastAsia="zh-CN"/>
        </w:rPr>
        <w:t>废水</w:t>
      </w:r>
      <w:r>
        <w:rPr>
          <w:rFonts w:hint="default" w:ascii="Times New Roman" w:hAnsi="Times New Roman" w:cs="Times New Roman"/>
          <w:color w:val="auto"/>
          <w:u w:val="none" w:color="auto"/>
        </w:rPr>
        <w:t>经过上述措施处理后，可实现达标排放，同时对周围水体环境影响很小。</w:t>
      </w:r>
    </w:p>
    <w:p w14:paraId="6A8AA639">
      <w:pPr>
        <w:pStyle w:val="4"/>
        <w:rPr>
          <w:rFonts w:hint="eastAsia" w:ascii="Times New Roman" w:hAnsi="Times New Roman" w:eastAsia="宋体" w:cs="Times New Roman"/>
          <w:color w:val="auto"/>
          <w:u w:val="none" w:color="auto"/>
          <w:lang w:val="en-US" w:eastAsia="zh-CN"/>
        </w:rPr>
      </w:pPr>
      <w:bookmarkStart w:id="1062" w:name="_Toc6349"/>
      <w:bookmarkStart w:id="1063" w:name="_Toc27767"/>
      <w:bookmarkStart w:id="1064" w:name="_Toc27812"/>
      <w:bookmarkStart w:id="1065" w:name="_Toc27968"/>
      <w:bookmarkStart w:id="1066" w:name="_Toc12257"/>
      <w:bookmarkStart w:id="1067" w:name="_Toc23727"/>
      <w:bookmarkStart w:id="1068" w:name="_Toc5609"/>
      <w:bookmarkStart w:id="1069" w:name="_Toc7802"/>
      <w:bookmarkStart w:id="1070" w:name="_Toc11925"/>
      <w:bookmarkStart w:id="1071" w:name="_Toc17324"/>
      <w:bookmarkStart w:id="1072" w:name="_Toc29171"/>
      <w:bookmarkStart w:id="1073" w:name="_Toc10920"/>
      <w:bookmarkStart w:id="1074" w:name="_Toc28369"/>
      <w:bookmarkStart w:id="1075" w:name="_Toc10238"/>
      <w:bookmarkStart w:id="1076" w:name="_Toc15725"/>
      <w:bookmarkStart w:id="1077" w:name="_Toc3859"/>
      <w:bookmarkStart w:id="1078" w:name="_Toc20281"/>
      <w:bookmarkStart w:id="1079" w:name="_Toc3290"/>
      <w:bookmarkStart w:id="1080" w:name="_Toc25376"/>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.3地下水环境影响</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Pr>
          <w:rFonts w:hint="eastAsia" w:cs="Times New Roman"/>
          <w:color w:val="auto"/>
          <w:u w:val="none" w:color="auto"/>
          <w:lang w:val="en-US" w:eastAsia="zh-CN"/>
        </w:rPr>
        <w:t>分析</w:t>
      </w:r>
      <w:bookmarkEnd w:id="1078"/>
      <w:bookmarkEnd w:id="1079"/>
      <w:bookmarkEnd w:id="1080"/>
    </w:p>
    <w:p w14:paraId="5AB85E2F">
      <w:pPr>
        <w:pStyle w:val="20"/>
        <w:ind w:firstLine="480"/>
        <w:rPr>
          <w:rFonts w:hint="default" w:ascii="Times New Roman" w:hAnsi="Times New Roman" w:cs="Times New Roman"/>
          <w:color w:val="auto"/>
          <w:u w:val="none" w:color="auto"/>
        </w:rPr>
      </w:pPr>
      <w:bookmarkStart w:id="1081" w:name="_Toc29604"/>
      <w:bookmarkStart w:id="1082" w:name="_Toc24677"/>
      <w:bookmarkStart w:id="1083" w:name="_Toc24722"/>
      <w:bookmarkStart w:id="1084" w:name="_Toc26764"/>
      <w:bookmarkStart w:id="1085" w:name="_Toc14780"/>
      <w:bookmarkStart w:id="1086" w:name="_Toc25417"/>
      <w:bookmarkStart w:id="1087" w:name="_Toc9565"/>
      <w:r>
        <w:rPr>
          <w:rFonts w:hint="default" w:ascii="Times New Roman" w:hAnsi="Times New Roman" w:cs="Times New Roman"/>
          <w:color w:val="auto"/>
          <w:u w:val="none" w:color="auto"/>
        </w:rPr>
        <w:t>本项目属于本项目属于“第116项塑料制品制造-</w:t>
      </w:r>
      <w:r>
        <w:rPr>
          <w:rFonts w:hint="eastAsia" w:ascii="Times New Roman" w:hAnsi="Times New Roman" w:cs="Times New Roman"/>
          <w:color w:val="auto"/>
          <w:u w:val="none" w:color="auto"/>
          <w:lang w:val="en-US" w:eastAsia="zh-CN"/>
        </w:rPr>
        <w:t>其他</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属于</w:t>
      </w:r>
      <w:r>
        <w:rPr>
          <w:rFonts w:hint="default" w:ascii="Times New Roman" w:hAnsi="Times New Roman" w:eastAsia="宋体" w:cs="Times New Roman"/>
          <w:color w:val="auto"/>
          <w:u w:val="none" w:color="auto"/>
        </w:rPr>
        <w:t>Ⅱ</w:t>
      </w:r>
      <w:r>
        <w:rPr>
          <w:rFonts w:hint="default" w:ascii="Times New Roman" w:hAnsi="Times New Roman" w:cs="Times New Roman"/>
          <w:color w:val="auto"/>
          <w:u w:val="none" w:color="auto"/>
        </w:rPr>
        <w:t>类项目地下水环境影响评价项目类别；本项目位于</w:t>
      </w:r>
      <w:r>
        <w:rPr>
          <w:rFonts w:hint="eastAsia"/>
          <w:color w:val="auto"/>
          <w:u w:val="none" w:color="auto"/>
          <w:lang w:val="en-US" w:eastAsia="zh-CN"/>
        </w:rPr>
        <w:t>湖南省岳阳市汨罗市汨罗高新技术产业开发区新市片区西片区龙舟路东侧合心路北侧</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生产</w:t>
      </w:r>
      <w:r>
        <w:rPr>
          <w:rFonts w:hint="default" w:ascii="Times New Roman" w:hAnsi="Times New Roman" w:cs="Times New Roman"/>
          <w:color w:val="auto"/>
          <w:u w:val="none" w:color="auto"/>
        </w:rPr>
        <w:t>生活用水</w:t>
      </w:r>
      <w:r>
        <w:rPr>
          <w:rFonts w:hint="eastAsia" w:ascii="Times New Roman" w:hAnsi="Times New Roman" w:cs="Times New Roman"/>
          <w:color w:val="auto"/>
          <w:u w:val="none" w:color="auto"/>
          <w:lang w:val="en-US" w:eastAsia="zh-CN"/>
        </w:rPr>
        <w:t>由自来水管网供给</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项目区域地下水环境敏感程度为</w:t>
      </w:r>
      <w:r>
        <w:rPr>
          <w:rFonts w:hint="eastAsia" w:ascii="Times New Roman" w:hAnsi="Times New Roman" w:cs="Times New Roman"/>
          <w:color w:val="auto"/>
          <w:u w:val="none" w:color="auto"/>
          <w:lang w:val="en-US" w:eastAsia="zh-CN"/>
        </w:rPr>
        <w:t>不</w:t>
      </w:r>
      <w:r>
        <w:rPr>
          <w:rFonts w:hint="default" w:ascii="Times New Roman" w:hAnsi="Times New Roman" w:cs="Times New Roman"/>
          <w:color w:val="auto"/>
          <w:u w:val="none" w:color="auto"/>
        </w:rPr>
        <w:t>敏感。因此确定地下水环境影响评价等级为</w:t>
      </w:r>
      <w:r>
        <w:rPr>
          <w:rFonts w:hint="eastAsia" w:ascii="Times New Roman" w:hAnsi="Times New Roman" w:cs="Times New Roman"/>
          <w:color w:val="auto"/>
          <w:u w:val="none" w:color="auto"/>
          <w:lang w:val="en-US" w:eastAsia="zh-CN"/>
        </w:rPr>
        <w:t>三</w:t>
      </w:r>
      <w:r>
        <w:rPr>
          <w:rFonts w:hint="default" w:ascii="Times New Roman" w:hAnsi="Times New Roman" w:cs="Times New Roman"/>
          <w:color w:val="auto"/>
          <w:u w:val="none" w:color="auto"/>
        </w:rPr>
        <w:t>级评价。</w:t>
      </w:r>
    </w:p>
    <w:p w14:paraId="5A091A88">
      <w:pPr>
        <w:pStyle w:val="20"/>
        <w:ind w:firstLine="480"/>
        <w:outlineLvl w:val="9"/>
        <w:rPr>
          <w:rFonts w:hint="default" w:ascii="Times New Roman" w:hAnsi="Times New Roman" w:cs="Times New Roman"/>
          <w:color w:val="auto"/>
          <w:u w:val="none" w:color="auto"/>
        </w:rPr>
      </w:pPr>
      <w:bookmarkStart w:id="1088" w:name="_Toc7389"/>
      <w:bookmarkStart w:id="1089" w:name="_Toc302936702"/>
      <w:bookmarkStart w:id="1090" w:name="_Toc26170"/>
      <w:bookmarkStart w:id="1091" w:name="_Toc32406"/>
      <w:bookmarkStart w:id="1092" w:name="_Toc14003"/>
      <w:bookmarkStart w:id="1093" w:name="_Toc8394"/>
      <w:bookmarkStart w:id="1094" w:name="_Toc17191"/>
      <w:r>
        <w:rPr>
          <w:rFonts w:hint="default" w:ascii="Times New Roman" w:hAnsi="Times New Roman" w:cs="Times New Roman"/>
          <w:color w:val="auto"/>
          <w:u w:val="none" w:color="auto"/>
        </w:rPr>
        <w:t>1、区域水文地质基本情况</w:t>
      </w:r>
      <w:bookmarkEnd w:id="1088"/>
      <w:bookmarkEnd w:id="1089"/>
    </w:p>
    <w:p w14:paraId="0CE775E8">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（1）场区岩土层结构</w:t>
      </w:r>
    </w:p>
    <w:p w14:paraId="210BE78C">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区域内主要出露的地层有新生界第四系和上元古界冷家溪群。其成因有冲积、冲积—湖积、冰碛、洪积和残积等。地层从新到老、自上而下叙述如下：</w:t>
      </w:r>
    </w:p>
    <w:p w14:paraId="4629DC96">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第四系（Q）：可分为下更新统汨罗组、中更新统白沙组、上更新统和全更新统。统组间均呈不整合接触关系，第四系不整合覆盖于基岩之上，主要岩性为粉砂质粘土、粘土、亚粘土、砂质层、砾石层、花岗质砂层及粘土层，部分胶结紧密。</w:t>
      </w:r>
    </w:p>
    <w:p w14:paraId="17CC56FB">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冷家溪群组（Ptln）：可分为五个岩组、八个岩性段。与上覆岩层均呈不整合接触，下界未露，中部地区多为残积层覆盖。岩性主要为灰色、青灰色粉砂质或砂质板岩，部分为绿色粉砂质千枚状板岩，绢云母板岩、变质砂岩等，全厚大于24431m。</w:t>
      </w:r>
    </w:p>
    <w:p w14:paraId="059E9178">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（2）构造</w:t>
      </w:r>
    </w:p>
    <w:p w14:paraId="00B5A2A7">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调查区位于汨罗~湘阴断陷盆地中南部，呈东北向展布的狭长断陷盆地。以南沉积了第四系和冷家群组，岩层走向多为北东，倾向东南，倾角5~10度。由北往南，出现粉质砂岩。中更新统白沙井组底部不整合于下更新统汨罗组之上，或不整合于冷家溪群</w:t>
      </w:r>
      <w:r>
        <w:rPr>
          <w:rFonts w:hint="eastAsia" w:ascii="宋体" w:hAnsi="宋体" w:eastAsia="宋体" w:cs="宋体"/>
          <w:color w:val="auto"/>
          <w:u w:val="none" w:color="auto"/>
        </w:rPr>
        <w:t>或“红层”之</w:t>
      </w:r>
      <w:r>
        <w:rPr>
          <w:rFonts w:hint="default" w:ascii="Times New Roman" w:hAnsi="Times New Roman" w:cs="Times New Roman"/>
          <w:color w:val="auto"/>
          <w:u w:val="none" w:color="auto"/>
        </w:rPr>
        <w:t>上。冷家溪群组与晚白垩系地层呈角度不整合接触，与东部早第三纪呈断层接触。</w:t>
      </w:r>
    </w:p>
    <w:p w14:paraId="03BE9C35">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（3）地下水类型及其富水性</w:t>
      </w:r>
    </w:p>
    <w:p w14:paraId="36269703">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调查区内的地层主要有第四系和冷家溪群砾岩、砂岩，因此根据区域地层岩性、地形地貌和地下水分布特征划分为松散堆积层孔隙水、基岩裂隙水（包括浅变质岩裂隙水和岩浆岩风化裂隙水），分述如下：</w:t>
      </w:r>
    </w:p>
    <w:p w14:paraId="1BD2785A">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松散堆积层孔隙水：由第四系中更新统和上更新统的粉质黏土及卵石组成，结构松散，渗透性强，接受地表水入渗直接补给，为良好含水地层。据平江幅1:20万区域水文地质资料，水位埋深0~7.06m，单井涌水量160~435t/d，属于中等富水性。矿化度小于0.264g/L，水化学类型为重碳酸钙镁或重碳酸钙型水，局部氯离子含量较高，pH值5.4~7.66。</w:t>
      </w:r>
    </w:p>
    <w:p w14:paraId="78779C75">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浅变质岩裂隙水：岩性为上古元界冷家溪群第四岩组第一段变质细砂岩、砂质板岩、粉砂质千枚板岩等。含贫乏裂隙水，泉流量一般0.014~0.089 L/s，地下径流模数0.8872L/s·km</w:t>
      </w:r>
      <w:r>
        <w:rPr>
          <w:rFonts w:hint="default" w:ascii="Times New Roman" w:hAnsi="Times New Roman" w:cs="Times New Roman"/>
          <w:color w:val="auto"/>
          <w:u w:val="none" w:color="auto"/>
          <w:vertAlign w:val="superscript"/>
        </w:rPr>
        <w:t>2</w:t>
      </w:r>
      <w:r>
        <w:rPr>
          <w:rFonts w:hint="default" w:ascii="Times New Roman" w:hAnsi="Times New Roman" w:cs="Times New Roman"/>
          <w:color w:val="auto"/>
          <w:u w:val="none" w:color="auto"/>
        </w:rPr>
        <w:t>。水化学类型为重碳酸钠镁型，局部氯离子含量较高，pH值6.5~6.9，矿化度小于0.138g/L。</w:t>
      </w:r>
    </w:p>
    <w:p w14:paraId="0E5BB522">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岩浆岩风化裂隙水：中等裂隙水，单井涌水量为138.66~209.09m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/d，泉水流量常见值为0.118~0.822L/s，地下水径流模数为2.427升/秒·平方公里。</w:t>
      </w:r>
    </w:p>
    <w:p w14:paraId="3DE636DE">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 xml:space="preserve">（4）地下水的补给、迳流、排泄及其转化关系 </w:t>
      </w:r>
    </w:p>
    <w:p w14:paraId="5926BBBC">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区域气候温和，潮湿多雨；水系发育好；地形起伏较显著，地势从东向西逐渐下降等因素，促使本区的补给、径流、排泄条件较佳。根据平江幅1:20万区域水文地质资料，可知第四系孔隙潜水直接接受大气降水和边界外补给；在没有大规模引用河水进行农灌的情况下，径流量的大量消失表明河水补给第四系松散堆积层孔隙水。汨罗区地下水径流途径较长，水力坡度较小，水交替缓慢，浅层地下水与地表水常呈互补关系。基岩裂隙水的径流途径短，水力坡度大，具有强烈交换的特征。地下水常以下降泉形式排泄于河沟与洼地，补给地表水。</w:t>
      </w:r>
    </w:p>
    <w:p w14:paraId="35ABC9B3">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项目位于汨罗高新技术产业开发区新市片区</w:t>
      </w:r>
      <w:r>
        <w:rPr>
          <w:rFonts w:hint="eastAsia" w:ascii="Times New Roman" w:hAnsi="Times New Roman" w:cs="Times New Roman"/>
          <w:color w:val="auto"/>
          <w:u w:val="none" w:color="auto"/>
          <w:lang w:val="en-US" w:eastAsia="zh-CN"/>
        </w:rPr>
        <w:t>西</w:t>
      </w:r>
      <w:r>
        <w:rPr>
          <w:rFonts w:hint="default" w:ascii="Times New Roman" w:hAnsi="Times New Roman" w:cs="Times New Roman"/>
          <w:color w:val="auto"/>
          <w:u w:val="none" w:color="auto"/>
        </w:rPr>
        <w:t>片区，新市片区</w:t>
      </w:r>
      <w:r>
        <w:rPr>
          <w:rFonts w:hint="eastAsia" w:ascii="Times New Roman" w:hAnsi="Times New Roman" w:cs="Times New Roman"/>
          <w:color w:val="auto"/>
          <w:u w:val="none" w:color="auto"/>
          <w:lang w:val="en-US" w:eastAsia="zh-CN"/>
        </w:rPr>
        <w:t>西</w:t>
      </w:r>
      <w:r>
        <w:rPr>
          <w:rFonts w:hint="default" w:ascii="Times New Roman" w:hAnsi="Times New Roman" w:cs="Times New Roman"/>
          <w:color w:val="auto"/>
          <w:u w:val="none" w:color="auto"/>
        </w:rPr>
        <w:t>片区地下水补给主要靠大气降水渗入地下补给，地下水径流（流场）方向与地形基本一致，由南向北侧，由东向西径流，排泄方式主要为蒸发排泄、向汨罗江排泄等。</w:t>
      </w:r>
    </w:p>
    <w:p w14:paraId="5C5FD290">
      <w:pPr>
        <w:pStyle w:val="20"/>
        <w:ind w:firstLine="480"/>
        <w:outlineLvl w:val="9"/>
        <w:rPr>
          <w:rFonts w:hint="default" w:ascii="Times New Roman" w:hAnsi="Times New Roman" w:cs="Times New Roman"/>
          <w:color w:val="auto"/>
          <w:u w:val="none" w:color="auto"/>
        </w:rPr>
      </w:pPr>
      <w:bookmarkStart w:id="1095" w:name="_Toc16208"/>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污染途径</w:t>
      </w:r>
      <w:bookmarkEnd w:id="1095"/>
    </w:p>
    <w:p w14:paraId="3077C884">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地下水污染源类型</w:t>
      </w:r>
    </w:p>
    <w:p w14:paraId="54A597D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污染物从污染源进入地下水所经过路径称为地下水污染途径，地下水污染途径是多种多样的。根据工程所处区域的地质情况，拟建项目可能对下水造成污染的途径主要有：排污管线、化粪池、</w:t>
      </w:r>
      <w:r>
        <w:rPr>
          <w:rFonts w:hint="default" w:ascii="Times New Roman" w:hAnsi="Times New Roman" w:cs="Times New Roman"/>
          <w:color w:val="auto"/>
          <w:u w:val="none" w:color="auto"/>
          <w:lang w:eastAsia="zh-CN"/>
        </w:rPr>
        <w:t>循环</w:t>
      </w:r>
      <w:r>
        <w:rPr>
          <w:rFonts w:hint="eastAsia" w:ascii="Times New Roman" w:hAnsi="Times New Roman" w:cs="Times New Roman"/>
          <w:color w:val="auto"/>
          <w:u w:val="none" w:color="auto"/>
          <w:lang w:val="en-US" w:eastAsia="zh-CN"/>
        </w:rPr>
        <w:t>水</w:t>
      </w:r>
      <w:r>
        <w:rPr>
          <w:rFonts w:hint="default" w:ascii="Times New Roman" w:hAnsi="Times New Roman" w:cs="Times New Roman"/>
          <w:color w:val="auto"/>
          <w:u w:val="none" w:color="auto"/>
          <w:lang w:eastAsia="zh-CN"/>
        </w:rPr>
        <w:t>池</w:t>
      </w:r>
      <w:r>
        <w:rPr>
          <w:rFonts w:hint="default" w:ascii="Times New Roman" w:hAnsi="Times New Roman" w:cs="Times New Roman"/>
          <w:color w:val="auto"/>
          <w:u w:val="none" w:color="auto"/>
        </w:rPr>
        <w:t>等污水下渗对地下水造成的污染。</w:t>
      </w:r>
    </w:p>
    <w:p w14:paraId="1B79C178">
      <w:pPr>
        <w:pStyle w:val="20"/>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1</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地下水污染源源强分析</w:t>
      </w:r>
    </w:p>
    <w:p w14:paraId="23FBBF25">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本项目可能对地下水的影响为废水的事故泄漏和危废暂存区的污染下渗。在采取收集、防渗等措施后废水对地下水产生的影响极小，可忽略；对危废暂存</w:t>
      </w:r>
      <w:r>
        <w:rPr>
          <w:rFonts w:hint="eastAsia" w:ascii="Times New Roman" w:hAnsi="Times New Roman" w:cs="Times New Roman"/>
          <w:color w:val="auto"/>
          <w:u w:val="none" w:color="auto"/>
          <w:lang w:val="en-US" w:eastAsia="zh-CN"/>
        </w:rPr>
        <w:t>间</w:t>
      </w:r>
      <w:r>
        <w:rPr>
          <w:rFonts w:hint="default" w:ascii="Times New Roman" w:hAnsi="Times New Roman" w:cs="Times New Roman"/>
          <w:color w:val="auto"/>
          <w:u w:val="none" w:color="auto"/>
        </w:rPr>
        <w:t>按《危险废物贮存污染控制标准》（GB18597</w:t>
      </w:r>
      <w:r>
        <w:rPr>
          <w:rFonts w:hint="eastAsia" w:ascii="Times New Roman" w:hAnsi="Times New Roman" w:cs="Times New Roman"/>
          <w:color w:val="auto"/>
          <w:u w:val="none" w:color="auto"/>
          <w:lang w:val="en-US" w:eastAsia="zh-CN"/>
        </w:rPr>
        <w:t>-2023</w:t>
      </w:r>
      <w:r>
        <w:rPr>
          <w:rFonts w:hint="default" w:ascii="Times New Roman" w:hAnsi="Times New Roman" w:cs="Times New Roman"/>
          <w:color w:val="auto"/>
          <w:u w:val="none" w:color="auto"/>
        </w:rPr>
        <w:t>）的要求，作好基础防渗改造后，使防渗层渗透系数≤10</w:t>
      </w:r>
      <w:r>
        <w:rPr>
          <w:rFonts w:hint="default" w:ascii="Times New Roman" w:hAnsi="Times New Roman" w:cs="Times New Roman"/>
          <w:color w:val="auto"/>
          <w:u w:val="none" w:color="auto"/>
          <w:vertAlign w:val="superscript"/>
        </w:rPr>
        <w:t>-10</w:t>
      </w:r>
      <w:r>
        <w:rPr>
          <w:rFonts w:hint="default" w:ascii="Times New Roman" w:hAnsi="Times New Roman" w:cs="Times New Roman"/>
          <w:color w:val="auto"/>
          <w:u w:val="none" w:color="auto"/>
        </w:rPr>
        <w:t>cm/s，同时在危废暂存</w:t>
      </w:r>
      <w:r>
        <w:rPr>
          <w:rFonts w:hint="eastAsia" w:ascii="Times New Roman" w:hAnsi="Times New Roman" w:cs="Times New Roman"/>
          <w:color w:val="auto"/>
          <w:u w:val="none" w:color="auto"/>
          <w:lang w:val="en-US" w:eastAsia="zh-CN"/>
        </w:rPr>
        <w:t>间</w:t>
      </w:r>
      <w:r>
        <w:rPr>
          <w:rFonts w:hint="default" w:ascii="Times New Roman" w:hAnsi="Times New Roman" w:cs="Times New Roman"/>
          <w:color w:val="auto"/>
          <w:u w:val="none" w:color="auto"/>
        </w:rPr>
        <w:t>四周设堵截泄露的裙脚；</w:t>
      </w:r>
      <w:r>
        <w:rPr>
          <w:rFonts w:hint="eastAsia" w:ascii="Times New Roman" w:hAnsi="Times New Roman" w:cs="Times New Roman"/>
          <w:color w:val="auto"/>
          <w:u w:val="none" w:color="auto"/>
          <w:lang w:val="en-US" w:eastAsia="zh-CN"/>
        </w:rPr>
        <w:t>循环水池</w:t>
      </w:r>
      <w:r>
        <w:rPr>
          <w:rFonts w:hint="default" w:ascii="Times New Roman" w:hAnsi="Times New Roman" w:cs="Times New Roman"/>
          <w:color w:val="auto"/>
          <w:u w:val="none" w:color="auto"/>
        </w:rPr>
        <w:t>四周壁用砖砌再用水泥硬化防渗，通过上述措施可有效避免项目危险废物及废水对地下水的污染。</w:t>
      </w:r>
    </w:p>
    <w:p w14:paraId="789C66D5">
      <w:pPr>
        <w:pStyle w:val="20"/>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污染途径分析</w:t>
      </w:r>
    </w:p>
    <w:p w14:paraId="3D0C87F1">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本项目事故泄漏的废水及危废暂存</w:t>
      </w:r>
      <w:r>
        <w:rPr>
          <w:rFonts w:hint="eastAsia" w:ascii="Times New Roman" w:hAnsi="Times New Roman" w:cs="Times New Roman"/>
          <w:color w:val="auto"/>
          <w:u w:val="none" w:color="auto"/>
          <w:lang w:val="en-US" w:eastAsia="zh-CN"/>
        </w:rPr>
        <w:t>间</w:t>
      </w:r>
      <w:r>
        <w:rPr>
          <w:rFonts w:hint="default" w:ascii="Times New Roman" w:hAnsi="Times New Roman" w:cs="Times New Roman"/>
          <w:color w:val="auto"/>
          <w:u w:val="none" w:color="auto"/>
        </w:rPr>
        <w:t>的污染下渗造成影响的途径是通过包气带渗透到潜水含水层而污染地下水的。包气带厚度愈薄，透水性愈好，就愈易造成潜水污染，反之，包气带愈厚、透水性愈差，则其隔污能力就愈强，则潜水层污染的可能性就小。</w:t>
      </w:r>
    </w:p>
    <w:p w14:paraId="0169E220">
      <w:pPr>
        <w:pStyle w:val="20"/>
        <w:ind w:firstLine="480"/>
        <w:outlineLvl w:val="9"/>
        <w:rPr>
          <w:rFonts w:hint="default" w:ascii="Times New Roman" w:hAnsi="Times New Roman" w:cs="Times New Roman"/>
          <w:color w:val="auto"/>
          <w:u w:val="none" w:color="auto"/>
        </w:rPr>
      </w:pPr>
      <w:bookmarkStart w:id="1096" w:name="_Toc22804"/>
      <w:r>
        <w:rPr>
          <w:rFonts w:hint="default"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影响分析</w:t>
      </w:r>
      <w:bookmarkEnd w:id="1096"/>
    </w:p>
    <w:p w14:paraId="36823263">
      <w:pPr>
        <w:pStyle w:val="20"/>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项目地下水评价等级为三级，</w:t>
      </w:r>
      <w:r>
        <w:rPr>
          <w:rFonts w:hint="eastAsia" w:ascii="Times New Roman" w:hAnsi="Times New Roman" w:cs="Times New Roman"/>
          <w:color w:val="auto"/>
          <w:u w:val="none" w:color="auto"/>
          <w:lang w:val="en-US" w:eastAsia="zh-CN"/>
        </w:rPr>
        <w:t>根据</w:t>
      </w:r>
      <w:r>
        <w:rPr>
          <w:rFonts w:hint="default" w:ascii="Times New Roman" w:hAnsi="Times New Roman" w:cs="Times New Roman"/>
          <w:color w:val="auto"/>
          <w:u w:val="none" w:color="auto"/>
        </w:rPr>
        <w:t>《环境影响评价技术导则地下水环境》（HJ610-2016）</w:t>
      </w:r>
      <w:r>
        <w:rPr>
          <w:rFonts w:hint="eastAsia" w:ascii="Times New Roman" w:hAnsi="Times New Roman" w:cs="Times New Roman"/>
          <w:color w:val="auto"/>
          <w:u w:val="none" w:color="auto"/>
          <w:lang w:val="en-US" w:eastAsia="zh-CN"/>
        </w:rPr>
        <w:t>9.7.1“</w:t>
      </w:r>
      <w:r>
        <w:rPr>
          <w:rFonts w:hint="default" w:ascii="Times New Roman" w:hAnsi="Times New Roman" w:cs="Times New Roman"/>
          <w:color w:val="auto"/>
          <w:u w:val="none" w:color="auto"/>
        </w:rPr>
        <w:t>建设项目地下水环境影响预测方法包括数学模型法和类比分析法</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及9.7.2“三级评价可采用解析法或类比分析法”，本项目采用类比分析法，可类比建设单位迁建前项目。</w:t>
      </w:r>
    </w:p>
    <w:p w14:paraId="655DF24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①对浅层地下水的污染影响</w:t>
      </w:r>
    </w:p>
    <w:p w14:paraId="1FB7B45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正常情况下，对地下水的污染主要是由于污染物迁移穿过包气带进入含水层造成。项目场地渗透性强，说明浅层地下水容易受到污染。若废水或废液发生渗漏，污染物会很快穿过包气带进入浅层地下水，对浅层地下水的污染大。</w:t>
      </w:r>
    </w:p>
    <w:p w14:paraId="43DD7C61">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②对深层地下水的污染影响</w:t>
      </w:r>
    </w:p>
    <w:p w14:paraId="19AFD44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判断深层地下水是否会受到污染影响，通常分析深层地下水含水组上覆地层的防污性能和有无与浅层地下水的水利联系。通过水文地质条件分析，该区域深层土质渗透性弱，所以垂直渗入补给条件较差，与浅层地下水水利联系不密切。因此，深层地下水受到项目下渗污水的污染影响较小。</w:t>
      </w:r>
    </w:p>
    <w:p w14:paraId="5E4FB831">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建成</w:t>
      </w:r>
      <w:r>
        <w:rPr>
          <w:rFonts w:hint="default" w:ascii="Times New Roman" w:hAnsi="Times New Roman" w:cs="Times New Roman"/>
          <w:color w:val="auto"/>
          <w:u w:val="none" w:color="auto"/>
        </w:rPr>
        <w:t>后，车间地面均固化处理、仓库等构筑物均采取防渗措施。因此项目对可能产生地下水影响的各项途径均进行有效预防，在确保各项防渗措施得以落实的前提下，可有效控制厂区内的废水污染物下渗现象，避免污染地下水，因此项目不会对区域地下水环境产生明显影响。</w:t>
      </w:r>
    </w:p>
    <w:p w14:paraId="2399C949">
      <w:pPr>
        <w:pStyle w:val="4"/>
        <w:rPr>
          <w:rFonts w:hint="default" w:ascii="Times New Roman" w:hAnsi="Times New Roman" w:cs="Times New Roman"/>
          <w:color w:val="auto"/>
          <w:u w:val="none" w:color="auto"/>
        </w:rPr>
      </w:pPr>
      <w:bookmarkStart w:id="1097" w:name="_Toc913"/>
      <w:bookmarkStart w:id="1098" w:name="_Toc22880"/>
      <w:bookmarkStart w:id="1099" w:name="_Toc15733"/>
      <w:bookmarkStart w:id="1100" w:name="_Toc14592"/>
      <w:bookmarkStart w:id="1101" w:name="_Toc28318"/>
      <w:bookmarkStart w:id="1102" w:name="_Toc29410"/>
      <w:bookmarkStart w:id="1103" w:name="_Toc29684"/>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.4声环境影响预测与评价</w:t>
      </w:r>
      <w:bookmarkEnd w:id="1081"/>
      <w:bookmarkEnd w:id="1082"/>
      <w:bookmarkEnd w:id="1083"/>
      <w:bookmarkEnd w:id="1084"/>
      <w:bookmarkEnd w:id="1085"/>
      <w:bookmarkEnd w:id="1086"/>
      <w:bookmarkEnd w:id="1087"/>
      <w:bookmarkEnd w:id="1090"/>
      <w:bookmarkEnd w:id="1091"/>
      <w:bookmarkEnd w:id="1092"/>
      <w:bookmarkEnd w:id="1093"/>
      <w:bookmarkEnd w:id="1094"/>
      <w:bookmarkEnd w:id="1097"/>
      <w:bookmarkEnd w:id="1098"/>
      <w:bookmarkEnd w:id="1099"/>
      <w:bookmarkEnd w:id="1100"/>
      <w:bookmarkEnd w:id="1101"/>
      <w:bookmarkEnd w:id="1102"/>
      <w:bookmarkEnd w:id="1103"/>
    </w:p>
    <w:p w14:paraId="10DCFFCE">
      <w:pPr>
        <w:pStyle w:val="20"/>
        <w:bidi w:val="0"/>
        <w:rPr>
          <w:rFonts w:hint="default"/>
          <w:color w:val="auto"/>
          <w:u w:val="none" w:color="auto"/>
        </w:rPr>
      </w:pPr>
      <w:bookmarkStart w:id="1104" w:name="_Toc222808101"/>
      <w:r>
        <w:rPr>
          <w:rFonts w:hint="default"/>
          <w:color w:val="auto"/>
          <w:u w:val="none" w:color="auto"/>
        </w:rPr>
        <w:t>1、噪声源及其声级值</w:t>
      </w:r>
      <w:bookmarkEnd w:id="1104"/>
    </w:p>
    <w:p w14:paraId="604A424F">
      <w:pPr>
        <w:pStyle w:val="20"/>
        <w:bidi w:val="0"/>
        <w:rPr>
          <w:rFonts w:hint="default"/>
          <w:color w:val="auto"/>
          <w:u w:val="none" w:color="auto"/>
          <w:lang w:eastAsia="zh-CN"/>
        </w:rPr>
      </w:pPr>
      <w:r>
        <w:rPr>
          <w:rFonts w:hint="default"/>
          <w:color w:val="auto"/>
          <w:u w:val="none" w:color="auto"/>
          <w:lang w:eastAsia="zh-CN"/>
        </w:rPr>
        <w:t>根据工程分析可知，本项目噪声源主要为</w:t>
      </w:r>
      <w:r>
        <w:rPr>
          <w:rFonts w:hint="eastAsia"/>
          <w:color w:val="auto"/>
          <w:u w:val="none" w:color="auto"/>
          <w:lang w:eastAsia="zh-CN"/>
        </w:rPr>
        <w:t>各主要生产设备</w:t>
      </w:r>
      <w:r>
        <w:rPr>
          <w:rFonts w:hint="eastAsia"/>
          <w:color w:val="auto"/>
          <w:u w:val="none" w:color="auto"/>
          <w:lang w:val="en-US" w:eastAsia="zh-CN"/>
        </w:rPr>
        <w:t>主要为挤出机、搅拌机、破碎机、磨粉机、空压机、风机、水泵等等</w:t>
      </w:r>
      <w:r>
        <w:rPr>
          <w:rFonts w:hint="eastAsia"/>
          <w:color w:val="auto"/>
          <w:u w:val="none" w:color="auto"/>
          <w:lang w:eastAsia="zh-CN"/>
        </w:rPr>
        <w:t>，</w:t>
      </w:r>
      <w:r>
        <w:rPr>
          <w:rFonts w:hint="default"/>
          <w:color w:val="auto"/>
          <w:u w:val="none" w:color="auto"/>
          <w:lang w:eastAsia="zh-CN"/>
        </w:rPr>
        <w:t>噪声源强约</w:t>
      </w:r>
      <w:r>
        <w:rPr>
          <w:rFonts w:hint="default"/>
          <w:color w:val="auto"/>
          <w:u w:val="none" w:color="auto"/>
          <w:lang w:val="en-US" w:eastAsia="zh-CN"/>
        </w:rPr>
        <w:t>7</w:t>
      </w:r>
      <w:r>
        <w:rPr>
          <w:rFonts w:hint="eastAsia"/>
          <w:color w:val="auto"/>
          <w:u w:val="none" w:color="auto"/>
          <w:lang w:val="en-US" w:eastAsia="zh-CN"/>
        </w:rPr>
        <w:t>5</w:t>
      </w:r>
      <w:r>
        <w:rPr>
          <w:rFonts w:hint="default"/>
          <w:color w:val="auto"/>
          <w:u w:val="none" w:color="auto"/>
          <w:lang w:eastAsia="zh-CN"/>
        </w:rPr>
        <w:t>～</w:t>
      </w:r>
      <w:r>
        <w:rPr>
          <w:rFonts w:hint="eastAsia"/>
          <w:color w:val="auto"/>
          <w:u w:val="none" w:color="auto"/>
          <w:lang w:val="en-US" w:eastAsia="zh-CN"/>
        </w:rPr>
        <w:t>85</w:t>
      </w:r>
      <w:r>
        <w:rPr>
          <w:rFonts w:hint="default"/>
          <w:color w:val="auto"/>
          <w:u w:val="none" w:color="auto"/>
          <w:lang w:eastAsia="zh-CN"/>
        </w:rPr>
        <w:t>dB（A）。经采取选用低噪声设备，厂房隔声、</w:t>
      </w:r>
      <w:r>
        <w:rPr>
          <w:rFonts w:hint="eastAsia"/>
          <w:color w:val="auto"/>
          <w:u w:val="none" w:color="auto"/>
          <w:lang w:eastAsia="zh-CN"/>
        </w:rPr>
        <w:t>基础</w:t>
      </w:r>
      <w:r>
        <w:rPr>
          <w:rFonts w:hint="default"/>
          <w:color w:val="auto"/>
          <w:u w:val="none" w:color="auto"/>
          <w:lang w:eastAsia="zh-CN"/>
        </w:rPr>
        <w:t>减震等降噪措施后，各设备噪声源强降至</w:t>
      </w:r>
      <w:r>
        <w:rPr>
          <w:rFonts w:hint="eastAsia"/>
          <w:color w:val="auto"/>
          <w:u w:val="none" w:color="auto"/>
          <w:lang w:val="en-US" w:eastAsia="zh-CN"/>
        </w:rPr>
        <w:t>60</w:t>
      </w:r>
      <w:r>
        <w:rPr>
          <w:rFonts w:hint="default"/>
          <w:color w:val="auto"/>
          <w:u w:val="none" w:color="auto"/>
          <w:lang w:eastAsia="zh-CN"/>
        </w:rPr>
        <w:t>～</w:t>
      </w:r>
      <w:r>
        <w:rPr>
          <w:rFonts w:hint="eastAsia"/>
          <w:color w:val="auto"/>
          <w:u w:val="none" w:color="auto"/>
          <w:lang w:val="en-US" w:eastAsia="zh-CN"/>
        </w:rPr>
        <w:t>70</w:t>
      </w:r>
      <w:r>
        <w:rPr>
          <w:rFonts w:hint="default"/>
          <w:color w:val="auto"/>
          <w:u w:val="none" w:color="auto"/>
          <w:lang w:eastAsia="zh-CN"/>
        </w:rPr>
        <w:t>dB（A）。</w:t>
      </w:r>
    </w:p>
    <w:p w14:paraId="5FE5E503">
      <w:pPr>
        <w:pStyle w:val="20"/>
        <w:bidi w:val="0"/>
        <w:rPr>
          <w:rFonts w:ascii="Times New Roman" w:hAnsi="Times New Roman" w:eastAsia="宋体" w:cs="Times New Roman"/>
          <w:color w:val="auto"/>
          <w:kern w:val="2"/>
          <w:sz w:val="24"/>
          <w:szCs w:val="21"/>
          <w:highlight w:val="none"/>
          <w:lang w:val="en-US" w:eastAsia="zh-CN" w:bidi="ar-SA"/>
        </w:rPr>
      </w:pPr>
      <w:r>
        <w:rPr>
          <w:rFonts w:hint="eastAsia" w:ascii="Times New Roman" w:hAnsi="Times New Roman" w:eastAsia="宋体" w:cs="Times New Roman"/>
          <w:color w:val="auto"/>
          <w:kern w:val="2"/>
          <w:sz w:val="24"/>
          <w:szCs w:val="21"/>
          <w:highlight w:val="none"/>
          <w:lang w:val="en-US" w:eastAsia="zh-CN" w:bidi="ar-SA"/>
        </w:rPr>
        <w:t>本项目主要噪声源同类型设备数量较多及分布较集中，拟对项目主要噪声源设备进行等效，划分为以下等效点声源，等效点声源声功率等于声源组内各声源声功率的叠加，项目等效点声源划定情况见下表项目产生的噪声源源强调查清单见下表</w:t>
      </w:r>
      <w:r>
        <w:rPr>
          <w:rFonts w:ascii="Times New Roman" w:hAnsi="Times New Roman" w:eastAsia="宋体" w:cs="Times New Roman"/>
          <w:color w:val="auto"/>
          <w:kern w:val="2"/>
          <w:sz w:val="24"/>
          <w:szCs w:val="21"/>
          <w:highlight w:val="none"/>
          <w:lang w:val="en-US" w:eastAsia="zh-CN" w:bidi="ar-SA"/>
        </w:rPr>
        <w:t>。</w:t>
      </w:r>
    </w:p>
    <w:p w14:paraId="066226A3">
      <w:pPr>
        <w:pStyle w:val="22"/>
        <w:bidi w:val="0"/>
        <w:rPr>
          <w:rFonts w:hint="eastAsia"/>
          <w:lang w:val="en-US" w:eastAsia="zh-CN"/>
        </w:rPr>
      </w:pPr>
      <w:r>
        <w:rPr>
          <w:rFonts w:hint="eastAsia"/>
          <w:lang w:val="en-US" w:eastAsia="zh-CN"/>
        </w:rPr>
        <w:t>表6.2-18 项目主要噪声源等效情况一览表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929"/>
        <w:gridCol w:w="1536"/>
        <w:gridCol w:w="2058"/>
        <w:gridCol w:w="2199"/>
      </w:tblGrid>
      <w:tr w14:paraId="66719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2" w:type="dxa"/>
            <w:tcBorders>
              <w:tl2br w:val="nil"/>
              <w:tr2bl w:val="nil"/>
            </w:tcBorders>
            <w:noWrap w:val="0"/>
            <w:vAlign w:val="center"/>
          </w:tcPr>
          <w:p w14:paraId="2A4857CC">
            <w:pPr>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b/>
                <w:sz w:val="21"/>
                <w:szCs w:val="21"/>
                <w:u w:val="none" w:color="auto"/>
              </w:rPr>
              <w:t>序号</w:t>
            </w:r>
          </w:p>
        </w:tc>
        <w:tc>
          <w:tcPr>
            <w:tcW w:w="1929" w:type="dxa"/>
            <w:tcBorders>
              <w:tl2br w:val="nil"/>
              <w:tr2bl w:val="nil"/>
            </w:tcBorders>
            <w:noWrap w:val="0"/>
            <w:vAlign w:val="center"/>
          </w:tcPr>
          <w:p w14:paraId="12EC45EF">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b/>
                <w:sz w:val="21"/>
                <w:szCs w:val="21"/>
                <w:u w:val="none" w:color="auto"/>
                <w:lang w:val="en-US" w:eastAsia="zh-CN"/>
              </w:rPr>
              <w:t>设备名称</w:t>
            </w:r>
          </w:p>
        </w:tc>
        <w:tc>
          <w:tcPr>
            <w:tcW w:w="1536" w:type="dxa"/>
            <w:tcBorders>
              <w:tl2br w:val="nil"/>
              <w:tr2bl w:val="nil"/>
            </w:tcBorders>
            <w:noWrap w:val="0"/>
            <w:vAlign w:val="center"/>
          </w:tcPr>
          <w:p w14:paraId="2E636FC3">
            <w:pPr>
              <w:jc w:val="center"/>
              <w:rPr>
                <w:rFonts w:hint="default" w:ascii="Times New Roman" w:hAnsi="Times New Roman" w:eastAsia="宋体" w:cs="Times New Roman"/>
                <w:sz w:val="21"/>
                <w:szCs w:val="21"/>
                <w:u w:val="none" w:color="auto"/>
                <w:lang w:val="en-US"/>
              </w:rPr>
            </w:pPr>
            <w:r>
              <w:rPr>
                <w:rFonts w:hint="eastAsia" w:ascii="Times New Roman" w:hAnsi="Times New Roman" w:eastAsia="宋体" w:cs="Times New Roman"/>
                <w:b/>
                <w:sz w:val="21"/>
                <w:szCs w:val="21"/>
                <w:u w:val="none" w:color="auto"/>
                <w:lang w:val="en-US" w:eastAsia="zh-CN"/>
              </w:rPr>
              <w:t>设备数量（台）</w:t>
            </w:r>
          </w:p>
        </w:tc>
        <w:tc>
          <w:tcPr>
            <w:tcW w:w="2058" w:type="dxa"/>
            <w:tcBorders>
              <w:tl2br w:val="nil"/>
              <w:tr2bl w:val="nil"/>
            </w:tcBorders>
            <w:noWrap w:val="0"/>
            <w:vAlign w:val="center"/>
          </w:tcPr>
          <w:p w14:paraId="6FCB9AC3">
            <w:pPr>
              <w:jc w:val="center"/>
              <w:rPr>
                <w:rFonts w:hint="default" w:ascii="Times New Roman" w:hAnsi="Times New Roman" w:eastAsia="宋体" w:cs="Times New Roman"/>
                <w:b/>
                <w:bCs w:val="0"/>
                <w:sz w:val="21"/>
                <w:szCs w:val="21"/>
                <w:u w:val="none" w:color="auto"/>
                <w:lang w:val="en-US" w:eastAsia="zh-CN"/>
              </w:rPr>
            </w:pPr>
            <w:r>
              <w:rPr>
                <w:rFonts w:hint="eastAsia" w:ascii="Times New Roman" w:hAnsi="Times New Roman" w:eastAsia="宋体" w:cs="Times New Roman"/>
                <w:b/>
                <w:bCs w:val="0"/>
                <w:sz w:val="21"/>
                <w:szCs w:val="21"/>
                <w:u w:val="none" w:color="auto"/>
                <w:lang w:val="en-US" w:eastAsia="zh-CN"/>
              </w:rPr>
              <w:t>单台设备噪声源强</w:t>
            </w:r>
            <w:r>
              <w:rPr>
                <w:rFonts w:hint="default" w:ascii="Times New Roman" w:hAnsi="Times New Roman" w:cs="Times New Roman"/>
                <w:b/>
                <w:bCs w:val="0"/>
                <w:u w:val="none" w:color="auto"/>
              </w:rPr>
              <w:t>dB（A）</w:t>
            </w:r>
          </w:p>
        </w:tc>
        <w:tc>
          <w:tcPr>
            <w:tcW w:w="2199" w:type="dxa"/>
            <w:tcBorders>
              <w:tl2br w:val="nil"/>
              <w:tr2bl w:val="nil"/>
            </w:tcBorders>
            <w:noWrap w:val="0"/>
            <w:vAlign w:val="center"/>
          </w:tcPr>
          <w:p w14:paraId="10662691">
            <w:pPr>
              <w:jc w:val="center"/>
              <w:rPr>
                <w:rFonts w:hint="default" w:ascii="Times New Roman" w:hAnsi="Times New Roman" w:eastAsia="宋体" w:cs="Times New Roman"/>
                <w:b/>
                <w:bCs w:val="0"/>
                <w:sz w:val="21"/>
                <w:szCs w:val="21"/>
                <w:u w:val="none" w:color="auto"/>
                <w:lang w:val="en-US" w:eastAsia="zh-CN"/>
              </w:rPr>
            </w:pPr>
            <w:r>
              <w:rPr>
                <w:rFonts w:hint="eastAsia" w:ascii="Times New Roman" w:hAnsi="Times New Roman" w:eastAsia="宋体" w:cs="Times New Roman"/>
                <w:b/>
                <w:bCs w:val="0"/>
                <w:sz w:val="21"/>
                <w:szCs w:val="21"/>
                <w:u w:val="none" w:color="auto"/>
                <w:lang w:val="en-US" w:eastAsia="zh-CN"/>
              </w:rPr>
              <w:t>等效声源源强</w:t>
            </w:r>
            <w:r>
              <w:rPr>
                <w:rFonts w:hint="default" w:ascii="Times New Roman" w:hAnsi="Times New Roman" w:cs="Times New Roman"/>
                <w:b/>
                <w:bCs w:val="0"/>
                <w:u w:val="none" w:color="auto"/>
              </w:rPr>
              <w:t>dB（A）</w:t>
            </w:r>
          </w:p>
        </w:tc>
      </w:tr>
      <w:tr w14:paraId="2B46DC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782" w:type="dxa"/>
            <w:tcBorders>
              <w:tl2br w:val="nil"/>
              <w:tr2bl w:val="nil"/>
            </w:tcBorders>
            <w:shd w:val="clear" w:color="auto" w:fill="FFFFFF"/>
            <w:noWrap w:val="0"/>
            <w:vAlign w:val="center"/>
          </w:tcPr>
          <w:p w14:paraId="65E95958">
            <w:pPr>
              <w:jc w:val="center"/>
              <w:rPr>
                <w:rFonts w:hint="default" w:ascii="Times New Roman" w:hAnsi="Times New Roman" w:eastAsia="宋体" w:cs="Times New Roman"/>
                <w:sz w:val="21"/>
                <w:szCs w:val="21"/>
                <w:u w:val="none" w:color="auto"/>
              </w:rPr>
            </w:pPr>
            <w:r>
              <w:rPr>
                <w:rFonts w:hint="default" w:ascii="Times New Roman" w:hAnsi="Times New Roman" w:eastAsia="宋体" w:cs="Times New Roman"/>
                <w:sz w:val="21"/>
                <w:szCs w:val="21"/>
                <w:u w:val="none" w:color="auto"/>
              </w:rPr>
              <w:t>1</w:t>
            </w:r>
          </w:p>
        </w:tc>
        <w:tc>
          <w:tcPr>
            <w:tcW w:w="1929" w:type="dxa"/>
            <w:tcBorders>
              <w:tl2br w:val="nil"/>
              <w:tr2bl w:val="nil"/>
            </w:tcBorders>
            <w:shd w:val="clear" w:color="auto" w:fill="FFFFFF"/>
            <w:noWrap w:val="0"/>
            <w:vAlign w:val="center"/>
          </w:tcPr>
          <w:p w14:paraId="17A4B4E9">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磨粉机</w:t>
            </w:r>
          </w:p>
        </w:tc>
        <w:tc>
          <w:tcPr>
            <w:tcW w:w="1536" w:type="dxa"/>
            <w:tcBorders>
              <w:tl2br w:val="nil"/>
              <w:tr2bl w:val="nil"/>
            </w:tcBorders>
            <w:shd w:val="clear" w:color="auto" w:fill="FFFFFF"/>
            <w:noWrap w:val="0"/>
            <w:vAlign w:val="center"/>
          </w:tcPr>
          <w:p w14:paraId="33B9CEE6">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12</w:t>
            </w:r>
          </w:p>
        </w:tc>
        <w:tc>
          <w:tcPr>
            <w:tcW w:w="2058" w:type="dxa"/>
            <w:tcBorders>
              <w:tl2br w:val="nil"/>
              <w:tr2bl w:val="nil"/>
            </w:tcBorders>
            <w:shd w:val="clear" w:color="auto" w:fill="FFFFFF"/>
            <w:noWrap w:val="0"/>
            <w:vAlign w:val="center"/>
          </w:tcPr>
          <w:p w14:paraId="3A483DB0">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80</w:t>
            </w:r>
          </w:p>
        </w:tc>
        <w:tc>
          <w:tcPr>
            <w:tcW w:w="2199" w:type="dxa"/>
            <w:tcBorders>
              <w:tl2br w:val="nil"/>
              <w:tr2bl w:val="nil"/>
            </w:tcBorders>
            <w:shd w:val="clear" w:color="auto" w:fill="FFFFFF"/>
            <w:noWrap w:val="0"/>
            <w:vAlign w:val="center"/>
          </w:tcPr>
          <w:p w14:paraId="154056A5">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90.79</w:t>
            </w:r>
          </w:p>
        </w:tc>
      </w:tr>
      <w:tr w14:paraId="26C4B7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782" w:type="dxa"/>
            <w:tcBorders>
              <w:tl2br w:val="nil"/>
              <w:tr2bl w:val="nil"/>
            </w:tcBorders>
            <w:shd w:val="clear" w:color="auto" w:fill="FFFFFF"/>
            <w:noWrap w:val="0"/>
            <w:vAlign w:val="center"/>
          </w:tcPr>
          <w:p w14:paraId="7C149318">
            <w:pPr>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2</w:t>
            </w:r>
          </w:p>
        </w:tc>
        <w:tc>
          <w:tcPr>
            <w:tcW w:w="1929" w:type="dxa"/>
            <w:tcBorders>
              <w:tl2br w:val="nil"/>
              <w:tr2bl w:val="nil"/>
            </w:tcBorders>
            <w:shd w:val="clear" w:color="auto" w:fill="FFFFFF"/>
            <w:noWrap w:val="0"/>
            <w:vAlign w:val="center"/>
          </w:tcPr>
          <w:p w14:paraId="7B9D4C0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eastAsia="宋体" w:cs="宋体"/>
                <w:kern w:val="2"/>
                <w:sz w:val="21"/>
                <w:szCs w:val="21"/>
                <w:u w:val="none" w:color="auto"/>
                <w:lang w:val="en-US" w:eastAsia="zh-CN" w:bidi="ar"/>
              </w:rPr>
            </w:pPr>
            <w:r>
              <w:rPr>
                <w:rFonts w:hint="eastAsia" w:ascii="宋体" w:hAnsi="宋体" w:eastAsia="宋体" w:cs="宋体"/>
                <w:kern w:val="2"/>
                <w:sz w:val="21"/>
                <w:szCs w:val="21"/>
                <w:u w:val="none" w:color="auto"/>
                <w:lang w:val="en-US" w:eastAsia="zh-CN" w:bidi="ar"/>
              </w:rPr>
              <w:t>搅拌机</w:t>
            </w:r>
          </w:p>
        </w:tc>
        <w:tc>
          <w:tcPr>
            <w:tcW w:w="1536" w:type="dxa"/>
            <w:tcBorders>
              <w:tl2br w:val="nil"/>
              <w:tr2bl w:val="nil"/>
            </w:tcBorders>
            <w:shd w:val="clear" w:color="auto" w:fill="FFFFFF"/>
            <w:noWrap w:val="0"/>
            <w:vAlign w:val="center"/>
          </w:tcPr>
          <w:p w14:paraId="324EC755">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6</w:t>
            </w:r>
          </w:p>
        </w:tc>
        <w:tc>
          <w:tcPr>
            <w:tcW w:w="2058" w:type="dxa"/>
            <w:tcBorders>
              <w:tl2br w:val="nil"/>
              <w:tr2bl w:val="nil"/>
            </w:tcBorders>
            <w:shd w:val="clear" w:color="auto" w:fill="FFFFFF"/>
            <w:noWrap w:val="0"/>
            <w:vAlign w:val="center"/>
          </w:tcPr>
          <w:p w14:paraId="4A5B165D">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80</w:t>
            </w:r>
          </w:p>
        </w:tc>
        <w:tc>
          <w:tcPr>
            <w:tcW w:w="2199" w:type="dxa"/>
            <w:tcBorders>
              <w:tl2br w:val="nil"/>
              <w:tr2bl w:val="nil"/>
            </w:tcBorders>
            <w:shd w:val="clear" w:color="auto" w:fill="FFFFFF"/>
            <w:noWrap w:val="0"/>
            <w:vAlign w:val="center"/>
          </w:tcPr>
          <w:p w14:paraId="37A14824">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87.78</w:t>
            </w:r>
          </w:p>
        </w:tc>
      </w:tr>
      <w:tr w14:paraId="2FE163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782" w:type="dxa"/>
            <w:tcBorders>
              <w:tl2br w:val="nil"/>
              <w:tr2bl w:val="nil"/>
            </w:tcBorders>
            <w:shd w:val="clear" w:color="auto" w:fill="FFFFFF"/>
            <w:noWrap w:val="0"/>
            <w:vAlign w:val="center"/>
          </w:tcPr>
          <w:p w14:paraId="444A43DF">
            <w:pPr>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3</w:t>
            </w:r>
          </w:p>
        </w:tc>
        <w:tc>
          <w:tcPr>
            <w:tcW w:w="1929" w:type="dxa"/>
            <w:tcBorders>
              <w:tl2br w:val="nil"/>
              <w:tr2bl w:val="nil"/>
            </w:tcBorders>
            <w:shd w:val="clear" w:color="auto" w:fill="FFFFFF"/>
            <w:noWrap w:val="0"/>
            <w:vAlign w:val="center"/>
          </w:tcPr>
          <w:p w14:paraId="79F059B7">
            <w:pPr>
              <w:jc w:val="center"/>
              <w:rPr>
                <w:rFonts w:hint="default" w:ascii="Times New Roman" w:hAnsi="Times New Roman" w:eastAsia="宋体" w:cs="Times New Roman"/>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挤出机</w:t>
            </w:r>
          </w:p>
        </w:tc>
        <w:tc>
          <w:tcPr>
            <w:tcW w:w="1536" w:type="dxa"/>
            <w:tcBorders>
              <w:tl2br w:val="nil"/>
              <w:tr2bl w:val="nil"/>
            </w:tcBorders>
            <w:shd w:val="clear" w:color="auto" w:fill="FFFFFF"/>
            <w:noWrap w:val="0"/>
            <w:vAlign w:val="center"/>
          </w:tcPr>
          <w:p w14:paraId="343DC696">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cs="Times New Roman"/>
                <w:sz w:val="21"/>
                <w:szCs w:val="21"/>
                <w:u w:val="none" w:color="auto"/>
                <w:lang w:val="en-US" w:eastAsia="zh-CN"/>
              </w:rPr>
              <w:t>20</w:t>
            </w:r>
          </w:p>
        </w:tc>
        <w:tc>
          <w:tcPr>
            <w:tcW w:w="2058" w:type="dxa"/>
            <w:tcBorders>
              <w:tl2br w:val="nil"/>
              <w:tr2bl w:val="nil"/>
            </w:tcBorders>
            <w:shd w:val="clear" w:color="auto" w:fill="FFFFFF"/>
            <w:noWrap w:val="0"/>
            <w:vAlign w:val="center"/>
          </w:tcPr>
          <w:p w14:paraId="78331915">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cs="Times New Roman"/>
                <w:kern w:val="2"/>
                <w:sz w:val="21"/>
                <w:szCs w:val="21"/>
                <w:u w:val="none" w:color="auto"/>
                <w:lang w:val="en-US" w:eastAsia="zh-CN" w:bidi="ar-SA"/>
              </w:rPr>
              <w:t>85</w:t>
            </w:r>
          </w:p>
        </w:tc>
        <w:tc>
          <w:tcPr>
            <w:tcW w:w="2199" w:type="dxa"/>
            <w:tcBorders>
              <w:tl2br w:val="nil"/>
              <w:tr2bl w:val="nil"/>
            </w:tcBorders>
            <w:shd w:val="clear" w:color="auto" w:fill="FFFFFF"/>
            <w:noWrap w:val="0"/>
            <w:vAlign w:val="center"/>
          </w:tcPr>
          <w:p w14:paraId="250B97ED">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98.01</w:t>
            </w:r>
          </w:p>
        </w:tc>
      </w:tr>
      <w:tr w14:paraId="3DCAB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782" w:type="dxa"/>
            <w:tcBorders>
              <w:tl2br w:val="nil"/>
              <w:tr2bl w:val="nil"/>
            </w:tcBorders>
            <w:shd w:val="clear" w:color="auto" w:fill="FFFFFF"/>
            <w:noWrap w:val="0"/>
            <w:vAlign w:val="center"/>
          </w:tcPr>
          <w:p w14:paraId="6A349926">
            <w:pPr>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4</w:t>
            </w:r>
          </w:p>
        </w:tc>
        <w:tc>
          <w:tcPr>
            <w:tcW w:w="1929" w:type="dxa"/>
            <w:tcBorders>
              <w:tl2br w:val="nil"/>
              <w:tr2bl w:val="nil"/>
            </w:tcBorders>
            <w:shd w:val="clear" w:color="auto" w:fill="FFFFFF"/>
            <w:noWrap w:val="0"/>
            <w:vAlign w:val="center"/>
          </w:tcPr>
          <w:p w14:paraId="4877721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1#厂房自动裁切机</w:t>
            </w:r>
          </w:p>
        </w:tc>
        <w:tc>
          <w:tcPr>
            <w:tcW w:w="1536" w:type="dxa"/>
            <w:tcBorders>
              <w:tl2br w:val="nil"/>
              <w:tr2bl w:val="nil"/>
            </w:tcBorders>
            <w:shd w:val="clear" w:color="auto" w:fill="FFFFFF"/>
            <w:noWrap w:val="0"/>
            <w:vAlign w:val="center"/>
          </w:tcPr>
          <w:p w14:paraId="04A5A4DC">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20</w:t>
            </w:r>
          </w:p>
        </w:tc>
        <w:tc>
          <w:tcPr>
            <w:tcW w:w="2058" w:type="dxa"/>
            <w:tcBorders>
              <w:tl2br w:val="nil"/>
              <w:tr2bl w:val="nil"/>
            </w:tcBorders>
            <w:shd w:val="clear" w:color="auto" w:fill="FFFFFF"/>
            <w:noWrap w:val="0"/>
            <w:vAlign w:val="center"/>
          </w:tcPr>
          <w:p w14:paraId="5FC2EA98">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85</w:t>
            </w:r>
          </w:p>
        </w:tc>
        <w:tc>
          <w:tcPr>
            <w:tcW w:w="2199" w:type="dxa"/>
            <w:tcBorders>
              <w:tl2br w:val="nil"/>
              <w:tr2bl w:val="nil"/>
            </w:tcBorders>
            <w:shd w:val="clear" w:color="auto" w:fill="FFFFFF"/>
            <w:noWrap w:val="0"/>
            <w:vAlign w:val="center"/>
          </w:tcPr>
          <w:p w14:paraId="697C4AC4">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98.01</w:t>
            </w:r>
          </w:p>
        </w:tc>
      </w:tr>
      <w:tr w14:paraId="28C273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782" w:type="dxa"/>
            <w:tcBorders>
              <w:tl2br w:val="nil"/>
              <w:tr2bl w:val="nil"/>
            </w:tcBorders>
            <w:shd w:val="clear" w:color="auto" w:fill="FFFFFF"/>
            <w:noWrap w:val="0"/>
            <w:vAlign w:val="center"/>
          </w:tcPr>
          <w:p w14:paraId="44262696">
            <w:pPr>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5</w:t>
            </w:r>
          </w:p>
        </w:tc>
        <w:tc>
          <w:tcPr>
            <w:tcW w:w="1929" w:type="dxa"/>
            <w:tcBorders>
              <w:tl2br w:val="nil"/>
              <w:tr2bl w:val="nil"/>
            </w:tcBorders>
            <w:shd w:val="clear" w:color="auto" w:fill="FFFFFF"/>
            <w:noWrap w:val="0"/>
            <w:vAlign w:val="center"/>
          </w:tcPr>
          <w:p w14:paraId="5862933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1#厂房覆膜机</w:t>
            </w:r>
          </w:p>
        </w:tc>
        <w:tc>
          <w:tcPr>
            <w:tcW w:w="1536" w:type="dxa"/>
            <w:tcBorders>
              <w:tl2br w:val="nil"/>
              <w:tr2bl w:val="nil"/>
            </w:tcBorders>
            <w:shd w:val="clear" w:color="auto" w:fill="FFFFFF"/>
            <w:noWrap w:val="0"/>
            <w:vAlign w:val="center"/>
          </w:tcPr>
          <w:p w14:paraId="6FBB7FD2">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20</w:t>
            </w:r>
          </w:p>
        </w:tc>
        <w:tc>
          <w:tcPr>
            <w:tcW w:w="2058" w:type="dxa"/>
            <w:tcBorders>
              <w:tl2br w:val="nil"/>
              <w:tr2bl w:val="nil"/>
            </w:tcBorders>
            <w:shd w:val="clear" w:color="auto" w:fill="FFFFFF"/>
            <w:noWrap w:val="0"/>
            <w:vAlign w:val="center"/>
          </w:tcPr>
          <w:p w14:paraId="66BA591D">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75</w:t>
            </w:r>
          </w:p>
        </w:tc>
        <w:tc>
          <w:tcPr>
            <w:tcW w:w="2199" w:type="dxa"/>
            <w:tcBorders>
              <w:tl2br w:val="nil"/>
              <w:tr2bl w:val="nil"/>
            </w:tcBorders>
            <w:shd w:val="clear" w:color="auto" w:fill="FFFFFF"/>
            <w:noWrap w:val="0"/>
            <w:vAlign w:val="center"/>
          </w:tcPr>
          <w:p w14:paraId="0B28EA78">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88.01</w:t>
            </w:r>
          </w:p>
        </w:tc>
      </w:tr>
      <w:tr w14:paraId="71C456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782" w:type="dxa"/>
            <w:tcBorders>
              <w:tl2br w:val="nil"/>
              <w:tr2bl w:val="nil"/>
            </w:tcBorders>
            <w:shd w:val="clear" w:color="auto" w:fill="FFFFFF"/>
            <w:noWrap w:val="0"/>
            <w:vAlign w:val="center"/>
          </w:tcPr>
          <w:p w14:paraId="40C34EAE">
            <w:pPr>
              <w:jc w:val="center"/>
              <w:rPr>
                <w:rFonts w:hint="eastAsia"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6</w:t>
            </w:r>
          </w:p>
        </w:tc>
        <w:tc>
          <w:tcPr>
            <w:tcW w:w="1929" w:type="dxa"/>
            <w:tcBorders>
              <w:tl2br w:val="nil"/>
              <w:tr2bl w:val="nil"/>
            </w:tcBorders>
            <w:shd w:val="clear" w:color="auto" w:fill="FFFFFF"/>
            <w:noWrap w:val="0"/>
            <w:vAlign w:val="center"/>
          </w:tcPr>
          <w:p w14:paraId="2A17E0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破碎机</w:t>
            </w:r>
          </w:p>
        </w:tc>
        <w:tc>
          <w:tcPr>
            <w:tcW w:w="1536" w:type="dxa"/>
            <w:tcBorders>
              <w:tl2br w:val="nil"/>
              <w:tr2bl w:val="nil"/>
            </w:tcBorders>
            <w:shd w:val="clear" w:color="auto" w:fill="FFFFFF"/>
            <w:noWrap w:val="0"/>
            <w:vAlign w:val="center"/>
          </w:tcPr>
          <w:p w14:paraId="412FF543">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4</w:t>
            </w:r>
          </w:p>
        </w:tc>
        <w:tc>
          <w:tcPr>
            <w:tcW w:w="2058" w:type="dxa"/>
            <w:tcBorders>
              <w:tl2br w:val="nil"/>
              <w:tr2bl w:val="nil"/>
            </w:tcBorders>
            <w:shd w:val="clear" w:color="auto" w:fill="FFFFFF"/>
            <w:noWrap w:val="0"/>
            <w:vAlign w:val="center"/>
          </w:tcPr>
          <w:p w14:paraId="4A8E739F">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85</w:t>
            </w:r>
          </w:p>
        </w:tc>
        <w:tc>
          <w:tcPr>
            <w:tcW w:w="2199" w:type="dxa"/>
            <w:tcBorders>
              <w:tl2br w:val="nil"/>
              <w:tr2bl w:val="nil"/>
            </w:tcBorders>
            <w:shd w:val="clear" w:color="auto" w:fill="FFFFFF"/>
            <w:noWrap w:val="0"/>
            <w:vAlign w:val="center"/>
          </w:tcPr>
          <w:p w14:paraId="62CDDB79">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91.02</w:t>
            </w:r>
          </w:p>
        </w:tc>
      </w:tr>
      <w:tr w14:paraId="109C99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782" w:type="dxa"/>
            <w:tcBorders>
              <w:tl2br w:val="nil"/>
              <w:tr2bl w:val="nil"/>
            </w:tcBorders>
            <w:shd w:val="clear" w:color="auto" w:fill="FFFFFF"/>
            <w:noWrap w:val="0"/>
            <w:vAlign w:val="center"/>
          </w:tcPr>
          <w:p w14:paraId="01247BFB">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7</w:t>
            </w:r>
          </w:p>
        </w:tc>
        <w:tc>
          <w:tcPr>
            <w:tcW w:w="1929" w:type="dxa"/>
            <w:tcBorders>
              <w:tl2br w:val="nil"/>
              <w:tr2bl w:val="nil"/>
            </w:tcBorders>
            <w:shd w:val="clear" w:color="auto" w:fill="FFFFFF"/>
            <w:noWrap w:val="0"/>
            <w:vAlign w:val="center"/>
          </w:tcPr>
          <w:p w14:paraId="24B7E32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2#厂房自动裁切机</w:t>
            </w:r>
          </w:p>
        </w:tc>
        <w:tc>
          <w:tcPr>
            <w:tcW w:w="1536" w:type="dxa"/>
            <w:tcBorders>
              <w:tl2br w:val="nil"/>
              <w:tr2bl w:val="nil"/>
            </w:tcBorders>
            <w:shd w:val="clear" w:color="auto" w:fill="FFFFFF"/>
            <w:noWrap w:val="0"/>
            <w:vAlign w:val="center"/>
          </w:tcPr>
          <w:p w14:paraId="6AE21B03">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3</w:t>
            </w:r>
          </w:p>
        </w:tc>
        <w:tc>
          <w:tcPr>
            <w:tcW w:w="2058" w:type="dxa"/>
            <w:tcBorders>
              <w:tl2br w:val="nil"/>
              <w:tr2bl w:val="nil"/>
            </w:tcBorders>
            <w:shd w:val="clear" w:color="auto" w:fill="FFFFFF"/>
            <w:noWrap w:val="0"/>
            <w:vAlign w:val="center"/>
          </w:tcPr>
          <w:p w14:paraId="7151AEC2">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85</w:t>
            </w:r>
          </w:p>
        </w:tc>
        <w:tc>
          <w:tcPr>
            <w:tcW w:w="2199" w:type="dxa"/>
            <w:tcBorders>
              <w:tl2br w:val="nil"/>
              <w:tr2bl w:val="nil"/>
            </w:tcBorders>
            <w:shd w:val="clear" w:color="auto" w:fill="FFFFFF"/>
            <w:noWrap w:val="0"/>
            <w:vAlign w:val="center"/>
          </w:tcPr>
          <w:p w14:paraId="2C1B8B6E">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89.77</w:t>
            </w:r>
          </w:p>
        </w:tc>
      </w:tr>
      <w:tr w14:paraId="5A4CCF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782" w:type="dxa"/>
            <w:tcBorders>
              <w:tl2br w:val="nil"/>
              <w:tr2bl w:val="nil"/>
            </w:tcBorders>
            <w:shd w:val="clear" w:color="auto" w:fill="FFFFFF"/>
            <w:noWrap w:val="0"/>
            <w:vAlign w:val="center"/>
          </w:tcPr>
          <w:p w14:paraId="69EA9BF0">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8</w:t>
            </w:r>
          </w:p>
        </w:tc>
        <w:tc>
          <w:tcPr>
            <w:tcW w:w="1929" w:type="dxa"/>
            <w:tcBorders>
              <w:tl2br w:val="nil"/>
              <w:tr2bl w:val="nil"/>
            </w:tcBorders>
            <w:shd w:val="clear" w:color="auto" w:fill="FFFFFF"/>
            <w:noWrap w:val="0"/>
            <w:vAlign w:val="center"/>
          </w:tcPr>
          <w:p w14:paraId="374A151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2#厂房覆膜机</w:t>
            </w:r>
          </w:p>
        </w:tc>
        <w:tc>
          <w:tcPr>
            <w:tcW w:w="1536" w:type="dxa"/>
            <w:tcBorders>
              <w:tl2br w:val="nil"/>
              <w:tr2bl w:val="nil"/>
            </w:tcBorders>
            <w:shd w:val="clear" w:color="auto" w:fill="FFFFFF"/>
            <w:noWrap w:val="0"/>
            <w:vAlign w:val="center"/>
          </w:tcPr>
          <w:p w14:paraId="4C4264E7">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26</w:t>
            </w:r>
          </w:p>
        </w:tc>
        <w:tc>
          <w:tcPr>
            <w:tcW w:w="2058" w:type="dxa"/>
            <w:tcBorders>
              <w:tl2br w:val="nil"/>
              <w:tr2bl w:val="nil"/>
            </w:tcBorders>
            <w:shd w:val="clear" w:color="auto" w:fill="FFFFFF"/>
            <w:noWrap w:val="0"/>
            <w:vAlign w:val="center"/>
          </w:tcPr>
          <w:p w14:paraId="1860659C">
            <w:pPr>
              <w:jc w:val="center"/>
              <w:rPr>
                <w:rFonts w:hint="default" w:ascii="Times New Roman" w:hAnsi="Times New Roman" w:eastAsia="宋体" w:cs="Times New Roman"/>
                <w:kern w:val="2"/>
                <w:sz w:val="21"/>
                <w:szCs w:val="21"/>
                <w:u w:val="none" w:color="auto"/>
                <w:lang w:val="en-US" w:eastAsia="zh-CN" w:bidi="ar-SA"/>
              </w:rPr>
            </w:pPr>
            <w:r>
              <w:rPr>
                <w:rFonts w:hint="eastAsia" w:ascii="Times New Roman" w:hAnsi="Times New Roman" w:eastAsia="宋体" w:cs="Times New Roman"/>
                <w:kern w:val="2"/>
                <w:sz w:val="21"/>
                <w:szCs w:val="21"/>
                <w:u w:val="none" w:color="auto"/>
                <w:lang w:val="en-US" w:eastAsia="zh-CN" w:bidi="ar-SA"/>
              </w:rPr>
              <w:t>75</w:t>
            </w:r>
          </w:p>
        </w:tc>
        <w:tc>
          <w:tcPr>
            <w:tcW w:w="2199" w:type="dxa"/>
            <w:tcBorders>
              <w:tl2br w:val="nil"/>
              <w:tr2bl w:val="nil"/>
            </w:tcBorders>
            <w:shd w:val="clear" w:color="auto" w:fill="FFFFFF"/>
            <w:noWrap w:val="0"/>
            <w:vAlign w:val="center"/>
          </w:tcPr>
          <w:p w14:paraId="3C647C7F">
            <w:pPr>
              <w:jc w:val="center"/>
              <w:rPr>
                <w:rFonts w:hint="default" w:ascii="Times New Roman" w:hAnsi="Times New Roman" w:eastAsia="宋体" w:cs="Times New Roman"/>
                <w:sz w:val="21"/>
                <w:szCs w:val="21"/>
                <w:u w:val="none" w:color="auto"/>
                <w:lang w:val="en-US" w:eastAsia="zh-CN"/>
              </w:rPr>
            </w:pPr>
            <w:r>
              <w:rPr>
                <w:rFonts w:hint="eastAsia" w:ascii="Times New Roman" w:hAnsi="Times New Roman" w:eastAsia="宋体" w:cs="Times New Roman"/>
                <w:sz w:val="21"/>
                <w:szCs w:val="21"/>
                <w:u w:val="none" w:color="auto"/>
                <w:lang w:val="en-US" w:eastAsia="zh-CN"/>
              </w:rPr>
              <w:t>89.15</w:t>
            </w:r>
          </w:p>
        </w:tc>
      </w:tr>
    </w:tbl>
    <w:p w14:paraId="27CB30A8">
      <w:pPr>
        <w:pStyle w:val="20"/>
        <w:ind w:firstLine="480"/>
        <w:rPr>
          <w:rFonts w:hint="default" w:ascii="Times New Roman" w:hAnsi="Times New Roman" w:cs="Times New Roman"/>
          <w:color w:val="auto"/>
          <w:sz w:val="24"/>
          <w:u w:val="none" w:color="auto"/>
          <w:lang w:eastAsia="zh-CN"/>
        </w:rPr>
      </w:pPr>
      <w:r>
        <w:rPr>
          <w:rFonts w:hint="default" w:ascii="Times New Roman" w:hAnsi="Times New Roman" w:cs="Times New Roman"/>
          <w:color w:val="auto"/>
          <w:sz w:val="24"/>
          <w:u w:val="none" w:color="auto"/>
          <w:lang w:eastAsia="zh-CN"/>
        </w:rPr>
        <w:t>项目主要噪声设备及噪声源强情况详见下表。</w:t>
      </w:r>
    </w:p>
    <w:p w14:paraId="119DADA0">
      <w:pPr>
        <w:pStyle w:val="22"/>
        <w:bidi w:val="0"/>
        <w:rPr>
          <w:rFonts w:hint="default" w:ascii="Times New Roman" w:hAnsi="Times New Roman" w:eastAsia="宋体" w:cs="Times New Roman"/>
          <w:b/>
          <w:bCs/>
          <w:color w:val="auto"/>
          <w:szCs w:val="21"/>
          <w:u w:val="none" w:color="auto"/>
          <w:lang w:val="en-US" w:eastAsia="zh-CN"/>
        </w:rPr>
      </w:pPr>
      <w:r>
        <w:rPr>
          <w:rFonts w:hint="default"/>
          <w:color w:val="auto"/>
          <w:u w:val="none" w:color="auto"/>
        </w:rPr>
        <w:t>表</w:t>
      </w:r>
      <w:r>
        <w:rPr>
          <w:rFonts w:hint="eastAsia"/>
          <w:color w:val="auto"/>
          <w:u w:val="none" w:color="auto"/>
          <w:lang w:val="en-US" w:eastAsia="zh-CN"/>
        </w:rPr>
        <w:t>6.2-19</w:t>
      </w:r>
      <w:r>
        <w:rPr>
          <w:rFonts w:hint="default"/>
          <w:color w:val="auto"/>
          <w:u w:val="none" w:color="auto"/>
          <w:lang w:val="en-US" w:eastAsia="zh-CN"/>
        </w:rPr>
        <w:t xml:space="preserve"> </w:t>
      </w:r>
      <w:bookmarkStart w:id="1105" w:name="_Toc222808102"/>
      <w:r>
        <w:rPr>
          <w:rFonts w:hint="default"/>
          <w:color w:val="auto"/>
          <w:u w:val="none" w:color="auto"/>
          <w:lang w:val="en-US" w:eastAsia="zh-CN"/>
        </w:rPr>
        <w:t>项目</w:t>
      </w:r>
      <w:r>
        <w:rPr>
          <w:rFonts w:hint="eastAsia"/>
          <w:color w:val="auto"/>
          <w:u w:val="none" w:color="auto"/>
          <w:lang w:val="en-US" w:eastAsia="zh-CN"/>
        </w:rPr>
        <w:t>主要设备噪声源强调查清单（室内声源）</w:t>
      </w:r>
    </w:p>
    <w:tbl>
      <w:tblPr>
        <w:tblStyle w:val="16"/>
        <w:tblW w:w="50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361"/>
        <w:gridCol w:w="667"/>
        <w:gridCol w:w="643"/>
        <w:gridCol w:w="468"/>
        <w:gridCol w:w="558"/>
        <w:gridCol w:w="722"/>
        <w:gridCol w:w="504"/>
        <w:gridCol w:w="864"/>
        <w:gridCol w:w="740"/>
        <w:gridCol w:w="643"/>
        <w:gridCol w:w="785"/>
        <w:gridCol w:w="974"/>
        <w:gridCol w:w="575"/>
      </w:tblGrid>
      <w:tr w14:paraId="1C8B63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12" w:type="pct"/>
            <w:vMerge w:val="restart"/>
            <w:tcBorders>
              <w:tl2br w:val="nil"/>
              <w:tr2bl w:val="nil"/>
            </w:tcBorders>
            <w:noWrap w:val="0"/>
            <w:vAlign w:val="center"/>
          </w:tcPr>
          <w:p w14:paraId="16D09ED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bookmarkStart w:id="1106" w:name="PT_6"/>
            <w:r>
              <w:rPr>
                <w:rFonts w:hint="default" w:ascii="Times New Roman" w:hAnsi="Times New Roman" w:cs="Times New Roman"/>
                <w:b/>
                <w:bCs/>
                <w:color w:val="auto"/>
                <w:sz w:val="21"/>
                <w:szCs w:val="21"/>
                <w:u w:val="none" w:color="auto"/>
              </w:rPr>
              <w:t>建筑物名称</w:t>
            </w:r>
          </w:p>
        </w:tc>
        <w:tc>
          <w:tcPr>
            <w:tcW w:w="392" w:type="pct"/>
            <w:vMerge w:val="restart"/>
            <w:tcBorders>
              <w:tl2br w:val="nil"/>
              <w:tr2bl w:val="nil"/>
            </w:tcBorders>
            <w:noWrap w:val="0"/>
            <w:vAlign w:val="center"/>
          </w:tcPr>
          <w:p w14:paraId="1E1662D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声源名称</w:t>
            </w:r>
          </w:p>
        </w:tc>
        <w:tc>
          <w:tcPr>
            <w:tcW w:w="378" w:type="pct"/>
            <w:vMerge w:val="restart"/>
            <w:tcBorders>
              <w:tl2br w:val="nil"/>
              <w:tr2bl w:val="nil"/>
            </w:tcBorders>
            <w:noWrap w:val="0"/>
            <w:vAlign w:val="center"/>
          </w:tcPr>
          <w:p w14:paraId="7EA9BB9E">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lang w:val="en-US" w:eastAsia="zh-CN"/>
              </w:rPr>
              <w:t>源强</w:t>
            </w:r>
            <w:r>
              <w:rPr>
                <w:rFonts w:hint="default" w:ascii="Times New Roman" w:hAnsi="Times New Roman" w:cs="Times New Roman"/>
                <w:b/>
                <w:bCs/>
                <w:color w:val="auto"/>
                <w:sz w:val="21"/>
                <w:szCs w:val="21"/>
                <w:u w:val="none" w:color="auto"/>
              </w:rPr>
              <w:t>声功率级/dB(A)</w:t>
            </w:r>
          </w:p>
        </w:tc>
        <w:tc>
          <w:tcPr>
            <w:tcW w:w="275" w:type="pct"/>
            <w:vMerge w:val="restart"/>
            <w:tcBorders>
              <w:tl2br w:val="nil"/>
              <w:tr2bl w:val="nil"/>
            </w:tcBorders>
            <w:noWrap w:val="0"/>
            <w:vAlign w:val="center"/>
          </w:tcPr>
          <w:p w14:paraId="3204B9C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声源控制措施</w:t>
            </w:r>
          </w:p>
        </w:tc>
        <w:tc>
          <w:tcPr>
            <w:tcW w:w="1048" w:type="pct"/>
            <w:gridSpan w:val="3"/>
            <w:tcBorders>
              <w:tl2br w:val="nil"/>
              <w:tr2bl w:val="nil"/>
            </w:tcBorders>
            <w:noWrap w:val="0"/>
            <w:vAlign w:val="center"/>
          </w:tcPr>
          <w:p w14:paraId="76F6F26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空间相对位置/m</w:t>
            </w:r>
          </w:p>
        </w:tc>
        <w:tc>
          <w:tcPr>
            <w:tcW w:w="507" w:type="pct"/>
            <w:vMerge w:val="restart"/>
            <w:tcBorders>
              <w:tl2br w:val="nil"/>
              <w:tr2bl w:val="nil"/>
            </w:tcBorders>
            <w:noWrap w:val="0"/>
            <w:vAlign w:val="center"/>
          </w:tcPr>
          <w:p w14:paraId="520D24D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距室内边界距离/m</w:t>
            </w:r>
          </w:p>
        </w:tc>
        <w:tc>
          <w:tcPr>
            <w:tcW w:w="435" w:type="pct"/>
            <w:vMerge w:val="restart"/>
            <w:tcBorders>
              <w:tl2br w:val="nil"/>
              <w:tr2bl w:val="nil"/>
            </w:tcBorders>
            <w:noWrap w:val="0"/>
            <w:vAlign w:val="center"/>
          </w:tcPr>
          <w:p w14:paraId="2769B01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室内边界声级/dB(A)</w:t>
            </w:r>
          </w:p>
        </w:tc>
        <w:tc>
          <w:tcPr>
            <w:tcW w:w="378" w:type="pct"/>
            <w:vMerge w:val="restart"/>
            <w:tcBorders>
              <w:tl2br w:val="nil"/>
              <w:tr2bl w:val="nil"/>
            </w:tcBorders>
            <w:noWrap w:val="0"/>
            <w:vAlign w:val="center"/>
          </w:tcPr>
          <w:p w14:paraId="1AE4418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运行时段</w:t>
            </w:r>
          </w:p>
        </w:tc>
        <w:tc>
          <w:tcPr>
            <w:tcW w:w="461" w:type="pct"/>
            <w:vMerge w:val="restart"/>
            <w:tcBorders>
              <w:tl2br w:val="nil"/>
              <w:tr2bl w:val="nil"/>
            </w:tcBorders>
            <w:noWrap w:val="0"/>
            <w:vAlign w:val="center"/>
          </w:tcPr>
          <w:p w14:paraId="03DEDACC">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建筑物插入损失 / dB(A)</w:t>
            </w:r>
          </w:p>
        </w:tc>
        <w:tc>
          <w:tcPr>
            <w:tcW w:w="910" w:type="pct"/>
            <w:gridSpan w:val="2"/>
            <w:tcBorders>
              <w:tl2br w:val="nil"/>
              <w:tr2bl w:val="nil"/>
            </w:tcBorders>
            <w:noWrap w:val="0"/>
            <w:vAlign w:val="center"/>
          </w:tcPr>
          <w:p w14:paraId="2F06FC6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建筑物外噪声</w:t>
            </w:r>
          </w:p>
        </w:tc>
      </w:tr>
      <w:tr w14:paraId="16863C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40" w:hRule="atLeast"/>
          <w:jc w:val="center"/>
        </w:trPr>
        <w:tc>
          <w:tcPr>
            <w:tcW w:w="212" w:type="pct"/>
            <w:vMerge w:val="continue"/>
            <w:tcBorders>
              <w:tl2br w:val="nil"/>
              <w:tr2bl w:val="nil"/>
            </w:tcBorders>
            <w:shd w:val="clear" w:color="auto" w:fill="FFFFFF"/>
            <w:noWrap w:val="0"/>
            <w:vAlign w:val="center"/>
          </w:tcPr>
          <w:p w14:paraId="280A59C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392" w:type="pct"/>
            <w:vMerge w:val="continue"/>
            <w:tcBorders>
              <w:tl2br w:val="nil"/>
              <w:tr2bl w:val="nil"/>
            </w:tcBorders>
            <w:shd w:val="clear" w:color="auto" w:fill="FFFFFF"/>
            <w:noWrap w:val="0"/>
            <w:vAlign w:val="center"/>
          </w:tcPr>
          <w:p w14:paraId="76FA0BB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378" w:type="pct"/>
            <w:vMerge w:val="continue"/>
            <w:tcBorders>
              <w:tl2br w:val="nil"/>
              <w:tr2bl w:val="nil"/>
            </w:tcBorders>
            <w:shd w:val="clear" w:color="auto" w:fill="FFFFFF"/>
            <w:noWrap w:val="0"/>
            <w:vAlign w:val="center"/>
          </w:tcPr>
          <w:p w14:paraId="5FF6A4F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275" w:type="pct"/>
            <w:vMerge w:val="continue"/>
            <w:tcBorders>
              <w:tl2br w:val="nil"/>
              <w:tr2bl w:val="nil"/>
            </w:tcBorders>
            <w:shd w:val="clear" w:color="auto" w:fill="FFFFFF"/>
            <w:noWrap w:val="0"/>
            <w:vAlign w:val="center"/>
          </w:tcPr>
          <w:p w14:paraId="0DAE38D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328" w:type="pct"/>
            <w:tcBorders>
              <w:tl2br w:val="nil"/>
              <w:tr2bl w:val="nil"/>
            </w:tcBorders>
            <w:shd w:val="clear" w:color="auto" w:fill="FFFFFF"/>
            <w:noWrap w:val="0"/>
            <w:vAlign w:val="center"/>
          </w:tcPr>
          <w:p w14:paraId="4DE012A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X</w:t>
            </w:r>
          </w:p>
        </w:tc>
        <w:tc>
          <w:tcPr>
            <w:tcW w:w="424" w:type="pct"/>
            <w:tcBorders>
              <w:tl2br w:val="nil"/>
              <w:tr2bl w:val="nil"/>
            </w:tcBorders>
            <w:shd w:val="clear" w:color="auto" w:fill="FFFFFF"/>
            <w:noWrap w:val="0"/>
            <w:vAlign w:val="center"/>
          </w:tcPr>
          <w:p w14:paraId="00AEF69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Y</w:t>
            </w:r>
          </w:p>
        </w:tc>
        <w:tc>
          <w:tcPr>
            <w:tcW w:w="296" w:type="pct"/>
            <w:tcBorders>
              <w:tl2br w:val="nil"/>
              <w:tr2bl w:val="nil"/>
            </w:tcBorders>
            <w:shd w:val="clear" w:color="auto" w:fill="FFFFFF"/>
            <w:noWrap w:val="0"/>
            <w:vAlign w:val="center"/>
          </w:tcPr>
          <w:p w14:paraId="195FDDE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Z</w:t>
            </w:r>
          </w:p>
        </w:tc>
        <w:tc>
          <w:tcPr>
            <w:tcW w:w="507" w:type="pct"/>
            <w:vMerge w:val="continue"/>
            <w:tcBorders>
              <w:tl2br w:val="nil"/>
              <w:tr2bl w:val="nil"/>
            </w:tcBorders>
            <w:shd w:val="clear" w:color="auto" w:fill="FFFFFF"/>
            <w:noWrap w:val="0"/>
            <w:vAlign w:val="center"/>
          </w:tcPr>
          <w:p w14:paraId="355D665C">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435" w:type="pct"/>
            <w:vMerge w:val="continue"/>
            <w:tcBorders>
              <w:tl2br w:val="nil"/>
              <w:tr2bl w:val="nil"/>
            </w:tcBorders>
            <w:shd w:val="clear" w:color="auto" w:fill="FFFFFF"/>
            <w:noWrap w:val="0"/>
            <w:vAlign w:val="center"/>
          </w:tcPr>
          <w:p w14:paraId="149802A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378" w:type="pct"/>
            <w:vMerge w:val="continue"/>
            <w:tcBorders>
              <w:tl2br w:val="nil"/>
              <w:tr2bl w:val="nil"/>
            </w:tcBorders>
            <w:shd w:val="clear" w:color="auto" w:fill="FFFFFF"/>
            <w:noWrap w:val="0"/>
            <w:vAlign w:val="center"/>
          </w:tcPr>
          <w:p w14:paraId="63CB720E">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461" w:type="pct"/>
            <w:vMerge w:val="continue"/>
            <w:tcBorders>
              <w:tl2br w:val="nil"/>
              <w:tr2bl w:val="nil"/>
            </w:tcBorders>
            <w:shd w:val="clear" w:color="auto" w:fill="FFFFFF"/>
            <w:noWrap w:val="0"/>
            <w:vAlign w:val="center"/>
          </w:tcPr>
          <w:p w14:paraId="2322F75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p>
        </w:tc>
        <w:tc>
          <w:tcPr>
            <w:tcW w:w="572" w:type="pct"/>
            <w:tcBorders>
              <w:tl2br w:val="nil"/>
              <w:tr2bl w:val="nil"/>
            </w:tcBorders>
            <w:shd w:val="clear" w:color="auto" w:fill="FFFFFF"/>
            <w:noWrap w:val="0"/>
            <w:vAlign w:val="center"/>
          </w:tcPr>
          <w:p w14:paraId="2B90E99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声压级/dB(A)</w:t>
            </w:r>
          </w:p>
        </w:tc>
        <w:tc>
          <w:tcPr>
            <w:tcW w:w="338" w:type="pct"/>
            <w:tcBorders>
              <w:tl2br w:val="nil"/>
              <w:tr2bl w:val="nil"/>
            </w:tcBorders>
            <w:shd w:val="clear" w:color="auto" w:fill="FFFFFF"/>
            <w:noWrap w:val="0"/>
            <w:vAlign w:val="center"/>
          </w:tcPr>
          <w:p w14:paraId="3A231FD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u w:val="none" w:color="auto"/>
              </w:rPr>
            </w:pPr>
            <w:r>
              <w:rPr>
                <w:rFonts w:hint="default" w:ascii="Times New Roman" w:hAnsi="Times New Roman" w:cs="Times New Roman"/>
                <w:b/>
                <w:bCs/>
                <w:color w:val="auto"/>
                <w:sz w:val="21"/>
                <w:szCs w:val="21"/>
                <w:u w:val="none" w:color="auto"/>
              </w:rPr>
              <w:t>建筑物外距离</w:t>
            </w:r>
          </w:p>
        </w:tc>
      </w:tr>
      <w:tr w14:paraId="5DF2A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928" w:hRule="atLeast"/>
          <w:jc w:val="center"/>
        </w:trPr>
        <w:tc>
          <w:tcPr>
            <w:tcW w:w="212" w:type="pct"/>
            <w:vMerge w:val="restart"/>
            <w:tcBorders>
              <w:tl2br w:val="nil"/>
              <w:tr2bl w:val="nil"/>
            </w:tcBorders>
            <w:shd w:val="clear" w:color="auto" w:fill="FFFFFF"/>
            <w:noWrap w:val="0"/>
            <w:vAlign w:val="center"/>
          </w:tcPr>
          <w:p w14:paraId="382FF55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1#厂房</w:t>
            </w:r>
          </w:p>
        </w:tc>
        <w:tc>
          <w:tcPr>
            <w:tcW w:w="392" w:type="pct"/>
            <w:tcBorders>
              <w:tl2br w:val="nil"/>
              <w:tr2bl w:val="nil"/>
            </w:tcBorders>
            <w:shd w:val="clear" w:color="auto" w:fill="FFFFFF"/>
            <w:noWrap w:val="0"/>
            <w:vAlign w:val="center"/>
          </w:tcPr>
          <w:p w14:paraId="458D680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磨粉机</w:t>
            </w:r>
          </w:p>
        </w:tc>
        <w:tc>
          <w:tcPr>
            <w:tcW w:w="378" w:type="pct"/>
            <w:tcBorders>
              <w:tl2br w:val="nil"/>
              <w:tr2bl w:val="nil"/>
            </w:tcBorders>
            <w:shd w:val="clear" w:color="auto" w:fill="FFFFFF"/>
            <w:noWrap w:val="0"/>
            <w:vAlign w:val="center"/>
          </w:tcPr>
          <w:p w14:paraId="7DFC47A2">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90.79</w:t>
            </w:r>
          </w:p>
        </w:tc>
        <w:tc>
          <w:tcPr>
            <w:tcW w:w="275" w:type="pct"/>
            <w:vMerge w:val="restart"/>
            <w:tcBorders>
              <w:tl2br w:val="nil"/>
              <w:tr2bl w:val="nil"/>
            </w:tcBorders>
            <w:shd w:val="clear" w:color="auto" w:fill="FFFFFF"/>
            <w:noWrap w:val="0"/>
            <w:vAlign w:val="center"/>
          </w:tcPr>
          <w:p w14:paraId="7D6D3EC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减振、消声、隔声</w:t>
            </w:r>
          </w:p>
        </w:tc>
        <w:tc>
          <w:tcPr>
            <w:tcW w:w="328" w:type="pct"/>
            <w:tcBorders>
              <w:tl2br w:val="nil"/>
              <w:tr2bl w:val="nil"/>
            </w:tcBorders>
            <w:shd w:val="clear" w:color="auto" w:fill="FFFFFF"/>
            <w:noWrap w:val="0"/>
            <w:vAlign w:val="center"/>
          </w:tcPr>
          <w:p w14:paraId="4E1FEE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w:t>
            </w:r>
          </w:p>
        </w:tc>
        <w:tc>
          <w:tcPr>
            <w:tcW w:w="424" w:type="pct"/>
            <w:tcBorders>
              <w:tl2br w:val="nil"/>
              <w:tr2bl w:val="nil"/>
            </w:tcBorders>
            <w:shd w:val="clear" w:color="auto" w:fill="FFFFFF"/>
            <w:noWrap w:val="0"/>
            <w:vAlign w:val="center"/>
          </w:tcPr>
          <w:p w14:paraId="38A99F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50.5</w:t>
            </w:r>
          </w:p>
        </w:tc>
        <w:tc>
          <w:tcPr>
            <w:tcW w:w="296" w:type="pct"/>
            <w:tcBorders>
              <w:tl2br w:val="nil"/>
              <w:tr2bl w:val="nil"/>
            </w:tcBorders>
            <w:shd w:val="clear" w:color="auto" w:fill="FFFFFF"/>
            <w:noWrap w:val="0"/>
            <w:vAlign w:val="center"/>
          </w:tcPr>
          <w:p w14:paraId="5229AB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6686E53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4</w:t>
            </w:r>
            <w:r>
              <w:rPr>
                <w:rFonts w:hint="default" w:ascii="Times New Roman" w:hAnsi="Times New Roman" w:cs="Times New Roman"/>
                <w:color w:val="auto"/>
                <w:sz w:val="21"/>
                <w:szCs w:val="21"/>
                <w:u w:val="none" w:color="auto"/>
                <w:lang w:val="en-US" w:eastAsia="zh-CN"/>
              </w:rPr>
              <w:t>0</w:t>
            </w:r>
          </w:p>
          <w:p w14:paraId="0AFC99C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南：83.9</w:t>
            </w:r>
          </w:p>
          <w:p w14:paraId="21DD974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3</w:t>
            </w:r>
            <w:r>
              <w:rPr>
                <w:rFonts w:hint="default" w:ascii="Times New Roman" w:hAnsi="Times New Roman" w:cs="Times New Roman"/>
                <w:color w:val="auto"/>
                <w:sz w:val="21"/>
                <w:szCs w:val="21"/>
                <w:u w:val="none" w:color="auto"/>
                <w:lang w:val="en-US" w:eastAsia="zh-CN"/>
              </w:rPr>
              <w:t>9.7</w:t>
            </w:r>
          </w:p>
          <w:p w14:paraId="3D428DD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北：15.2</w:t>
            </w:r>
          </w:p>
        </w:tc>
        <w:tc>
          <w:tcPr>
            <w:tcW w:w="435" w:type="pct"/>
            <w:tcBorders>
              <w:tl2br w:val="nil"/>
              <w:tr2bl w:val="nil"/>
            </w:tcBorders>
            <w:shd w:val="clear" w:color="auto" w:fill="FFFFFF"/>
            <w:noWrap w:val="0"/>
            <w:vAlign w:val="center"/>
          </w:tcPr>
          <w:p w14:paraId="5E04AE8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东：58.7</w:t>
            </w:r>
          </w:p>
          <w:p w14:paraId="7D3ABEA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南：52.3</w:t>
            </w:r>
          </w:p>
          <w:p w14:paraId="514DEAD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西：58.8</w:t>
            </w:r>
          </w:p>
          <w:p w14:paraId="6C7C781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北：67.1</w:t>
            </w:r>
          </w:p>
        </w:tc>
        <w:tc>
          <w:tcPr>
            <w:tcW w:w="378" w:type="pct"/>
            <w:vMerge w:val="restart"/>
            <w:tcBorders>
              <w:tl2br w:val="nil"/>
              <w:tr2bl w:val="nil"/>
            </w:tcBorders>
            <w:shd w:val="clear" w:color="auto" w:fill="FFFFFF"/>
            <w:noWrap w:val="0"/>
            <w:vAlign w:val="center"/>
          </w:tcPr>
          <w:p w14:paraId="2A1120A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昼夜</w:t>
            </w:r>
          </w:p>
        </w:tc>
        <w:tc>
          <w:tcPr>
            <w:tcW w:w="461" w:type="pct"/>
            <w:vMerge w:val="restart"/>
            <w:tcBorders>
              <w:tl2br w:val="nil"/>
              <w:tr2bl w:val="nil"/>
            </w:tcBorders>
            <w:shd w:val="clear" w:color="auto" w:fill="FFFFFF"/>
            <w:noWrap w:val="0"/>
            <w:vAlign w:val="center"/>
          </w:tcPr>
          <w:p w14:paraId="6D55939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41</w:t>
            </w:r>
            <w:r>
              <w:rPr>
                <w:rFonts w:hint="default" w:ascii="Times New Roman" w:hAnsi="Times New Roman" w:cs="Times New Roman"/>
                <w:color w:val="auto"/>
                <w:sz w:val="21"/>
                <w:szCs w:val="21"/>
                <w:u w:val="none" w:color="auto"/>
                <w:lang w:val="en-US" w:eastAsia="zh-CN"/>
              </w:rPr>
              <w:t>.0南：</w:t>
            </w:r>
            <w:r>
              <w:rPr>
                <w:rFonts w:hint="eastAsia" w:cs="Times New Roman"/>
                <w:color w:val="auto"/>
                <w:sz w:val="21"/>
                <w:szCs w:val="21"/>
                <w:u w:val="none" w:color="auto"/>
                <w:lang w:val="en-US" w:eastAsia="zh-CN"/>
              </w:rPr>
              <w:t>22</w:t>
            </w:r>
            <w:r>
              <w:rPr>
                <w:rFonts w:hint="default" w:ascii="Times New Roman" w:hAnsi="Times New Roman" w:cs="Times New Roman"/>
                <w:color w:val="auto"/>
                <w:sz w:val="21"/>
                <w:szCs w:val="21"/>
                <w:u w:val="none" w:color="auto"/>
                <w:lang w:val="en-US" w:eastAsia="zh-CN"/>
              </w:rPr>
              <w:t>.0（门窗面积</w:t>
            </w: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0m</w:t>
            </w:r>
            <w:r>
              <w:rPr>
                <w:rFonts w:hint="default" w:ascii="Times New Roman" w:hAnsi="Times New Roman" w:cs="Times New Roman"/>
                <w:color w:val="auto"/>
                <w:sz w:val="21"/>
                <w:szCs w:val="21"/>
                <w:u w:val="none" w:color="auto"/>
                <w:vertAlign w:val="superscript"/>
                <w:lang w:val="en-US" w:eastAsia="zh-CN"/>
              </w:rPr>
              <w:t>2</w:t>
            </w: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41</w:t>
            </w:r>
            <w:r>
              <w:rPr>
                <w:rFonts w:hint="default" w:ascii="Times New Roman" w:hAnsi="Times New Roman" w:cs="Times New Roman"/>
                <w:color w:val="auto"/>
                <w:sz w:val="21"/>
                <w:szCs w:val="21"/>
                <w:u w:val="none" w:color="auto"/>
                <w:lang w:val="en-US" w:eastAsia="zh-CN"/>
              </w:rPr>
              <w:t>.0北：</w:t>
            </w:r>
            <w:r>
              <w:rPr>
                <w:rFonts w:hint="eastAsia" w:cs="Times New Roman"/>
                <w:color w:val="auto"/>
                <w:sz w:val="21"/>
                <w:szCs w:val="21"/>
                <w:u w:val="none" w:color="auto"/>
                <w:lang w:val="en-US" w:eastAsia="zh-CN"/>
              </w:rPr>
              <w:t>22</w:t>
            </w:r>
            <w:r>
              <w:rPr>
                <w:rFonts w:hint="default" w:ascii="Times New Roman" w:hAnsi="Times New Roman" w:cs="Times New Roman"/>
                <w:color w:val="auto"/>
                <w:sz w:val="21"/>
                <w:szCs w:val="21"/>
                <w:u w:val="none" w:color="auto"/>
                <w:lang w:val="en-US" w:eastAsia="zh-CN"/>
              </w:rPr>
              <w:t>.0（门窗面积</w:t>
            </w: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0m</w:t>
            </w:r>
            <w:r>
              <w:rPr>
                <w:rFonts w:hint="default" w:ascii="Times New Roman" w:hAnsi="Times New Roman" w:cs="Times New Roman"/>
                <w:color w:val="auto"/>
                <w:sz w:val="21"/>
                <w:szCs w:val="21"/>
                <w:u w:val="none" w:color="auto"/>
                <w:vertAlign w:val="superscript"/>
                <w:lang w:val="en-US" w:eastAsia="zh-CN"/>
              </w:rPr>
              <w:t>2</w:t>
            </w:r>
            <w:r>
              <w:rPr>
                <w:rFonts w:hint="default" w:ascii="Times New Roman" w:hAnsi="Times New Roman" w:cs="Times New Roman"/>
                <w:color w:val="auto"/>
                <w:sz w:val="21"/>
                <w:szCs w:val="21"/>
                <w:u w:val="none" w:color="auto"/>
                <w:lang w:val="en-US" w:eastAsia="zh-CN"/>
              </w:rPr>
              <w:t>）</w:t>
            </w:r>
          </w:p>
        </w:tc>
        <w:tc>
          <w:tcPr>
            <w:tcW w:w="572" w:type="pct"/>
            <w:tcBorders>
              <w:tl2br w:val="nil"/>
              <w:tr2bl w:val="nil"/>
            </w:tcBorders>
            <w:shd w:val="clear" w:color="auto" w:fill="FFFFFF"/>
            <w:noWrap w:val="0"/>
            <w:vAlign w:val="center"/>
          </w:tcPr>
          <w:p w14:paraId="12185C9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17.7</w:t>
            </w:r>
          </w:p>
          <w:p w14:paraId="6CD4883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cs="Times New Roman"/>
                <w:color w:val="auto"/>
                <w:sz w:val="21"/>
                <w:szCs w:val="21"/>
                <w:u w:val="none" w:color="auto"/>
                <w:lang w:val="en-US" w:eastAsia="zh-CN"/>
              </w:rPr>
              <w:t>30.3</w:t>
            </w:r>
          </w:p>
          <w:p w14:paraId="74A1162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17.8</w:t>
            </w:r>
          </w:p>
          <w:p w14:paraId="6615F51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cs="Times New Roman"/>
                <w:color w:val="auto"/>
                <w:sz w:val="21"/>
                <w:szCs w:val="21"/>
                <w:u w:val="none" w:color="auto"/>
                <w:lang w:val="en-US" w:eastAsia="zh-CN"/>
              </w:rPr>
              <w:t>45.1</w:t>
            </w:r>
          </w:p>
        </w:tc>
        <w:tc>
          <w:tcPr>
            <w:tcW w:w="338" w:type="pct"/>
            <w:vMerge w:val="restart"/>
            <w:tcBorders>
              <w:tl2br w:val="nil"/>
              <w:tr2bl w:val="nil"/>
            </w:tcBorders>
            <w:shd w:val="clear" w:color="auto" w:fill="FFFFFF"/>
            <w:noWrap w:val="0"/>
            <w:vAlign w:val="center"/>
          </w:tcPr>
          <w:p w14:paraId="4A424C3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1</w:t>
            </w:r>
          </w:p>
        </w:tc>
      </w:tr>
      <w:tr w14:paraId="37051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043" w:hRule="atLeast"/>
          <w:jc w:val="center"/>
        </w:trPr>
        <w:tc>
          <w:tcPr>
            <w:tcW w:w="212" w:type="pct"/>
            <w:vMerge w:val="continue"/>
            <w:tcBorders>
              <w:tl2br w:val="nil"/>
              <w:tr2bl w:val="nil"/>
            </w:tcBorders>
            <w:shd w:val="clear" w:color="auto" w:fill="FFFFFF"/>
            <w:noWrap w:val="0"/>
            <w:vAlign w:val="center"/>
          </w:tcPr>
          <w:p w14:paraId="6173E90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392" w:type="pct"/>
            <w:tcBorders>
              <w:tl2br w:val="nil"/>
              <w:tr2bl w:val="nil"/>
            </w:tcBorders>
            <w:shd w:val="clear" w:color="auto" w:fill="FFFFFF"/>
            <w:noWrap w:val="0"/>
            <w:vAlign w:val="center"/>
          </w:tcPr>
          <w:p w14:paraId="6E39984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全自动供料系统</w:t>
            </w:r>
          </w:p>
        </w:tc>
        <w:tc>
          <w:tcPr>
            <w:tcW w:w="378" w:type="pct"/>
            <w:tcBorders>
              <w:tl2br w:val="nil"/>
              <w:tr2bl w:val="nil"/>
            </w:tcBorders>
            <w:shd w:val="clear" w:color="auto" w:fill="FFFFFF"/>
            <w:noWrap w:val="0"/>
            <w:vAlign w:val="center"/>
          </w:tcPr>
          <w:p w14:paraId="344856BB">
            <w:pPr>
              <w:jc w:val="center"/>
              <w:rPr>
                <w:rFonts w:hint="default" w:ascii="Times New Roman" w:hAnsi="Times New Roman"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90</w:t>
            </w:r>
          </w:p>
        </w:tc>
        <w:tc>
          <w:tcPr>
            <w:tcW w:w="275" w:type="pct"/>
            <w:vMerge w:val="continue"/>
            <w:tcBorders>
              <w:tl2br w:val="nil"/>
              <w:tr2bl w:val="nil"/>
            </w:tcBorders>
            <w:shd w:val="clear" w:color="auto" w:fill="FFFFFF"/>
            <w:noWrap w:val="0"/>
            <w:vAlign w:val="center"/>
          </w:tcPr>
          <w:p w14:paraId="0C5D9AE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328" w:type="pct"/>
            <w:tcBorders>
              <w:tl2br w:val="nil"/>
              <w:tr2bl w:val="nil"/>
            </w:tcBorders>
            <w:shd w:val="clear" w:color="auto" w:fill="FFFFFF"/>
            <w:noWrap w:val="0"/>
            <w:vAlign w:val="center"/>
          </w:tcPr>
          <w:p w14:paraId="5CFC2B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w:t>
            </w:r>
          </w:p>
        </w:tc>
        <w:tc>
          <w:tcPr>
            <w:tcW w:w="424" w:type="pct"/>
            <w:tcBorders>
              <w:tl2br w:val="nil"/>
              <w:tr2bl w:val="nil"/>
            </w:tcBorders>
            <w:shd w:val="clear" w:color="auto" w:fill="FFFFFF"/>
            <w:noWrap w:val="0"/>
            <w:vAlign w:val="center"/>
          </w:tcPr>
          <w:p w14:paraId="3EF11A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32.5</w:t>
            </w:r>
          </w:p>
        </w:tc>
        <w:tc>
          <w:tcPr>
            <w:tcW w:w="296" w:type="pct"/>
            <w:tcBorders>
              <w:tl2br w:val="nil"/>
              <w:tr2bl w:val="nil"/>
            </w:tcBorders>
            <w:shd w:val="clear" w:color="auto" w:fill="FFFFFF"/>
            <w:noWrap w:val="0"/>
            <w:vAlign w:val="center"/>
          </w:tcPr>
          <w:p w14:paraId="1D96137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507" w:type="pct"/>
            <w:tcBorders>
              <w:tl2br w:val="nil"/>
              <w:tr2bl w:val="nil"/>
            </w:tcBorders>
            <w:shd w:val="clear" w:color="auto" w:fill="FFFFFF"/>
            <w:noWrap w:val="0"/>
            <w:vAlign w:val="center"/>
          </w:tcPr>
          <w:p w14:paraId="44BC1D0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东：50.3</w:t>
            </w:r>
          </w:p>
          <w:p w14:paraId="461D640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南：69.0</w:t>
            </w:r>
          </w:p>
          <w:p w14:paraId="1CB0A0D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西：49.7</w:t>
            </w:r>
          </w:p>
          <w:p w14:paraId="0136292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北：29.6</w:t>
            </w:r>
          </w:p>
        </w:tc>
        <w:tc>
          <w:tcPr>
            <w:tcW w:w="435" w:type="pct"/>
            <w:tcBorders>
              <w:tl2br w:val="nil"/>
              <w:tr2bl w:val="nil"/>
            </w:tcBorders>
            <w:shd w:val="clear" w:color="auto" w:fill="FFFFFF"/>
            <w:noWrap w:val="0"/>
            <w:vAlign w:val="center"/>
          </w:tcPr>
          <w:p w14:paraId="4211B05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东：55.9</w:t>
            </w:r>
          </w:p>
          <w:p w14:paraId="07640E1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南：53.2</w:t>
            </w:r>
          </w:p>
          <w:p w14:paraId="0129DC5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西：56</w:t>
            </w:r>
          </w:p>
          <w:p w14:paraId="2F96DE8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北：60.6</w:t>
            </w:r>
          </w:p>
        </w:tc>
        <w:tc>
          <w:tcPr>
            <w:tcW w:w="378" w:type="pct"/>
            <w:vMerge w:val="continue"/>
            <w:tcBorders>
              <w:tl2br w:val="nil"/>
              <w:tr2bl w:val="nil"/>
            </w:tcBorders>
            <w:shd w:val="clear" w:color="auto" w:fill="FFFFFF"/>
            <w:noWrap w:val="0"/>
            <w:vAlign w:val="center"/>
          </w:tcPr>
          <w:p w14:paraId="0A53B85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461" w:type="pct"/>
            <w:vMerge w:val="continue"/>
            <w:tcBorders>
              <w:tl2br w:val="nil"/>
              <w:tr2bl w:val="nil"/>
            </w:tcBorders>
            <w:shd w:val="clear" w:color="auto" w:fill="FFFFFF"/>
            <w:noWrap w:val="0"/>
            <w:vAlign w:val="center"/>
          </w:tcPr>
          <w:p w14:paraId="7443FD3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572" w:type="pct"/>
            <w:tcBorders>
              <w:tl2br w:val="nil"/>
              <w:tr2bl w:val="nil"/>
            </w:tcBorders>
            <w:shd w:val="clear" w:color="auto" w:fill="FFFFFF"/>
            <w:noWrap w:val="0"/>
            <w:vAlign w:val="center"/>
          </w:tcPr>
          <w:p w14:paraId="37982DA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14.9</w:t>
            </w:r>
          </w:p>
          <w:p w14:paraId="1FCD181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cs="Times New Roman"/>
                <w:color w:val="auto"/>
                <w:sz w:val="21"/>
                <w:szCs w:val="21"/>
                <w:u w:val="none" w:color="auto"/>
                <w:lang w:val="en-US" w:eastAsia="zh-CN"/>
              </w:rPr>
              <w:t>31.2</w:t>
            </w:r>
          </w:p>
          <w:p w14:paraId="6607FA5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15</w:t>
            </w:r>
          </w:p>
          <w:p w14:paraId="2019A28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cs="Times New Roman"/>
                <w:color w:val="auto"/>
                <w:sz w:val="21"/>
                <w:szCs w:val="21"/>
                <w:u w:val="none" w:color="auto"/>
                <w:lang w:val="en-US" w:eastAsia="zh-CN"/>
              </w:rPr>
              <w:t>38.6</w:t>
            </w:r>
          </w:p>
        </w:tc>
        <w:tc>
          <w:tcPr>
            <w:tcW w:w="338" w:type="pct"/>
            <w:vMerge w:val="continue"/>
            <w:tcBorders>
              <w:tl2br w:val="nil"/>
              <w:tr2bl w:val="nil"/>
            </w:tcBorders>
            <w:shd w:val="clear" w:color="auto" w:fill="FFFFFF"/>
            <w:noWrap w:val="0"/>
            <w:vAlign w:val="center"/>
          </w:tcPr>
          <w:p w14:paraId="492048F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r>
      <w:tr w14:paraId="420FBC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043" w:hRule="atLeast"/>
          <w:jc w:val="center"/>
        </w:trPr>
        <w:tc>
          <w:tcPr>
            <w:tcW w:w="212" w:type="pct"/>
            <w:vMerge w:val="continue"/>
            <w:tcBorders>
              <w:tl2br w:val="nil"/>
              <w:tr2bl w:val="nil"/>
            </w:tcBorders>
            <w:shd w:val="clear" w:color="auto" w:fill="FFFFFF"/>
            <w:noWrap w:val="0"/>
            <w:vAlign w:val="center"/>
          </w:tcPr>
          <w:p w14:paraId="09C5694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392" w:type="pct"/>
            <w:tcBorders>
              <w:tl2br w:val="nil"/>
              <w:tr2bl w:val="nil"/>
            </w:tcBorders>
            <w:shd w:val="clear" w:color="auto" w:fill="FFFFFF"/>
            <w:noWrap w:val="0"/>
            <w:vAlign w:val="center"/>
          </w:tcPr>
          <w:p w14:paraId="588AF75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搅拌机</w:t>
            </w:r>
          </w:p>
        </w:tc>
        <w:tc>
          <w:tcPr>
            <w:tcW w:w="378" w:type="pct"/>
            <w:tcBorders>
              <w:tl2br w:val="nil"/>
              <w:tr2bl w:val="nil"/>
            </w:tcBorders>
            <w:shd w:val="clear" w:color="auto" w:fill="FFFFFF"/>
            <w:noWrap w:val="0"/>
            <w:vAlign w:val="center"/>
          </w:tcPr>
          <w:p w14:paraId="1830B98C">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87.78</w:t>
            </w:r>
          </w:p>
        </w:tc>
        <w:tc>
          <w:tcPr>
            <w:tcW w:w="275" w:type="pct"/>
            <w:vMerge w:val="continue"/>
            <w:tcBorders>
              <w:tl2br w:val="nil"/>
              <w:tr2bl w:val="nil"/>
            </w:tcBorders>
            <w:shd w:val="clear" w:color="auto" w:fill="FFFFFF"/>
            <w:noWrap w:val="0"/>
            <w:vAlign w:val="center"/>
          </w:tcPr>
          <w:p w14:paraId="741FC00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328" w:type="pct"/>
            <w:tcBorders>
              <w:tl2br w:val="nil"/>
              <w:tr2bl w:val="nil"/>
            </w:tcBorders>
            <w:shd w:val="clear" w:color="auto" w:fill="FFFFFF"/>
            <w:noWrap w:val="0"/>
            <w:vAlign w:val="center"/>
          </w:tcPr>
          <w:p w14:paraId="3D8EBC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w:t>
            </w:r>
          </w:p>
        </w:tc>
        <w:tc>
          <w:tcPr>
            <w:tcW w:w="424" w:type="pct"/>
            <w:tcBorders>
              <w:tl2br w:val="nil"/>
              <w:tr2bl w:val="nil"/>
            </w:tcBorders>
            <w:shd w:val="clear" w:color="auto" w:fill="FFFFFF"/>
            <w:noWrap w:val="0"/>
            <w:vAlign w:val="center"/>
          </w:tcPr>
          <w:p w14:paraId="2D8686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30</w:t>
            </w:r>
          </w:p>
        </w:tc>
        <w:tc>
          <w:tcPr>
            <w:tcW w:w="296" w:type="pct"/>
            <w:tcBorders>
              <w:tl2br w:val="nil"/>
              <w:tr2bl w:val="nil"/>
            </w:tcBorders>
            <w:shd w:val="clear" w:color="auto" w:fill="FFFFFF"/>
            <w:noWrap w:val="0"/>
            <w:vAlign w:val="center"/>
          </w:tcPr>
          <w:p w14:paraId="5291AE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5D87266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东：50.4</w:t>
            </w:r>
          </w:p>
          <w:p w14:paraId="3974F041">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南：62.7</w:t>
            </w:r>
          </w:p>
          <w:p w14:paraId="1CA543A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西：49.7</w:t>
            </w:r>
          </w:p>
          <w:p w14:paraId="759860F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北：36.9</w:t>
            </w:r>
          </w:p>
        </w:tc>
        <w:tc>
          <w:tcPr>
            <w:tcW w:w="435" w:type="pct"/>
            <w:tcBorders>
              <w:tl2br w:val="nil"/>
              <w:tr2bl w:val="nil"/>
            </w:tcBorders>
            <w:shd w:val="clear" w:color="auto" w:fill="FFFFFF"/>
            <w:noWrap w:val="0"/>
            <w:vAlign w:val="center"/>
          </w:tcPr>
          <w:p w14:paraId="684010C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东：53.7</w:t>
            </w:r>
          </w:p>
          <w:p w14:paraId="766F6D4E">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南：51.8</w:t>
            </w:r>
          </w:p>
          <w:p w14:paraId="4200AA2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西：53.8</w:t>
            </w:r>
          </w:p>
          <w:p w14:paraId="17FF64B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北：56.4</w:t>
            </w:r>
          </w:p>
        </w:tc>
        <w:tc>
          <w:tcPr>
            <w:tcW w:w="378" w:type="pct"/>
            <w:vMerge w:val="continue"/>
            <w:tcBorders>
              <w:tl2br w:val="nil"/>
              <w:tr2bl w:val="nil"/>
            </w:tcBorders>
            <w:shd w:val="clear" w:color="auto" w:fill="FFFFFF"/>
            <w:noWrap w:val="0"/>
            <w:vAlign w:val="center"/>
          </w:tcPr>
          <w:p w14:paraId="3B3854E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461" w:type="pct"/>
            <w:vMerge w:val="continue"/>
            <w:tcBorders>
              <w:tl2br w:val="nil"/>
              <w:tr2bl w:val="nil"/>
            </w:tcBorders>
            <w:shd w:val="clear" w:color="auto" w:fill="FFFFFF"/>
            <w:noWrap w:val="0"/>
            <w:vAlign w:val="center"/>
          </w:tcPr>
          <w:p w14:paraId="023D442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c>
          <w:tcPr>
            <w:tcW w:w="572" w:type="pct"/>
            <w:tcBorders>
              <w:tl2br w:val="nil"/>
              <w:tr2bl w:val="nil"/>
            </w:tcBorders>
            <w:shd w:val="clear" w:color="auto" w:fill="FFFFFF"/>
            <w:noWrap w:val="0"/>
            <w:vAlign w:val="center"/>
          </w:tcPr>
          <w:p w14:paraId="2AC963E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12.7</w:t>
            </w:r>
          </w:p>
          <w:p w14:paraId="7D68874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cs="Times New Roman"/>
                <w:color w:val="auto"/>
                <w:sz w:val="21"/>
                <w:szCs w:val="21"/>
                <w:u w:val="none" w:color="auto"/>
                <w:lang w:val="en-US" w:eastAsia="zh-CN"/>
              </w:rPr>
              <w:t>29.8</w:t>
            </w:r>
          </w:p>
          <w:p w14:paraId="0A7F072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12.8</w:t>
            </w:r>
          </w:p>
          <w:p w14:paraId="0A20974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cs="Times New Roman"/>
                <w:color w:val="auto"/>
                <w:sz w:val="21"/>
                <w:szCs w:val="21"/>
                <w:u w:val="none" w:color="auto"/>
                <w:lang w:val="en-US" w:eastAsia="zh-CN"/>
              </w:rPr>
              <w:t>34.4</w:t>
            </w:r>
          </w:p>
        </w:tc>
        <w:tc>
          <w:tcPr>
            <w:tcW w:w="338" w:type="pct"/>
            <w:vMerge w:val="continue"/>
            <w:tcBorders>
              <w:tl2br w:val="nil"/>
              <w:tr2bl w:val="nil"/>
            </w:tcBorders>
            <w:shd w:val="clear" w:color="auto" w:fill="FFFFFF"/>
            <w:noWrap w:val="0"/>
            <w:vAlign w:val="center"/>
          </w:tcPr>
          <w:p w14:paraId="355BEDA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rPr>
            </w:pPr>
          </w:p>
        </w:tc>
      </w:tr>
      <w:tr w14:paraId="70524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1B2FF52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74F1870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挤出机</w:t>
            </w:r>
          </w:p>
        </w:tc>
        <w:tc>
          <w:tcPr>
            <w:tcW w:w="378" w:type="pct"/>
            <w:tcBorders>
              <w:tl2br w:val="nil"/>
              <w:tr2bl w:val="nil"/>
            </w:tcBorders>
            <w:shd w:val="clear" w:color="auto" w:fill="FFFFFF"/>
            <w:noWrap w:val="0"/>
            <w:vAlign w:val="center"/>
          </w:tcPr>
          <w:p w14:paraId="73E52A88">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98.01</w:t>
            </w:r>
          </w:p>
        </w:tc>
        <w:tc>
          <w:tcPr>
            <w:tcW w:w="275" w:type="pct"/>
            <w:vMerge w:val="continue"/>
            <w:tcBorders>
              <w:tl2br w:val="nil"/>
              <w:tr2bl w:val="nil"/>
            </w:tcBorders>
            <w:shd w:val="clear" w:color="auto" w:fill="FFFFFF"/>
            <w:noWrap w:val="0"/>
            <w:vAlign w:val="center"/>
          </w:tcPr>
          <w:p w14:paraId="3E487D5E">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741A43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27.5</w:t>
            </w:r>
          </w:p>
        </w:tc>
        <w:tc>
          <w:tcPr>
            <w:tcW w:w="424" w:type="pct"/>
            <w:tcBorders>
              <w:tl2br w:val="nil"/>
              <w:tr2bl w:val="nil"/>
            </w:tcBorders>
            <w:shd w:val="clear" w:color="auto" w:fill="FFFFFF"/>
            <w:noWrap w:val="0"/>
            <w:vAlign w:val="center"/>
          </w:tcPr>
          <w:p w14:paraId="0E6F35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9.5</w:t>
            </w:r>
          </w:p>
        </w:tc>
        <w:tc>
          <w:tcPr>
            <w:tcW w:w="296" w:type="pct"/>
            <w:tcBorders>
              <w:tl2br w:val="nil"/>
              <w:tr2bl w:val="nil"/>
            </w:tcBorders>
            <w:shd w:val="clear" w:color="auto" w:fill="FFFFFF"/>
            <w:noWrap w:val="0"/>
            <w:vAlign w:val="center"/>
          </w:tcPr>
          <w:p w14:paraId="777CBA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46B2073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东：51.3</w:t>
            </w:r>
          </w:p>
          <w:p w14:paraId="5ABE137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南：45.9</w:t>
            </w:r>
          </w:p>
          <w:p w14:paraId="182945A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西：48.9</w:t>
            </w:r>
          </w:p>
          <w:p w14:paraId="6E761771">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北：54.0</w:t>
            </w:r>
          </w:p>
        </w:tc>
        <w:tc>
          <w:tcPr>
            <w:tcW w:w="435" w:type="pct"/>
            <w:tcBorders>
              <w:tl2br w:val="nil"/>
              <w:tr2bl w:val="nil"/>
            </w:tcBorders>
            <w:shd w:val="clear" w:color="auto" w:fill="FFFFFF"/>
            <w:noWrap w:val="0"/>
            <w:vAlign w:val="center"/>
          </w:tcPr>
          <w:p w14:paraId="4480C9A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东：63.8</w:t>
            </w:r>
          </w:p>
          <w:p w14:paraId="00FAFB31">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南：64.7</w:t>
            </w:r>
          </w:p>
          <w:p w14:paraId="7636545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西：64.2</w:t>
            </w:r>
          </w:p>
          <w:p w14:paraId="1D7DCE5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北：63.3</w:t>
            </w:r>
          </w:p>
        </w:tc>
        <w:tc>
          <w:tcPr>
            <w:tcW w:w="378" w:type="pct"/>
            <w:vMerge w:val="continue"/>
            <w:tcBorders>
              <w:tl2br w:val="nil"/>
              <w:tr2bl w:val="nil"/>
            </w:tcBorders>
            <w:shd w:val="clear" w:color="auto" w:fill="FFFFFF"/>
            <w:noWrap w:val="0"/>
            <w:vAlign w:val="center"/>
          </w:tcPr>
          <w:p w14:paraId="2D407411">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1D4A0F3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05AD8CC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22.8</w:t>
            </w:r>
          </w:p>
          <w:p w14:paraId="2DBFD8A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cs="Times New Roman"/>
                <w:color w:val="auto"/>
                <w:sz w:val="21"/>
                <w:szCs w:val="21"/>
                <w:u w:val="none" w:color="auto"/>
                <w:lang w:val="en-US" w:eastAsia="zh-CN"/>
              </w:rPr>
              <w:t>42.7</w:t>
            </w:r>
          </w:p>
          <w:p w14:paraId="017CAB8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23.2</w:t>
            </w:r>
          </w:p>
          <w:p w14:paraId="24D270E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cs="Times New Roman"/>
                <w:color w:val="auto"/>
                <w:sz w:val="21"/>
                <w:szCs w:val="21"/>
                <w:u w:val="none" w:color="auto"/>
                <w:lang w:val="en-US" w:eastAsia="zh-CN"/>
              </w:rPr>
              <w:t>41.3</w:t>
            </w:r>
          </w:p>
        </w:tc>
        <w:tc>
          <w:tcPr>
            <w:tcW w:w="338" w:type="pct"/>
            <w:vMerge w:val="continue"/>
            <w:tcBorders>
              <w:tl2br w:val="nil"/>
              <w:tr2bl w:val="nil"/>
            </w:tcBorders>
            <w:shd w:val="clear" w:color="auto" w:fill="FFFFFF"/>
            <w:noWrap w:val="0"/>
            <w:vAlign w:val="center"/>
          </w:tcPr>
          <w:p w14:paraId="673CBD1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200A80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73E034A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62A9F4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1#厂房自动裁切机</w:t>
            </w:r>
          </w:p>
        </w:tc>
        <w:tc>
          <w:tcPr>
            <w:tcW w:w="378" w:type="pct"/>
            <w:tcBorders>
              <w:tl2br w:val="nil"/>
              <w:tr2bl w:val="nil"/>
            </w:tcBorders>
            <w:shd w:val="clear" w:color="auto" w:fill="FFFFFF"/>
            <w:noWrap w:val="0"/>
            <w:vAlign w:val="center"/>
          </w:tcPr>
          <w:p w14:paraId="408F2F8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98.01</w:t>
            </w:r>
          </w:p>
        </w:tc>
        <w:tc>
          <w:tcPr>
            <w:tcW w:w="275" w:type="pct"/>
            <w:vMerge w:val="continue"/>
            <w:tcBorders>
              <w:tl2br w:val="nil"/>
              <w:tr2bl w:val="nil"/>
            </w:tcBorders>
            <w:shd w:val="clear" w:color="auto" w:fill="FFFFFF"/>
            <w:noWrap w:val="0"/>
            <w:vAlign w:val="center"/>
          </w:tcPr>
          <w:p w14:paraId="55601E0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6B0DB08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0</w:t>
            </w:r>
          </w:p>
        </w:tc>
        <w:tc>
          <w:tcPr>
            <w:tcW w:w="424" w:type="pct"/>
            <w:tcBorders>
              <w:tl2br w:val="nil"/>
              <w:tr2bl w:val="nil"/>
            </w:tcBorders>
            <w:shd w:val="clear" w:color="auto" w:fill="FFFFFF"/>
            <w:noWrap w:val="0"/>
            <w:vAlign w:val="center"/>
          </w:tcPr>
          <w:p w14:paraId="2A011A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10.8</w:t>
            </w:r>
          </w:p>
        </w:tc>
        <w:tc>
          <w:tcPr>
            <w:tcW w:w="296" w:type="pct"/>
            <w:tcBorders>
              <w:tl2br w:val="nil"/>
              <w:tr2bl w:val="nil"/>
            </w:tcBorders>
            <w:shd w:val="clear" w:color="auto" w:fill="FFFFFF"/>
            <w:noWrap w:val="0"/>
            <w:vAlign w:val="center"/>
          </w:tcPr>
          <w:p w14:paraId="1CB3C24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1975A34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东：63.9</w:t>
            </w:r>
          </w:p>
          <w:p w14:paraId="5B0E582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南：40.6</w:t>
            </w:r>
          </w:p>
          <w:p w14:paraId="251C216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西：36.6</w:t>
            </w:r>
          </w:p>
          <w:p w14:paraId="02F1A8D1">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北：58.6</w:t>
            </w:r>
          </w:p>
        </w:tc>
        <w:tc>
          <w:tcPr>
            <w:tcW w:w="435" w:type="pct"/>
            <w:tcBorders>
              <w:tl2br w:val="nil"/>
              <w:tr2bl w:val="nil"/>
            </w:tcBorders>
            <w:shd w:val="clear" w:color="auto" w:fill="FFFFFF"/>
            <w:noWrap w:val="0"/>
            <w:vAlign w:val="center"/>
          </w:tcPr>
          <w:p w14:paraId="22C1A79C">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东：61.9</w:t>
            </w:r>
          </w:p>
          <w:p w14:paraId="7F34EC3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南：65.8</w:t>
            </w:r>
          </w:p>
          <w:p w14:paraId="6886EF1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西：66.7</w:t>
            </w:r>
          </w:p>
          <w:p w14:paraId="4C9B4F6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北：62.6</w:t>
            </w:r>
          </w:p>
        </w:tc>
        <w:tc>
          <w:tcPr>
            <w:tcW w:w="378" w:type="pct"/>
            <w:vMerge w:val="continue"/>
            <w:tcBorders>
              <w:tl2br w:val="nil"/>
              <w:tr2bl w:val="nil"/>
            </w:tcBorders>
            <w:shd w:val="clear" w:color="auto" w:fill="FFFFFF"/>
            <w:noWrap w:val="0"/>
            <w:vAlign w:val="center"/>
          </w:tcPr>
          <w:p w14:paraId="7E6953F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33257AA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5F192EA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20.9</w:t>
            </w:r>
          </w:p>
          <w:p w14:paraId="6026F24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cs="Times New Roman"/>
                <w:color w:val="auto"/>
                <w:sz w:val="21"/>
                <w:szCs w:val="21"/>
                <w:u w:val="none" w:color="auto"/>
                <w:lang w:val="en-US" w:eastAsia="zh-CN"/>
              </w:rPr>
              <w:t>43.8</w:t>
            </w:r>
          </w:p>
          <w:p w14:paraId="54ED597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25.7</w:t>
            </w:r>
          </w:p>
          <w:p w14:paraId="278C108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cs="Times New Roman"/>
                <w:color w:val="auto"/>
                <w:sz w:val="21"/>
                <w:szCs w:val="21"/>
                <w:u w:val="none" w:color="auto"/>
                <w:lang w:val="en-US" w:eastAsia="zh-CN"/>
              </w:rPr>
              <w:t>40.6</w:t>
            </w:r>
          </w:p>
        </w:tc>
        <w:tc>
          <w:tcPr>
            <w:tcW w:w="338" w:type="pct"/>
            <w:vMerge w:val="continue"/>
            <w:tcBorders>
              <w:tl2br w:val="nil"/>
              <w:tr2bl w:val="nil"/>
            </w:tcBorders>
            <w:shd w:val="clear" w:color="auto" w:fill="FFFFFF"/>
            <w:noWrap w:val="0"/>
            <w:vAlign w:val="center"/>
          </w:tcPr>
          <w:p w14:paraId="70FEF99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435AE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5923731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033896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1#厂房覆膜机</w:t>
            </w:r>
          </w:p>
        </w:tc>
        <w:tc>
          <w:tcPr>
            <w:tcW w:w="378" w:type="pct"/>
            <w:tcBorders>
              <w:tl2br w:val="nil"/>
              <w:tr2bl w:val="nil"/>
            </w:tcBorders>
            <w:shd w:val="clear" w:color="auto" w:fill="FFFFFF"/>
            <w:noWrap w:val="0"/>
            <w:vAlign w:val="center"/>
          </w:tcPr>
          <w:p w14:paraId="42545B4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88.01</w:t>
            </w:r>
          </w:p>
        </w:tc>
        <w:tc>
          <w:tcPr>
            <w:tcW w:w="275" w:type="pct"/>
            <w:vMerge w:val="continue"/>
            <w:tcBorders>
              <w:tl2br w:val="nil"/>
              <w:tr2bl w:val="nil"/>
            </w:tcBorders>
            <w:shd w:val="clear" w:color="auto" w:fill="FFFFFF"/>
            <w:noWrap w:val="0"/>
            <w:vAlign w:val="center"/>
          </w:tcPr>
          <w:p w14:paraId="45C67CB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5622FFA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61.5</w:t>
            </w:r>
          </w:p>
        </w:tc>
        <w:tc>
          <w:tcPr>
            <w:tcW w:w="424" w:type="pct"/>
            <w:tcBorders>
              <w:tl2br w:val="nil"/>
              <w:tr2bl w:val="nil"/>
            </w:tcBorders>
            <w:shd w:val="clear" w:color="auto" w:fill="FFFFFF"/>
            <w:noWrap w:val="0"/>
            <w:vAlign w:val="center"/>
          </w:tcPr>
          <w:p w14:paraId="148F0B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8.5</w:t>
            </w:r>
          </w:p>
        </w:tc>
        <w:tc>
          <w:tcPr>
            <w:tcW w:w="296" w:type="pct"/>
            <w:tcBorders>
              <w:tl2br w:val="nil"/>
              <w:tr2bl w:val="nil"/>
            </w:tcBorders>
            <w:shd w:val="clear" w:color="auto" w:fill="FFFFFF"/>
            <w:noWrap w:val="0"/>
            <w:vAlign w:val="center"/>
          </w:tcPr>
          <w:p w14:paraId="6ACF26C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0C93335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东：51.3</w:t>
            </w:r>
          </w:p>
          <w:p w14:paraId="53CEEEE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南：4</w:t>
            </w:r>
            <w:r>
              <w:rPr>
                <w:rFonts w:hint="eastAsia" w:ascii="Times New Roman" w:hAnsi="Times New Roman" w:cs="Times New Roman"/>
                <w:color w:val="auto"/>
                <w:sz w:val="21"/>
                <w:szCs w:val="21"/>
                <w:u w:val="none" w:color="auto"/>
                <w:lang w:val="en-US" w:eastAsia="zh-CN"/>
              </w:rPr>
              <w:t>0</w:t>
            </w:r>
            <w:r>
              <w:rPr>
                <w:rFonts w:hint="default" w:ascii="Times New Roman" w:hAnsi="Times New Roman" w:cs="Times New Roman"/>
                <w:color w:val="auto"/>
                <w:sz w:val="21"/>
                <w:szCs w:val="21"/>
                <w:u w:val="none" w:color="auto"/>
                <w:lang w:val="en-US" w:eastAsia="zh-CN"/>
              </w:rPr>
              <w:t>.9</w:t>
            </w:r>
          </w:p>
          <w:p w14:paraId="7DBCA81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西：48.9</w:t>
            </w:r>
          </w:p>
          <w:p w14:paraId="052C78C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北：5</w:t>
            </w:r>
            <w:r>
              <w:rPr>
                <w:rFonts w:hint="eastAsia" w:ascii="Times New Roman" w:hAnsi="Times New Roman" w:cs="Times New Roman"/>
                <w:color w:val="auto"/>
                <w:sz w:val="21"/>
                <w:szCs w:val="21"/>
                <w:u w:val="none" w:color="auto"/>
                <w:lang w:val="en-US" w:eastAsia="zh-CN"/>
              </w:rPr>
              <w:t>9</w:t>
            </w:r>
            <w:r>
              <w:rPr>
                <w:rFonts w:hint="default" w:ascii="Times New Roman" w:hAnsi="Times New Roman" w:cs="Times New Roman"/>
                <w:color w:val="auto"/>
                <w:sz w:val="21"/>
                <w:szCs w:val="21"/>
                <w:u w:val="none" w:color="auto"/>
                <w:lang w:val="en-US" w:eastAsia="zh-CN"/>
              </w:rPr>
              <w:t>.0</w:t>
            </w:r>
          </w:p>
        </w:tc>
        <w:tc>
          <w:tcPr>
            <w:tcW w:w="435" w:type="pct"/>
            <w:tcBorders>
              <w:tl2br w:val="nil"/>
              <w:tr2bl w:val="nil"/>
            </w:tcBorders>
            <w:shd w:val="clear" w:color="auto" w:fill="FFFFFF"/>
            <w:noWrap w:val="0"/>
            <w:vAlign w:val="center"/>
          </w:tcPr>
          <w:p w14:paraId="787FAD5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东：53.8</w:t>
            </w:r>
          </w:p>
          <w:p w14:paraId="533E303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南：55.7</w:t>
            </w:r>
          </w:p>
          <w:p w14:paraId="0B96DFB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西：54.2</w:t>
            </w:r>
          </w:p>
          <w:p w14:paraId="2285174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北：52.6</w:t>
            </w:r>
          </w:p>
        </w:tc>
        <w:tc>
          <w:tcPr>
            <w:tcW w:w="378" w:type="pct"/>
            <w:vMerge w:val="continue"/>
            <w:tcBorders>
              <w:tl2br w:val="nil"/>
              <w:tr2bl w:val="nil"/>
            </w:tcBorders>
            <w:shd w:val="clear" w:color="auto" w:fill="FFFFFF"/>
            <w:noWrap w:val="0"/>
            <w:vAlign w:val="center"/>
          </w:tcPr>
          <w:p w14:paraId="71FC03F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4B03E13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26A907B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12.8</w:t>
            </w:r>
          </w:p>
          <w:p w14:paraId="7BD33F11">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cs="Times New Roman"/>
                <w:color w:val="auto"/>
                <w:sz w:val="21"/>
                <w:szCs w:val="21"/>
                <w:u w:val="none" w:color="auto"/>
                <w:lang w:val="en-US" w:eastAsia="zh-CN"/>
              </w:rPr>
              <w:t>33.7</w:t>
            </w:r>
          </w:p>
          <w:p w14:paraId="472A023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13.2</w:t>
            </w:r>
          </w:p>
          <w:p w14:paraId="056F7C3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cs="Times New Roman"/>
                <w:color w:val="auto"/>
                <w:sz w:val="21"/>
                <w:szCs w:val="21"/>
                <w:u w:val="none" w:color="auto"/>
                <w:lang w:val="en-US" w:eastAsia="zh-CN"/>
              </w:rPr>
              <w:t>30.6</w:t>
            </w:r>
          </w:p>
        </w:tc>
        <w:tc>
          <w:tcPr>
            <w:tcW w:w="338" w:type="pct"/>
            <w:vMerge w:val="continue"/>
            <w:tcBorders>
              <w:tl2br w:val="nil"/>
              <w:tr2bl w:val="nil"/>
            </w:tcBorders>
            <w:shd w:val="clear" w:color="auto" w:fill="FFFFFF"/>
            <w:noWrap w:val="0"/>
            <w:vAlign w:val="center"/>
          </w:tcPr>
          <w:p w14:paraId="57BBE82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70D9A8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3BA7C5A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7953918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破碎机</w:t>
            </w:r>
          </w:p>
        </w:tc>
        <w:tc>
          <w:tcPr>
            <w:tcW w:w="378" w:type="pct"/>
            <w:tcBorders>
              <w:tl2br w:val="nil"/>
              <w:tr2bl w:val="nil"/>
            </w:tcBorders>
            <w:shd w:val="clear" w:color="auto" w:fill="FFFFFF"/>
            <w:noWrap w:val="0"/>
            <w:vAlign w:val="center"/>
          </w:tcPr>
          <w:p w14:paraId="7CB139BF">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91.02</w:t>
            </w:r>
          </w:p>
        </w:tc>
        <w:tc>
          <w:tcPr>
            <w:tcW w:w="275" w:type="pct"/>
            <w:vMerge w:val="continue"/>
            <w:tcBorders>
              <w:tl2br w:val="nil"/>
              <w:tr2bl w:val="nil"/>
            </w:tcBorders>
            <w:shd w:val="clear" w:color="auto" w:fill="FFFFFF"/>
            <w:noWrap w:val="0"/>
            <w:vAlign w:val="center"/>
          </w:tcPr>
          <w:p w14:paraId="02B7159C">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0F37D1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25</w:t>
            </w:r>
          </w:p>
        </w:tc>
        <w:tc>
          <w:tcPr>
            <w:tcW w:w="424" w:type="pct"/>
            <w:tcBorders>
              <w:tl2br w:val="nil"/>
              <w:tr2bl w:val="nil"/>
            </w:tcBorders>
            <w:shd w:val="clear" w:color="auto" w:fill="FFFFFF"/>
            <w:noWrap w:val="0"/>
            <w:vAlign w:val="center"/>
          </w:tcPr>
          <w:p w14:paraId="13DCF3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50.5</w:t>
            </w:r>
          </w:p>
        </w:tc>
        <w:tc>
          <w:tcPr>
            <w:tcW w:w="296" w:type="pct"/>
            <w:tcBorders>
              <w:tl2br w:val="nil"/>
              <w:tr2bl w:val="nil"/>
            </w:tcBorders>
            <w:shd w:val="clear" w:color="auto" w:fill="FFFFFF"/>
            <w:noWrap w:val="0"/>
            <w:vAlign w:val="center"/>
          </w:tcPr>
          <w:p w14:paraId="662AAD5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261F5A3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ascii="Times New Roman" w:hAnsi="Times New Roman" w:cs="Times New Roman"/>
                <w:color w:val="auto"/>
                <w:sz w:val="21"/>
                <w:szCs w:val="21"/>
                <w:u w:val="none" w:color="auto"/>
                <w:lang w:val="en-US" w:eastAsia="zh-CN"/>
              </w:rPr>
              <w:t>6</w:t>
            </w:r>
            <w:r>
              <w:rPr>
                <w:rFonts w:hint="default" w:ascii="Times New Roman" w:hAnsi="Times New Roman" w:cs="Times New Roman"/>
                <w:color w:val="auto"/>
                <w:sz w:val="21"/>
                <w:szCs w:val="21"/>
                <w:u w:val="none" w:color="auto"/>
                <w:lang w:val="en-US" w:eastAsia="zh-CN"/>
              </w:rPr>
              <w:t>0</w:t>
            </w:r>
          </w:p>
          <w:p w14:paraId="14535B2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南：83.9</w:t>
            </w:r>
          </w:p>
          <w:p w14:paraId="31AADEC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ascii="Times New Roman" w:hAnsi="Times New Roman" w:cs="Times New Roman"/>
                <w:color w:val="auto"/>
                <w:sz w:val="21"/>
                <w:szCs w:val="21"/>
                <w:u w:val="none" w:color="auto"/>
                <w:lang w:val="en-US" w:eastAsia="zh-CN"/>
              </w:rPr>
              <w:t>5</w:t>
            </w:r>
            <w:r>
              <w:rPr>
                <w:rFonts w:hint="default" w:ascii="Times New Roman" w:hAnsi="Times New Roman" w:cs="Times New Roman"/>
                <w:color w:val="auto"/>
                <w:sz w:val="21"/>
                <w:szCs w:val="21"/>
                <w:u w:val="none" w:color="auto"/>
                <w:lang w:val="en-US" w:eastAsia="zh-CN"/>
              </w:rPr>
              <w:t>9.7</w:t>
            </w:r>
          </w:p>
          <w:p w14:paraId="1F66ECC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北：15.2</w:t>
            </w:r>
          </w:p>
        </w:tc>
        <w:tc>
          <w:tcPr>
            <w:tcW w:w="435" w:type="pct"/>
            <w:tcBorders>
              <w:tl2br w:val="nil"/>
              <w:tr2bl w:val="nil"/>
            </w:tcBorders>
            <w:shd w:val="clear" w:color="auto" w:fill="FFFFFF"/>
            <w:noWrap w:val="0"/>
            <w:vAlign w:val="center"/>
          </w:tcPr>
          <w:p w14:paraId="5E10F10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东：55.4</w:t>
            </w:r>
          </w:p>
          <w:p w14:paraId="06CEB32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南：52.5</w:t>
            </w:r>
          </w:p>
          <w:p w14:paraId="6307B22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西：55.5</w:t>
            </w:r>
          </w:p>
          <w:p w14:paraId="226BC5B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北：67.3</w:t>
            </w:r>
          </w:p>
        </w:tc>
        <w:tc>
          <w:tcPr>
            <w:tcW w:w="378" w:type="pct"/>
            <w:vMerge w:val="continue"/>
            <w:tcBorders>
              <w:tl2br w:val="nil"/>
              <w:tr2bl w:val="nil"/>
            </w:tcBorders>
            <w:shd w:val="clear" w:color="auto" w:fill="FFFFFF"/>
            <w:noWrap w:val="0"/>
            <w:vAlign w:val="center"/>
          </w:tcPr>
          <w:p w14:paraId="6A2ABAD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5697A01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441D560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14.4</w:t>
            </w:r>
          </w:p>
          <w:p w14:paraId="41A2D63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南：</w:t>
            </w:r>
            <w:r>
              <w:rPr>
                <w:rFonts w:hint="eastAsia" w:cs="Times New Roman"/>
                <w:color w:val="auto"/>
                <w:sz w:val="21"/>
                <w:szCs w:val="21"/>
                <w:u w:val="none" w:color="auto"/>
                <w:lang w:val="en-US" w:eastAsia="zh-CN"/>
              </w:rPr>
              <w:t>30.5</w:t>
            </w:r>
          </w:p>
          <w:p w14:paraId="7A6D3F4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西：</w:t>
            </w:r>
            <w:r>
              <w:rPr>
                <w:rFonts w:hint="eastAsia" w:cs="Times New Roman"/>
                <w:color w:val="auto"/>
                <w:sz w:val="21"/>
                <w:szCs w:val="21"/>
                <w:u w:val="none" w:color="auto"/>
                <w:lang w:val="en-US" w:eastAsia="zh-CN"/>
              </w:rPr>
              <w:t>14.5</w:t>
            </w:r>
          </w:p>
          <w:p w14:paraId="07BBE381">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北：</w:t>
            </w:r>
            <w:r>
              <w:rPr>
                <w:rFonts w:hint="eastAsia" w:cs="Times New Roman"/>
                <w:color w:val="auto"/>
                <w:sz w:val="21"/>
                <w:szCs w:val="21"/>
                <w:u w:val="none" w:color="auto"/>
                <w:lang w:val="en-US" w:eastAsia="zh-CN"/>
              </w:rPr>
              <w:t>45.3</w:t>
            </w:r>
          </w:p>
        </w:tc>
        <w:tc>
          <w:tcPr>
            <w:tcW w:w="338" w:type="pct"/>
            <w:vMerge w:val="continue"/>
            <w:tcBorders>
              <w:tl2br w:val="nil"/>
              <w:tr2bl w:val="nil"/>
            </w:tcBorders>
            <w:shd w:val="clear" w:color="auto" w:fill="FFFFFF"/>
            <w:noWrap w:val="0"/>
            <w:vAlign w:val="center"/>
          </w:tcPr>
          <w:p w14:paraId="77200AF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17329C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257728B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54C911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空压机</w:t>
            </w:r>
          </w:p>
        </w:tc>
        <w:tc>
          <w:tcPr>
            <w:tcW w:w="378" w:type="pct"/>
            <w:tcBorders>
              <w:tl2br w:val="nil"/>
              <w:tr2bl w:val="nil"/>
            </w:tcBorders>
            <w:shd w:val="clear" w:color="auto" w:fill="FFFFFF"/>
            <w:noWrap w:val="0"/>
            <w:vAlign w:val="center"/>
          </w:tcPr>
          <w:p w14:paraId="67CB68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90</w:t>
            </w:r>
          </w:p>
        </w:tc>
        <w:tc>
          <w:tcPr>
            <w:tcW w:w="275" w:type="pct"/>
            <w:vMerge w:val="continue"/>
            <w:tcBorders>
              <w:tl2br w:val="nil"/>
              <w:tr2bl w:val="nil"/>
            </w:tcBorders>
            <w:shd w:val="clear" w:color="auto" w:fill="FFFFFF"/>
            <w:noWrap w:val="0"/>
            <w:vAlign w:val="center"/>
          </w:tcPr>
          <w:p w14:paraId="16930D5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50549AE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75</w:t>
            </w:r>
          </w:p>
        </w:tc>
        <w:tc>
          <w:tcPr>
            <w:tcW w:w="424" w:type="pct"/>
            <w:tcBorders>
              <w:tl2br w:val="nil"/>
              <w:tr2bl w:val="nil"/>
            </w:tcBorders>
            <w:shd w:val="clear" w:color="auto" w:fill="FFFFFF"/>
            <w:noWrap w:val="0"/>
            <w:vAlign w:val="center"/>
          </w:tcPr>
          <w:p w14:paraId="2844F6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10</w:t>
            </w:r>
          </w:p>
        </w:tc>
        <w:tc>
          <w:tcPr>
            <w:tcW w:w="296" w:type="pct"/>
            <w:tcBorders>
              <w:tl2br w:val="nil"/>
              <w:tr2bl w:val="nil"/>
            </w:tcBorders>
            <w:shd w:val="clear" w:color="auto" w:fill="FFFFFF"/>
            <w:noWrap w:val="0"/>
            <w:vAlign w:val="center"/>
          </w:tcPr>
          <w:p w14:paraId="2D60F1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Arial" w:cs="Times New Roman"/>
                <w:color w:val="auto"/>
                <w:sz w:val="21"/>
                <w:szCs w:val="21"/>
                <w:u w:val="none" w:color="auto"/>
              </w:rPr>
              <w:t>1.2</w:t>
            </w:r>
          </w:p>
        </w:tc>
        <w:tc>
          <w:tcPr>
            <w:tcW w:w="507" w:type="pct"/>
            <w:tcBorders>
              <w:tl2br w:val="nil"/>
              <w:tr2bl w:val="nil"/>
            </w:tcBorders>
            <w:shd w:val="clear" w:color="auto" w:fill="FFFFFF"/>
            <w:noWrap w:val="0"/>
            <w:vAlign w:val="center"/>
          </w:tcPr>
          <w:p w14:paraId="19C4D29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东：5.3</w:t>
            </w:r>
          </w:p>
          <w:p w14:paraId="75EA6C0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南：33.2</w:t>
            </w:r>
          </w:p>
          <w:p w14:paraId="15752DC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西：95.1</w:t>
            </w:r>
          </w:p>
          <w:p w14:paraId="7D13817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北：60.9</w:t>
            </w:r>
          </w:p>
        </w:tc>
        <w:tc>
          <w:tcPr>
            <w:tcW w:w="435" w:type="pct"/>
            <w:tcBorders>
              <w:tl2br w:val="nil"/>
              <w:tr2bl w:val="nil"/>
            </w:tcBorders>
            <w:shd w:val="clear" w:color="auto" w:fill="FFFFFF"/>
            <w:noWrap w:val="0"/>
            <w:vAlign w:val="center"/>
          </w:tcPr>
          <w:p w14:paraId="5D20826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东：75.5</w:t>
            </w:r>
          </w:p>
          <w:p w14:paraId="610F0EF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南：59.5</w:t>
            </w:r>
          </w:p>
          <w:p w14:paraId="694BCA2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西：50.4</w:t>
            </w:r>
          </w:p>
          <w:p w14:paraId="1A8D402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北：54.3</w:t>
            </w:r>
          </w:p>
        </w:tc>
        <w:tc>
          <w:tcPr>
            <w:tcW w:w="378" w:type="pct"/>
            <w:vMerge w:val="continue"/>
            <w:tcBorders>
              <w:tl2br w:val="nil"/>
              <w:tr2bl w:val="nil"/>
            </w:tcBorders>
            <w:shd w:val="clear" w:color="auto" w:fill="FFFFFF"/>
            <w:noWrap w:val="0"/>
            <w:vAlign w:val="center"/>
          </w:tcPr>
          <w:p w14:paraId="0EB59CB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4752775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1F52FB5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东：</w:t>
            </w:r>
            <w:r>
              <w:rPr>
                <w:rFonts w:hint="eastAsia" w:cs="Times New Roman"/>
                <w:color w:val="auto"/>
                <w:kern w:val="2"/>
                <w:sz w:val="21"/>
                <w:szCs w:val="21"/>
                <w:u w:val="none" w:color="auto"/>
                <w:lang w:val="en-US" w:eastAsia="zh-CN" w:bidi="ar-SA"/>
              </w:rPr>
              <w:t>34.5</w:t>
            </w:r>
          </w:p>
          <w:p w14:paraId="629F512E">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南：</w:t>
            </w:r>
            <w:r>
              <w:rPr>
                <w:rFonts w:hint="eastAsia" w:cs="Times New Roman"/>
                <w:color w:val="auto"/>
                <w:kern w:val="2"/>
                <w:sz w:val="21"/>
                <w:szCs w:val="21"/>
                <w:u w:val="none" w:color="auto"/>
                <w:lang w:val="en-US" w:eastAsia="zh-CN" w:bidi="ar-SA"/>
              </w:rPr>
              <w:t>37.5</w:t>
            </w:r>
          </w:p>
          <w:p w14:paraId="5A074DF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西：</w:t>
            </w:r>
            <w:r>
              <w:rPr>
                <w:rFonts w:hint="eastAsia" w:cs="Times New Roman"/>
                <w:color w:val="auto"/>
                <w:kern w:val="2"/>
                <w:sz w:val="21"/>
                <w:szCs w:val="21"/>
                <w:u w:val="none" w:color="auto"/>
                <w:lang w:val="en-US" w:eastAsia="zh-CN" w:bidi="ar-SA"/>
              </w:rPr>
              <w:t>9.4</w:t>
            </w:r>
          </w:p>
          <w:p w14:paraId="440A52D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w:t>
            </w:r>
            <w:r>
              <w:rPr>
                <w:rFonts w:hint="eastAsia" w:cs="Times New Roman"/>
                <w:color w:val="auto"/>
                <w:kern w:val="2"/>
                <w:sz w:val="21"/>
                <w:szCs w:val="21"/>
                <w:u w:val="none" w:color="auto"/>
                <w:lang w:val="en-US" w:eastAsia="zh-CN" w:bidi="ar-SA"/>
              </w:rPr>
              <w:t>32.2</w:t>
            </w:r>
          </w:p>
        </w:tc>
        <w:tc>
          <w:tcPr>
            <w:tcW w:w="338" w:type="pct"/>
            <w:vMerge w:val="continue"/>
            <w:tcBorders>
              <w:tl2br w:val="nil"/>
              <w:tr2bl w:val="nil"/>
            </w:tcBorders>
            <w:shd w:val="clear" w:color="auto" w:fill="FFFFFF"/>
            <w:noWrap w:val="0"/>
            <w:vAlign w:val="center"/>
          </w:tcPr>
          <w:p w14:paraId="09F1249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5EBCFE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restart"/>
            <w:tcBorders>
              <w:tl2br w:val="nil"/>
              <w:tr2bl w:val="nil"/>
            </w:tcBorders>
            <w:shd w:val="clear" w:color="auto" w:fill="FFFFFF"/>
            <w:noWrap w:val="0"/>
            <w:vAlign w:val="center"/>
          </w:tcPr>
          <w:p w14:paraId="519E208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2#厂房</w:t>
            </w:r>
          </w:p>
        </w:tc>
        <w:tc>
          <w:tcPr>
            <w:tcW w:w="392" w:type="pct"/>
            <w:tcBorders>
              <w:tl2br w:val="nil"/>
              <w:tr2bl w:val="nil"/>
            </w:tcBorders>
            <w:shd w:val="clear" w:color="auto" w:fill="FFFFFF"/>
            <w:noWrap w:val="0"/>
            <w:vAlign w:val="center"/>
          </w:tcPr>
          <w:p w14:paraId="55CEBC6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2#厂房自动裁切机</w:t>
            </w:r>
          </w:p>
        </w:tc>
        <w:tc>
          <w:tcPr>
            <w:tcW w:w="378" w:type="pct"/>
            <w:tcBorders>
              <w:tl2br w:val="nil"/>
              <w:tr2bl w:val="nil"/>
            </w:tcBorders>
            <w:shd w:val="clear" w:color="auto" w:fill="FFFFFF"/>
            <w:noWrap w:val="0"/>
            <w:vAlign w:val="center"/>
          </w:tcPr>
          <w:p w14:paraId="1EC4F3E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89.77</w:t>
            </w:r>
          </w:p>
        </w:tc>
        <w:tc>
          <w:tcPr>
            <w:tcW w:w="275" w:type="pct"/>
            <w:vMerge w:val="continue"/>
            <w:tcBorders>
              <w:tl2br w:val="nil"/>
              <w:tr2bl w:val="nil"/>
            </w:tcBorders>
            <w:shd w:val="clear" w:color="auto" w:fill="FFFFFF"/>
            <w:noWrap w:val="0"/>
            <w:vAlign w:val="center"/>
          </w:tcPr>
          <w:p w14:paraId="1DD7732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4502AC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-77.5</w:t>
            </w:r>
          </w:p>
        </w:tc>
        <w:tc>
          <w:tcPr>
            <w:tcW w:w="424" w:type="pct"/>
            <w:tcBorders>
              <w:tl2br w:val="nil"/>
              <w:tr2bl w:val="nil"/>
            </w:tcBorders>
            <w:shd w:val="clear" w:color="auto" w:fill="FFFFFF"/>
            <w:noWrap w:val="0"/>
            <w:vAlign w:val="center"/>
          </w:tcPr>
          <w:p w14:paraId="4AFA9B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-82</w:t>
            </w:r>
          </w:p>
        </w:tc>
        <w:tc>
          <w:tcPr>
            <w:tcW w:w="296" w:type="pct"/>
            <w:tcBorders>
              <w:tl2br w:val="nil"/>
              <w:tr2bl w:val="nil"/>
            </w:tcBorders>
            <w:shd w:val="clear" w:color="auto" w:fill="FFFFFF"/>
            <w:noWrap w:val="0"/>
            <w:vAlign w:val="center"/>
          </w:tcPr>
          <w:p w14:paraId="4F95AD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507" w:type="pct"/>
            <w:tcBorders>
              <w:tl2br w:val="nil"/>
              <w:tr2bl w:val="nil"/>
            </w:tcBorders>
            <w:shd w:val="clear" w:color="auto" w:fill="FFFFFF"/>
            <w:noWrap w:val="0"/>
            <w:vAlign w:val="center"/>
          </w:tcPr>
          <w:p w14:paraId="51EDD2A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东：92.6</w:t>
            </w:r>
          </w:p>
          <w:p w14:paraId="35C35A8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南：25.2</w:t>
            </w:r>
          </w:p>
          <w:p w14:paraId="3F24E50E">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西：42.7</w:t>
            </w:r>
          </w:p>
          <w:p w14:paraId="41E0856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北：24.2</w:t>
            </w:r>
          </w:p>
        </w:tc>
        <w:tc>
          <w:tcPr>
            <w:tcW w:w="435" w:type="pct"/>
            <w:tcBorders>
              <w:tl2br w:val="nil"/>
              <w:tr2bl w:val="nil"/>
            </w:tcBorders>
            <w:shd w:val="clear" w:color="auto" w:fill="FFFFFF"/>
            <w:noWrap w:val="0"/>
            <w:vAlign w:val="center"/>
          </w:tcPr>
          <w:p w14:paraId="5500DD2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东：50.4</w:t>
            </w:r>
          </w:p>
          <w:p w14:paraId="4D8A4D1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南：61.7</w:t>
            </w:r>
          </w:p>
          <w:p w14:paraId="4A6E576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西：57.1</w:t>
            </w:r>
          </w:p>
          <w:p w14:paraId="509A9027">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北：62.1</w:t>
            </w:r>
          </w:p>
        </w:tc>
        <w:tc>
          <w:tcPr>
            <w:tcW w:w="378" w:type="pct"/>
            <w:vMerge w:val="restart"/>
            <w:tcBorders>
              <w:tl2br w:val="nil"/>
              <w:tr2bl w:val="nil"/>
            </w:tcBorders>
            <w:shd w:val="clear" w:color="auto" w:fill="FFFFFF"/>
            <w:noWrap w:val="0"/>
            <w:vAlign w:val="center"/>
          </w:tcPr>
          <w:p w14:paraId="5917979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昼间</w:t>
            </w:r>
          </w:p>
        </w:tc>
        <w:tc>
          <w:tcPr>
            <w:tcW w:w="461" w:type="pct"/>
            <w:vMerge w:val="restart"/>
            <w:tcBorders>
              <w:tl2br w:val="nil"/>
              <w:tr2bl w:val="nil"/>
            </w:tcBorders>
            <w:shd w:val="clear" w:color="auto" w:fill="FFFFFF"/>
            <w:noWrap w:val="0"/>
            <w:vAlign w:val="center"/>
          </w:tcPr>
          <w:p w14:paraId="00E1C22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r>
              <w:rPr>
                <w:rFonts w:hint="default" w:ascii="Times New Roman" w:hAnsi="Times New Roman" w:cs="Times New Roman"/>
                <w:color w:val="auto"/>
                <w:sz w:val="21"/>
                <w:szCs w:val="21"/>
                <w:u w:val="none" w:color="auto"/>
                <w:lang w:val="en-US" w:eastAsia="zh-CN"/>
              </w:rPr>
              <w:t>东：</w:t>
            </w:r>
            <w:r>
              <w:rPr>
                <w:rFonts w:hint="eastAsia" w:cs="Times New Roman"/>
                <w:color w:val="auto"/>
                <w:sz w:val="21"/>
                <w:szCs w:val="21"/>
                <w:u w:val="none" w:color="auto"/>
                <w:lang w:val="en-US" w:eastAsia="zh-CN"/>
              </w:rPr>
              <w:t>22</w:t>
            </w:r>
            <w:r>
              <w:rPr>
                <w:rFonts w:hint="default" w:ascii="Times New Roman" w:hAnsi="Times New Roman" w:cs="Times New Roman"/>
                <w:color w:val="auto"/>
                <w:sz w:val="21"/>
                <w:szCs w:val="21"/>
                <w:u w:val="none" w:color="auto"/>
                <w:lang w:val="en-US" w:eastAsia="zh-CN"/>
              </w:rPr>
              <w:t>.0（门窗面积</w:t>
            </w:r>
            <w:r>
              <w:rPr>
                <w:rFonts w:hint="eastAsia" w:ascii="Times New Roman" w:hAnsi="Times New Roman"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0m</w:t>
            </w:r>
            <w:r>
              <w:rPr>
                <w:rFonts w:hint="default" w:ascii="Times New Roman" w:hAnsi="Times New Roman" w:cs="Times New Roman"/>
                <w:color w:val="auto"/>
                <w:sz w:val="21"/>
                <w:szCs w:val="21"/>
                <w:u w:val="none" w:color="auto"/>
                <w:vertAlign w:val="superscript"/>
                <w:lang w:val="en-US" w:eastAsia="zh-CN"/>
              </w:rPr>
              <w:t>2</w:t>
            </w:r>
            <w:r>
              <w:rPr>
                <w:rFonts w:hint="default" w:ascii="Times New Roman" w:hAnsi="Times New Roman" w:cs="Times New Roman"/>
                <w:color w:val="auto"/>
                <w:sz w:val="21"/>
                <w:szCs w:val="21"/>
                <w:u w:val="none" w:color="auto"/>
                <w:lang w:val="en-US" w:eastAsia="zh-CN"/>
              </w:rPr>
              <w:t>）南：41.0西：</w:t>
            </w:r>
            <w:r>
              <w:rPr>
                <w:rFonts w:hint="eastAsia" w:cs="Times New Roman"/>
                <w:color w:val="auto"/>
                <w:sz w:val="21"/>
                <w:szCs w:val="21"/>
                <w:u w:val="none" w:color="auto"/>
                <w:lang w:val="en-US" w:eastAsia="zh-CN"/>
              </w:rPr>
              <w:t>41</w:t>
            </w:r>
            <w:r>
              <w:rPr>
                <w:rFonts w:hint="default" w:ascii="Times New Roman" w:hAnsi="Times New Roman" w:cs="Times New Roman"/>
                <w:color w:val="auto"/>
                <w:sz w:val="21"/>
                <w:szCs w:val="21"/>
                <w:u w:val="none" w:color="auto"/>
                <w:lang w:val="en-US" w:eastAsia="zh-CN"/>
              </w:rPr>
              <w:t>.0北：</w:t>
            </w:r>
            <w:r>
              <w:rPr>
                <w:rFonts w:hint="eastAsia" w:ascii="Times New Roman" w:hAnsi="Times New Roman" w:cs="Times New Roman"/>
                <w:color w:val="auto"/>
                <w:sz w:val="21"/>
                <w:szCs w:val="21"/>
                <w:u w:val="none" w:color="auto"/>
                <w:lang w:val="en-US" w:eastAsia="zh-CN"/>
              </w:rPr>
              <w:t>22</w:t>
            </w:r>
            <w:r>
              <w:rPr>
                <w:rFonts w:hint="default" w:ascii="Times New Roman" w:hAnsi="Times New Roman" w:cs="Times New Roman"/>
                <w:color w:val="auto"/>
                <w:sz w:val="21"/>
                <w:szCs w:val="21"/>
                <w:u w:val="none" w:color="auto"/>
                <w:lang w:val="en-US" w:eastAsia="zh-CN"/>
              </w:rPr>
              <w:t>.0（门窗面积</w:t>
            </w:r>
            <w:r>
              <w:rPr>
                <w:rFonts w:hint="eastAsia" w:cs="Times New Roman"/>
                <w:color w:val="auto"/>
                <w:sz w:val="21"/>
                <w:szCs w:val="21"/>
                <w:u w:val="none" w:color="auto"/>
                <w:lang w:val="en-US" w:eastAsia="zh-CN"/>
              </w:rPr>
              <w:t>8</w:t>
            </w:r>
            <w:r>
              <w:rPr>
                <w:rFonts w:hint="default" w:ascii="Times New Roman" w:hAnsi="Times New Roman" w:cs="Times New Roman"/>
                <w:color w:val="auto"/>
                <w:sz w:val="21"/>
                <w:szCs w:val="21"/>
                <w:u w:val="none" w:color="auto"/>
                <w:lang w:val="en-US" w:eastAsia="zh-CN"/>
              </w:rPr>
              <w:t>0m</w:t>
            </w:r>
            <w:r>
              <w:rPr>
                <w:rFonts w:hint="default" w:ascii="Times New Roman" w:hAnsi="Times New Roman" w:cs="Times New Roman"/>
                <w:color w:val="auto"/>
                <w:sz w:val="21"/>
                <w:szCs w:val="21"/>
                <w:u w:val="none" w:color="auto"/>
                <w:vertAlign w:val="superscript"/>
                <w:lang w:val="en-US" w:eastAsia="zh-CN"/>
              </w:rPr>
              <w:t>2</w:t>
            </w:r>
            <w:r>
              <w:rPr>
                <w:rFonts w:hint="default" w:ascii="Times New Roman" w:hAnsi="Times New Roman" w:cs="Times New Roman"/>
                <w:color w:val="auto"/>
                <w:sz w:val="21"/>
                <w:szCs w:val="21"/>
                <w:u w:val="none" w:color="auto"/>
                <w:lang w:val="en-US" w:eastAsia="zh-CN"/>
              </w:rPr>
              <w:t>）</w:t>
            </w:r>
          </w:p>
        </w:tc>
        <w:tc>
          <w:tcPr>
            <w:tcW w:w="572" w:type="pct"/>
            <w:tcBorders>
              <w:tl2br w:val="nil"/>
              <w:tr2bl w:val="nil"/>
            </w:tcBorders>
            <w:shd w:val="clear" w:color="auto" w:fill="FFFFFF"/>
            <w:noWrap w:val="0"/>
            <w:vAlign w:val="center"/>
          </w:tcPr>
          <w:p w14:paraId="4DCA28B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东：</w:t>
            </w:r>
            <w:r>
              <w:rPr>
                <w:rFonts w:hint="eastAsia" w:cs="Times New Roman"/>
                <w:color w:val="auto"/>
                <w:kern w:val="2"/>
                <w:sz w:val="21"/>
                <w:szCs w:val="21"/>
                <w:u w:val="none" w:color="auto"/>
                <w:lang w:val="en-US" w:eastAsia="zh-CN" w:bidi="ar-SA"/>
              </w:rPr>
              <w:t>28.4</w:t>
            </w:r>
          </w:p>
          <w:p w14:paraId="34B39ED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南：</w:t>
            </w:r>
            <w:r>
              <w:rPr>
                <w:rFonts w:hint="eastAsia" w:cs="Times New Roman"/>
                <w:color w:val="auto"/>
                <w:kern w:val="2"/>
                <w:sz w:val="21"/>
                <w:szCs w:val="21"/>
                <w:u w:val="none" w:color="auto"/>
                <w:lang w:val="en-US" w:eastAsia="zh-CN" w:bidi="ar-SA"/>
              </w:rPr>
              <w:t>20.7</w:t>
            </w:r>
          </w:p>
          <w:p w14:paraId="10E753C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西：</w:t>
            </w:r>
            <w:r>
              <w:rPr>
                <w:rFonts w:hint="eastAsia" w:cs="Times New Roman"/>
                <w:color w:val="auto"/>
                <w:kern w:val="2"/>
                <w:sz w:val="21"/>
                <w:szCs w:val="21"/>
                <w:u w:val="none" w:color="auto"/>
                <w:lang w:val="en-US" w:eastAsia="zh-CN" w:bidi="ar-SA"/>
              </w:rPr>
              <w:t>16.1</w:t>
            </w:r>
          </w:p>
          <w:p w14:paraId="69825DB1">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w:t>
            </w:r>
            <w:r>
              <w:rPr>
                <w:rFonts w:hint="eastAsia" w:cs="Times New Roman"/>
                <w:color w:val="auto"/>
                <w:kern w:val="2"/>
                <w:sz w:val="21"/>
                <w:szCs w:val="21"/>
                <w:u w:val="none" w:color="auto"/>
                <w:lang w:val="en-US" w:eastAsia="zh-CN" w:bidi="ar-SA"/>
              </w:rPr>
              <w:t>40.1</w:t>
            </w:r>
          </w:p>
        </w:tc>
        <w:tc>
          <w:tcPr>
            <w:tcW w:w="338" w:type="pct"/>
            <w:vMerge w:val="continue"/>
            <w:tcBorders>
              <w:tl2br w:val="nil"/>
              <w:tr2bl w:val="nil"/>
            </w:tcBorders>
            <w:shd w:val="clear" w:color="auto" w:fill="FFFFFF"/>
            <w:noWrap w:val="0"/>
            <w:vAlign w:val="center"/>
          </w:tcPr>
          <w:p w14:paraId="3E3E99C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tr w14:paraId="794CC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125" w:hRule="atLeast"/>
          <w:jc w:val="center"/>
        </w:trPr>
        <w:tc>
          <w:tcPr>
            <w:tcW w:w="212" w:type="pct"/>
            <w:vMerge w:val="continue"/>
            <w:tcBorders>
              <w:tl2br w:val="nil"/>
              <w:tr2bl w:val="nil"/>
            </w:tcBorders>
            <w:shd w:val="clear" w:color="auto" w:fill="FFFFFF"/>
            <w:noWrap w:val="0"/>
            <w:vAlign w:val="center"/>
          </w:tcPr>
          <w:p w14:paraId="29884EED">
            <w:pPr>
              <w:pStyle w:val="24"/>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u w:val="none" w:color="auto"/>
                <w:lang w:val="en-US" w:eastAsia="zh-CN"/>
              </w:rPr>
            </w:pPr>
          </w:p>
        </w:tc>
        <w:tc>
          <w:tcPr>
            <w:tcW w:w="392" w:type="pct"/>
            <w:tcBorders>
              <w:tl2br w:val="nil"/>
              <w:tr2bl w:val="nil"/>
            </w:tcBorders>
            <w:shd w:val="clear" w:color="auto" w:fill="FFFFFF"/>
            <w:noWrap w:val="0"/>
            <w:vAlign w:val="center"/>
          </w:tcPr>
          <w:p w14:paraId="405C596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2#厂房覆膜机</w:t>
            </w:r>
          </w:p>
        </w:tc>
        <w:tc>
          <w:tcPr>
            <w:tcW w:w="378" w:type="pct"/>
            <w:tcBorders>
              <w:tl2br w:val="nil"/>
              <w:tr2bl w:val="nil"/>
            </w:tcBorders>
            <w:shd w:val="clear" w:color="auto" w:fill="FFFFFF"/>
            <w:noWrap w:val="0"/>
            <w:vAlign w:val="center"/>
          </w:tcPr>
          <w:p w14:paraId="4A02506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89.15</w:t>
            </w:r>
          </w:p>
        </w:tc>
        <w:tc>
          <w:tcPr>
            <w:tcW w:w="275" w:type="pct"/>
            <w:vMerge w:val="continue"/>
            <w:tcBorders>
              <w:tl2br w:val="nil"/>
              <w:tr2bl w:val="nil"/>
            </w:tcBorders>
            <w:shd w:val="clear" w:color="auto" w:fill="FFFFFF"/>
            <w:noWrap w:val="0"/>
            <w:vAlign w:val="center"/>
          </w:tcPr>
          <w:p w14:paraId="109C99B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328" w:type="pct"/>
            <w:tcBorders>
              <w:tl2br w:val="nil"/>
              <w:tr2bl w:val="nil"/>
            </w:tcBorders>
            <w:shd w:val="clear" w:color="auto" w:fill="FFFFFF"/>
            <w:noWrap w:val="0"/>
            <w:vAlign w:val="center"/>
          </w:tcPr>
          <w:p w14:paraId="6A7FAC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-22.5</w:t>
            </w:r>
          </w:p>
        </w:tc>
        <w:tc>
          <w:tcPr>
            <w:tcW w:w="424" w:type="pct"/>
            <w:tcBorders>
              <w:tl2br w:val="nil"/>
              <w:tr2bl w:val="nil"/>
            </w:tcBorders>
            <w:shd w:val="clear" w:color="auto" w:fill="FFFFFF"/>
            <w:noWrap w:val="0"/>
            <w:vAlign w:val="center"/>
          </w:tcPr>
          <w:p w14:paraId="1A48E2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kern w:val="2"/>
                <w:sz w:val="21"/>
                <w:szCs w:val="21"/>
                <w:u w:val="none" w:color="auto"/>
                <w:lang w:val="en-US" w:eastAsia="zh-CN" w:bidi="ar-SA"/>
              </w:rPr>
              <w:t>-79</w:t>
            </w:r>
          </w:p>
        </w:tc>
        <w:tc>
          <w:tcPr>
            <w:tcW w:w="296" w:type="pct"/>
            <w:tcBorders>
              <w:tl2br w:val="nil"/>
              <w:tr2bl w:val="nil"/>
            </w:tcBorders>
            <w:shd w:val="clear" w:color="auto" w:fill="FFFFFF"/>
            <w:noWrap w:val="0"/>
            <w:vAlign w:val="center"/>
          </w:tcPr>
          <w:p w14:paraId="662EEB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507" w:type="pct"/>
            <w:tcBorders>
              <w:tl2br w:val="nil"/>
              <w:tr2bl w:val="nil"/>
            </w:tcBorders>
            <w:shd w:val="clear" w:color="auto" w:fill="FFFFFF"/>
            <w:noWrap w:val="0"/>
            <w:vAlign w:val="center"/>
          </w:tcPr>
          <w:p w14:paraId="362FB36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东：</w:t>
            </w:r>
            <w:r>
              <w:rPr>
                <w:rFonts w:hint="eastAsia" w:ascii="Times New Roman" w:hAnsi="Times New Roman" w:eastAsia="宋体" w:cs="Times New Roman"/>
                <w:color w:val="auto"/>
                <w:kern w:val="2"/>
                <w:sz w:val="21"/>
                <w:szCs w:val="21"/>
                <w:u w:val="none" w:color="auto"/>
                <w:lang w:val="en-US" w:eastAsia="zh-CN" w:bidi="ar-SA"/>
              </w:rPr>
              <w:t>66</w:t>
            </w:r>
            <w:r>
              <w:rPr>
                <w:rFonts w:hint="default" w:ascii="Times New Roman" w:hAnsi="Times New Roman" w:eastAsia="宋体" w:cs="Times New Roman"/>
                <w:color w:val="auto"/>
                <w:kern w:val="2"/>
                <w:sz w:val="21"/>
                <w:szCs w:val="21"/>
                <w:u w:val="none" w:color="auto"/>
                <w:lang w:val="en-US" w:eastAsia="zh-CN" w:bidi="ar-SA"/>
              </w:rPr>
              <w:t>.6</w:t>
            </w:r>
          </w:p>
          <w:p w14:paraId="0EBE79A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南：25.2</w:t>
            </w:r>
          </w:p>
          <w:p w14:paraId="57849AE6">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西：</w:t>
            </w:r>
            <w:r>
              <w:rPr>
                <w:rFonts w:hint="eastAsia" w:ascii="Times New Roman" w:hAnsi="Times New Roman" w:eastAsia="宋体" w:cs="Times New Roman"/>
                <w:color w:val="auto"/>
                <w:kern w:val="2"/>
                <w:sz w:val="21"/>
                <w:szCs w:val="21"/>
                <w:u w:val="none" w:color="auto"/>
                <w:lang w:val="en-US" w:eastAsia="zh-CN" w:bidi="ar-SA"/>
              </w:rPr>
              <w:t>68</w:t>
            </w:r>
            <w:r>
              <w:rPr>
                <w:rFonts w:hint="default" w:ascii="Times New Roman" w:hAnsi="Times New Roman" w:eastAsia="宋体" w:cs="Times New Roman"/>
                <w:color w:val="auto"/>
                <w:kern w:val="2"/>
                <w:sz w:val="21"/>
                <w:szCs w:val="21"/>
                <w:u w:val="none" w:color="auto"/>
                <w:lang w:val="en-US" w:eastAsia="zh-CN" w:bidi="ar-SA"/>
              </w:rPr>
              <w:t>.7</w:t>
            </w:r>
          </w:p>
          <w:p w14:paraId="61E0DE64">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北：24.2</w:t>
            </w:r>
          </w:p>
        </w:tc>
        <w:tc>
          <w:tcPr>
            <w:tcW w:w="435" w:type="pct"/>
            <w:tcBorders>
              <w:tl2br w:val="nil"/>
              <w:tr2bl w:val="nil"/>
            </w:tcBorders>
            <w:shd w:val="clear" w:color="auto" w:fill="FFFFFF"/>
            <w:noWrap w:val="0"/>
            <w:vAlign w:val="center"/>
          </w:tcPr>
          <w:p w14:paraId="23DF0EAF">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东：52.6</w:t>
            </w:r>
          </w:p>
          <w:p w14:paraId="15C31E8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南：61.1</w:t>
            </w:r>
          </w:p>
          <w:p w14:paraId="73FCE9FB">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西：52.4</w:t>
            </w:r>
          </w:p>
          <w:p w14:paraId="4C9CDDB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北：61.4</w:t>
            </w:r>
          </w:p>
        </w:tc>
        <w:tc>
          <w:tcPr>
            <w:tcW w:w="378" w:type="pct"/>
            <w:vMerge w:val="continue"/>
            <w:tcBorders>
              <w:tl2br w:val="nil"/>
              <w:tr2bl w:val="nil"/>
            </w:tcBorders>
            <w:shd w:val="clear" w:color="auto" w:fill="FFFFFF"/>
            <w:noWrap w:val="0"/>
            <w:vAlign w:val="center"/>
          </w:tcPr>
          <w:p w14:paraId="21535B42">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461" w:type="pct"/>
            <w:vMerge w:val="continue"/>
            <w:tcBorders>
              <w:tl2br w:val="nil"/>
              <w:tr2bl w:val="nil"/>
            </w:tcBorders>
            <w:shd w:val="clear" w:color="auto" w:fill="FFFFFF"/>
            <w:noWrap w:val="0"/>
            <w:vAlign w:val="center"/>
          </w:tcPr>
          <w:p w14:paraId="15EE271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c>
          <w:tcPr>
            <w:tcW w:w="572" w:type="pct"/>
            <w:tcBorders>
              <w:tl2br w:val="nil"/>
              <w:tr2bl w:val="nil"/>
            </w:tcBorders>
            <w:shd w:val="clear" w:color="auto" w:fill="FFFFFF"/>
            <w:noWrap w:val="0"/>
            <w:vAlign w:val="center"/>
          </w:tcPr>
          <w:p w14:paraId="2192995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东：</w:t>
            </w:r>
            <w:r>
              <w:rPr>
                <w:rFonts w:hint="eastAsia" w:cs="Times New Roman"/>
                <w:color w:val="auto"/>
                <w:kern w:val="2"/>
                <w:sz w:val="21"/>
                <w:szCs w:val="21"/>
                <w:u w:val="none" w:color="auto"/>
                <w:lang w:val="en-US" w:eastAsia="zh-CN" w:bidi="ar-SA"/>
              </w:rPr>
              <w:t>30.6</w:t>
            </w:r>
          </w:p>
          <w:p w14:paraId="0659282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南：</w:t>
            </w:r>
            <w:r>
              <w:rPr>
                <w:rFonts w:hint="eastAsia" w:cs="Times New Roman"/>
                <w:color w:val="auto"/>
                <w:kern w:val="2"/>
                <w:sz w:val="21"/>
                <w:szCs w:val="21"/>
                <w:u w:val="none" w:color="auto"/>
                <w:lang w:val="en-US" w:eastAsia="zh-CN" w:bidi="ar-SA"/>
              </w:rPr>
              <w:t>20.1</w:t>
            </w:r>
          </w:p>
          <w:p w14:paraId="63958EA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西：</w:t>
            </w:r>
            <w:r>
              <w:rPr>
                <w:rFonts w:hint="eastAsia" w:cs="Times New Roman"/>
                <w:color w:val="auto"/>
                <w:kern w:val="2"/>
                <w:sz w:val="21"/>
                <w:szCs w:val="21"/>
                <w:u w:val="none" w:color="auto"/>
                <w:lang w:val="en-US" w:eastAsia="zh-CN" w:bidi="ar-SA"/>
              </w:rPr>
              <w:t>11.4</w:t>
            </w:r>
          </w:p>
          <w:p w14:paraId="67A0B08D">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北：</w:t>
            </w:r>
            <w:r>
              <w:rPr>
                <w:rFonts w:hint="eastAsia" w:cs="Times New Roman"/>
                <w:color w:val="auto"/>
                <w:kern w:val="2"/>
                <w:sz w:val="21"/>
                <w:szCs w:val="21"/>
                <w:u w:val="none" w:color="auto"/>
                <w:lang w:val="en-US" w:eastAsia="zh-CN" w:bidi="ar-SA"/>
              </w:rPr>
              <w:t>39.4</w:t>
            </w:r>
          </w:p>
        </w:tc>
        <w:tc>
          <w:tcPr>
            <w:tcW w:w="338" w:type="pct"/>
            <w:vMerge w:val="continue"/>
            <w:tcBorders>
              <w:tl2br w:val="nil"/>
              <w:tr2bl w:val="nil"/>
            </w:tcBorders>
            <w:shd w:val="clear" w:color="auto" w:fill="FFFFFF"/>
            <w:noWrap w:val="0"/>
            <w:vAlign w:val="center"/>
          </w:tcPr>
          <w:p w14:paraId="2E6A072C">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u w:val="none" w:color="auto"/>
                <w:lang w:val="en-US" w:eastAsia="zh-CN"/>
              </w:rPr>
            </w:pPr>
          </w:p>
        </w:tc>
      </w:tr>
      <w:bookmarkEnd w:id="1106"/>
    </w:tbl>
    <w:p w14:paraId="1A098852">
      <w:pPr>
        <w:shd w:val="clear" w:color="auto" w:fil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 w:val="0"/>
          <w:bCs/>
          <w:color w:val="auto"/>
          <w:sz w:val="21"/>
          <w:szCs w:val="21"/>
          <w:highlight w:val="none"/>
          <w:u w:val="none" w:color="auto"/>
          <w:lang w:val="en-US" w:eastAsia="zh-CN"/>
        </w:rPr>
        <w:t>备注：表中坐标以厂界中心（</w:t>
      </w:r>
      <w:r>
        <w:rPr>
          <w:rFonts w:hint="eastAsia" w:ascii="Times New Roman" w:hAnsi="Times New Roman" w:eastAsia="宋体" w:cs="Times New Roman"/>
          <w:color w:val="auto"/>
          <w:kern w:val="2"/>
          <w:sz w:val="21"/>
          <w:szCs w:val="21"/>
          <w:highlight w:val="none"/>
          <w:u w:val="none" w:color="auto"/>
          <w:lang w:val="en-US" w:eastAsia="zh-CN" w:bidi="ar-SA"/>
        </w:rPr>
        <w:t>东经</w:t>
      </w:r>
      <w:r>
        <w:rPr>
          <w:rFonts w:hint="default" w:ascii="Times New Roman" w:hAnsi="Times New Roman" w:eastAsia="宋体" w:cs="Times New Roman"/>
          <w:b w:val="0"/>
          <w:bCs/>
          <w:color w:val="auto"/>
          <w:sz w:val="21"/>
          <w:szCs w:val="21"/>
          <w:u w:val="none" w:color="auto"/>
          <w:lang w:val="en-US" w:eastAsia="zh-CN"/>
        </w:rPr>
        <w:t>113.142721</w:t>
      </w:r>
      <w:r>
        <w:rPr>
          <w:rFonts w:hint="eastAsia" w:ascii="Times New Roman" w:hAnsi="Times New Roman" w:eastAsia="宋体" w:cs="Times New Roman"/>
          <w:b w:val="0"/>
          <w:bCs/>
          <w:color w:val="auto"/>
          <w:sz w:val="21"/>
          <w:szCs w:val="21"/>
          <w:u w:val="none" w:color="auto"/>
          <w:lang w:val="en-US" w:eastAsia="zh-CN"/>
        </w:rPr>
        <w:t>，</w:t>
      </w:r>
      <w:r>
        <w:rPr>
          <w:rFonts w:hint="eastAsia" w:ascii="Times New Roman" w:hAnsi="Times New Roman" w:eastAsia="宋体" w:cs="Times New Roman"/>
          <w:color w:val="auto"/>
          <w:kern w:val="2"/>
          <w:sz w:val="21"/>
          <w:szCs w:val="21"/>
          <w:highlight w:val="none"/>
          <w:u w:val="none" w:color="auto"/>
          <w:lang w:val="en-US" w:eastAsia="zh-CN" w:bidi="ar-SA"/>
        </w:rPr>
        <w:t>北纬</w:t>
      </w:r>
      <w:r>
        <w:rPr>
          <w:rFonts w:hint="default" w:ascii="Times New Roman" w:hAnsi="Times New Roman" w:eastAsia="宋体" w:cs="Times New Roman"/>
          <w:b w:val="0"/>
          <w:bCs/>
          <w:color w:val="auto"/>
          <w:sz w:val="21"/>
          <w:szCs w:val="21"/>
          <w:u w:val="none" w:color="auto"/>
          <w:lang w:val="en-US" w:eastAsia="zh-CN"/>
        </w:rPr>
        <w:t>28.766549</w:t>
      </w:r>
      <w:r>
        <w:rPr>
          <w:rFonts w:hint="default" w:ascii="Times New Roman" w:hAnsi="Times New Roman" w:eastAsia="宋体" w:cs="Times New Roman"/>
          <w:b w:val="0"/>
          <w:bCs/>
          <w:color w:val="auto"/>
          <w:sz w:val="21"/>
          <w:szCs w:val="21"/>
          <w:highlight w:val="none"/>
          <w:u w:val="none" w:color="auto"/>
          <w:lang w:val="en-US" w:eastAsia="zh-CN"/>
        </w:rPr>
        <w:t>）为坐标原点，正东向为X轴正方向，正北向为Y轴正方向。</w:t>
      </w:r>
    </w:p>
    <w:p w14:paraId="116BCE56">
      <w:pPr>
        <w:pStyle w:val="30"/>
        <w:bidi w:val="0"/>
        <w:rPr>
          <w:rFonts w:hint="eastAsia"/>
          <w:color w:val="auto"/>
          <w:u w:val="none" w:color="auto"/>
          <w:lang w:val="en-US" w:eastAsia="zh-CN"/>
        </w:rPr>
      </w:pPr>
      <w:r>
        <w:rPr>
          <w:rFonts w:hint="eastAsia" w:ascii="Times New Roman" w:hAnsi="Times New Roman" w:cs="Times New Roman"/>
          <w:color w:val="auto"/>
          <w:u w:val="none" w:color="auto"/>
          <w:lang w:val="en-US" w:eastAsia="zh-CN"/>
        </w:rPr>
        <w:t>表6.2-</w:t>
      </w:r>
      <w:r>
        <w:rPr>
          <w:rFonts w:hint="eastAsia" w:cs="Times New Roman"/>
          <w:color w:val="auto"/>
          <w:u w:val="none" w:color="auto"/>
          <w:lang w:val="en-US" w:eastAsia="zh-CN"/>
        </w:rPr>
        <w:t>20</w:t>
      </w:r>
      <w:r>
        <w:rPr>
          <w:rFonts w:hint="eastAsia" w:ascii="Times New Roman" w:hAnsi="Times New Roman" w:cs="Times New Roman"/>
          <w:color w:val="auto"/>
          <w:u w:val="none" w:color="auto"/>
          <w:lang w:val="en-US" w:eastAsia="zh-CN"/>
        </w:rPr>
        <w:t xml:space="preserve"> </w:t>
      </w:r>
      <w:r>
        <w:rPr>
          <w:rFonts w:hint="default"/>
          <w:color w:val="auto"/>
          <w:u w:val="none" w:color="auto"/>
          <w:lang w:val="en-US" w:eastAsia="zh-CN"/>
        </w:rPr>
        <w:t>项目</w:t>
      </w:r>
      <w:r>
        <w:rPr>
          <w:rFonts w:hint="eastAsia"/>
          <w:color w:val="auto"/>
          <w:u w:val="none" w:color="auto"/>
          <w:lang w:val="en-US" w:eastAsia="zh-CN"/>
        </w:rPr>
        <w:t>主要设备噪声源强调查清单（室外声源）</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031"/>
        <w:gridCol w:w="791"/>
        <w:gridCol w:w="728"/>
        <w:gridCol w:w="728"/>
        <w:gridCol w:w="2126"/>
        <w:gridCol w:w="1395"/>
        <w:gridCol w:w="1034"/>
      </w:tblGrid>
      <w:tr w14:paraId="43CAD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restart"/>
            <w:tcBorders>
              <w:tl2br w:val="nil"/>
              <w:tr2bl w:val="nil"/>
            </w:tcBorders>
            <w:noWrap w:val="0"/>
            <w:vAlign w:val="center"/>
          </w:tcPr>
          <w:p w14:paraId="528A243D">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序号</w:t>
            </w:r>
          </w:p>
        </w:tc>
        <w:tc>
          <w:tcPr>
            <w:tcW w:w="1031" w:type="dxa"/>
            <w:vMerge w:val="restart"/>
            <w:tcBorders>
              <w:tl2br w:val="nil"/>
              <w:tr2bl w:val="nil"/>
            </w:tcBorders>
            <w:noWrap w:val="0"/>
            <w:vAlign w:val="center"/>
          </w:tcPr>
          <w:p w14:paraId="206D34E9">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声源名称</w:t>
            </w:r>
          </w:p>
        </w:tc>
        <w:tc>
          <w:tcPr>
            <w:tcW w:w="2247" w:type="dxa"/>
            <w:gridSpan w:val="3"/>
            <w:tcBorders>
              <w:tl2br w:val="nil"/>
              <w:tr2bl w:val="nil"/>
            </w:tcBorders>
            <w:noWrap w:val="0"/>
            <w:vAlign w:val="center"/>
          </w:tcPr>
          <w:p w14:paraId="05D2C82E">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空间相对位置/m</w:t>
            </w:r>
          </w:p>
        </w:tc>
        <w:tc>
          <w:tcPr>
            <w:tcW w:w="2126" w:type="dxa"/>
            <w:tcBorders>
              <w:tl2br w:val="nil"/>
              <w:tr2bl w:val="nil"/>
            </w:tcBorders>
            <w:noWrap w:val="0"/>
            <w:vAlign w:val="center"/>
          </w:tcPr>
          <w:p w14:paraId="50AD31D6">
            <w:pPr>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b/>
                <w:color w:val="auto"/>
                <w:sz w:val="21"/>
                <w:szCs w:val="21"/>
                <w:u w:val="none" w:color="auto"/>
                <w:lang w:eastAsia="zh-CN"/>
              </w:rPr>
              <w:t>声源源强</w:t>
            </w:r>
          </w:p>
        </w:tc>
        <w:tc>
          <w:tcPr>
            <w:tcW w:w="1395" w:type="dxa"/>
            <w:vMerge w:val="restart"/>
            <w:tcBorders>
              <w:tl2br w:val="nil"/>
              <w:tr2bl w:val="nil"/>
            </w:tcBorders>
            <w:noWrap w:val="0"/>
            <w:vAlign w:val="center"/>
          </w:tcPr>
          <w:p w14:paraId="75162FEC">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声源控制措施</w:t>
            </w:r>
          </w:p>
        </w:tc>
        <w:tc>
          <w:tcPr>
            <w:tcW w:w="1034" w:type="dxa"/>
            <w:vMerge w:val="restart"/>
            <w:tcBorders>
              <w:tl2br w:val="nil"/>
              <w:tr2bl w:val="nil"/>
            </w:tcBorders>
            <w:noWrap w:val="0"/>
            <w:vAlign w:val="center"/>
          </w:tcPr>
          <w:p w14:paraId="0BF0EB3A">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b/>
                <w:color w:val="auto"/>
                <w:sz w:val="21"/>
                <w:szCs w:val="21"/>
                <w:u w:val="none" w:color="auto"/>
              </w:rPr>
              <w:t>运行时段</w:t>
            </w:r>
          </w:p>
        </w:tc>
      </w:tr>
      <w:tr w14:paraId="78660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1" w:type="dxa"/>
            <w:vMerge w:val="continue"/>
            <w:tcBorders>
              <w:tl2br w:val="nil"/>
              <w:tr2bl w:val="nil"/>
            </w:tcBorders>
            <w:shd w:val="clear" w:color="auto" w:fill="FFFFFF"/>
            <w:noWrap w:val="0"/>
            <w:vAlign w:val="center"/>
          </w:tcPr>
          <w:p w14:paraId="06456063">
            <w:pPr>
              <w:jc w:val="center"/>
              <w:rPr>
                <w:rFonts w:hint="default" w:ascii="Times New Roman" w:hAnsi="Times New Roman" w:eastAsia="宋体" w:cs="Times New Roman"/>
                <w:color w:val="auto"/>
                <w:sz w:val="21"/>
                <w:szCs w:val="21"/>
                <w:u w:val="none" w:color="auto"/>
              </w:rPr>
            </w:pPr>
          </w:p>
        </w:tc>
        <w:tc>
          <w:tcPr>
            <w:tcW w:w="1031" w:type="dxa"/>
            <w:vMerge w:val="continue"/>
            <w:tcBorders>
              <w:tl2br w:val="nil"/>
              <w:tr2bl w:val="nil"/>
            </w:tcBorders>
            <w:shd w:val="clear" w:color="auto" w:fill="FFFFFF"/>
            <w:noWrap w:val="0"/>
            <w:vAlign w:val="center"/>
          </w:tcPr>
          <w:p w14:paraId="5B3B561E">
            <w:pPr>
              <w:jc w:val="center"/>
              <w:rPr>
                <w:rFonts w:hint="default" w:ascii="Times New Roman" w:hAnsi="Times New Roman" w:eastAsia="宋体" w:cs="Times New Roman"/>
                <w:color w:val="auto"/>
                <w:sz w:val="21"/>
                <w:szCs w:val="21"/>
                <w:u w:val="none" w:color="auto"/>
              </w:rPr>
            </w:pPr>
          </w:p>
        </w:tc>
        <w:tc>
          <w:tcPr>
            <w:tcW w:w="791" w:type="dxa"/>
            <w:tcBorders>
              <w:tl2br w:val="nil"/>
              <w:tr2bl w:val="nil"/>
            </w:tcBorders>
            <w:shd w:val="clear" w:color="auto" w:fill="FFFFFF"/>
            <w:noWrap w:val="0"/>
            <w:vAlign w:val="center"/>
          </w:tcPr>
          <w:p w14:paraId="5171B6EC">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X</w:t>
            </w:r>
          </w:p>
        </w:tc>
        <w:tc>
          <w:tcPr>
            <w:tcW w:w="728" w:type="dxa"/>
            <w:tcBorders>
              <w:tl2br w:val="nil"/>
              <w:tr2bl w:val="nil"/>
            </w:tcBorders>
            <w:shd w:val="clear" w:color="auto" w:fill="FFFFFF"/>
            <w:noWrap w:val="0"/>
            <w:vAlign w:val="center"/>
          </w:tcPr>
          <w:p w14:paraId="17C3C78E">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Y</w:t>
            </w:r>
          </w:p>
        </w:tc>
        <w:tc>
          <w:tcPr>
            <w:tcW w:w="728" w:type="dxa"/>
            <w:tcBorders>
              <w:tl2br w:val="nil"/>
              <w:tr2bl w:val="nil"/>
            </w:tcBorders>
            <w:shd w:val="clear" w:color="auto" w:fill="FFFFFF"/>
            <w:noWrap w:val="0"/>
            <w:vAlign w:val="center"/>
          </w:tcPr>
          <w:p w14:paraId="061A5E49">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Z</w:t>
            </w:r>
          </w:p>
        </w:tc>
        <w:tc>
          <w:tcPr>
            <w:tcW w:w="2126" w:type="dxa"/>
            <w:tcBorders>
              <w:tl2br w:val="nil"/>
              <w:tr2bl w:val="nil"/>
            </w:tcBorders>
            <w:shd w:val="clear" w:color="auto" w:fill="FFFFFF"/>
            <w:noWrap w:val="0"/>
            <w:vAlign w:val="center"/>
          </w:tcPr>
          <w:p w14:paraId="5978BB35">
            <w:pPr>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声功率级/dB(A)</w:t>
            </w:r>
          </w:p>
        </w:tc>
        <w:tc>
          <w:tcPr>
            <w:tcW w:w="1395" w:type="dxa"/>
            <w:vMerge w:val="continue"/>
            <w:tcBorders>
              <w:tl2br w:val="nil"/>
              <w:tr2bl w:val="nil"/>
            </w:tcBorders>
            <w:shd w:val="clear" w:color="auto" w:fill="FFFFFF"/>
            <w:noWrap w:val="0"/>
            <w:vAlign w:val="center"/>
          </w:tcPr>
          <w:p w14:paraId="1947A9EE">
            <w:pPr>
              <w:jc w:val="center"/>
              <w:rPr>
                <w:rFonts w:hint="default" w:ascii="Times New Roman" w:hAnsi="Times New Roman" w:eastAsia="宋体" w:cs="Times New Roman"/>
                <w:color w:val="auto"/>
                <w:sz w:val="21"/>
                <w:szCs w:val="21"/>
                <w:u w:val="none" w:color="auto"/>
              </w:rPr>
            </w:pPr>
          </w:p>
        </w:tc>
        <w:tc>
          <w:tcPr>
            <w:tcW w:w="1034" w:type="dxa"/>
            <w:vMerge w:val="continue"/>
            <w:tcBorders>
              <w:tl2br w:val="nil"/>
              <w:tr2bl w:val="nil"/>
            </w:tcBorders>
            <w:shd w:val="clear" w:color="auto" w:fill="FFFFFF"/>
            <w:noWrap w:val="0"/>
            <w:vAlign w:val="center"/>
          </w:tcPr>
          <w:p w14:paraId="476A0A4E">
            <w:pPr>
              <w:jc w:val="center"/>
              <w:rPr>
                <w:rFonts w:hint="default" w:ascii="Times New Roman" w:hAnsi="Times New Roman" w:eastAsia="宋体" w:cs="Times New Roman"/>
                <w:color w:val="auto"/>
                <w:sz w:val="21"/>
                <w:szCs w:val="21"/>
                <w:u w:val="none" w:color="auto"/>
              </w:rPr>
            </w:pPr>
          </w:p>
        </w:tc>
      </w:tr>
      <w:tr w14:paraId="1F1009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71" w:type="dxa"/>
            <w:tcBorders>
              <w:tl2br w:val="nil"/>
              <w:tr2bl w:val="nil"/>
            </w:tcBorders>
            <w:shd w:val="clear" w:color="auto" w:fill="FFFFFF"/>
            <w:noWrap w:val="0"/>
            <w:vAlign w:val="center"/>
          </w:tcPr>
          <w:p w14:paraId="509ED656">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w:t>
            </w:r>
          </w:p>
        </w:tc>
        <w:tc>
          <w:tcPr>
            <w:tcW w:w="1031" w:type="dxa"/>
            <w:tcBorders>
              <w:tl2br w:val="nil"/>
              <w:tr2bl w:val="nil"/>
            </w:tcBorders>
            <w:shd w:val="clear" w:color="auto" w:fill="FFFFFF"/>
            <w:noWrap w:val="0"/>
            <w:vAlign w:val="center"/>
          </w:tcPr>
          <w:p w14:paraId="0A4F3D22">
            <w:pPr>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1#</w:t>
            </w:r>
            <w:r>
              <w:rPr>
                <w:rFonts w:hint="default" w:ascii="Times New Roman" w:hAnsi="Times New Roman" w:eastAsia="宋体" w:cs="Times New Roman"/>
                <w:color w:val="auto"/>
                <w:sz w:val="21"/>
                <w:szCs w:val="21"/>
                <w:u w:val="none" w:color="auto"/>
              </w:rPr>
              <w:t>风机</w:t>
            </w:r>
          </w:p>
        </w:tc>
        <w:tc>
          <w:tcPr>
            <w:tcW w:w="791" w:type="dxa"/>
            <w:tcBorders>
              <w:tl2br w:val="nil"/>
              <w:tr2bl w:val="nil"/>
            </w:tcBorders>
            <w:shd w:val="clear" w:color="auto" w:fill="FFFFFF"/>
            <w:noWrap w:val="0"/>
            <w:vAlign w:val="center"/>
          </w:tcPr>
          <w:p w14:paraId="1BF5765A">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63.6</w:t>
            </w:r>
          </w:p>
        </w:tc>
        <w:tc>
          <w:tcPr>
            <w:tcW w:w="728" w:type="dxa"/>
            <w:tcBorders>
              <w:tl2br w:val="nil"/>
              <w:tr2bl w:val="nil"/>
            </w:tcBorders>
            <w:shd w:val="clear" w:color="auto" w:fill="FFFFFF"/>
            <w:noWrap w:val="0"/>
            <w:vAlign w:val="center"/>
          </w:tcPr>
          <w:p w14:paraId="2E334FD4">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66.5</w:t>
            </w:r>
          </w:p>
        </w:tc>
        <w:tc>
          <w:tcPr>
            <w:tcW w:w="728" w:type="dxa"/>
            <w:tcBorders>
              <w:tl2br w:val="nil"/>
              <w:tr2bl w:val="nil"/>
            </w:tcBorders>
            <w:shd w:val="clear" w:color="auto" w:fill="FFFFFF"/>
            <w:noWrap w:val="0"/>
            <w:vAlign w:val="center"/>
          </w:tcPr>
          <w:p w14:paraId="6BE1C9FE">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2126" w:type="dxa"/>
            <w:tcBorders>
              <w:tl2br w:val="nil"/>
              <w:tr2bl w:val="nil"/>
            </w:tcBorders>
            <w:shd w:val="clear" w:color="auto" w:fill="FFFFFF"/>
            <w:noWrap w:val="0"/>
            <w:vAlign w:val="center"/>
          </w:tcPr>
          <w:p w14:paraId="6EA19269">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85</w:t>
            </w:r>
          </w:p>
        </w:tc>
        <w:tc>
          <w:tcPr>
            <w:tcW w:w="1395" w:type="dxa"/>
            <w:vMerge w:val="restart"/>
            <w:tcBorders>
              <w:tl2br w:val="nil"/>
              <w:tr2bl w:val="nil"/>
            </w:tcBorders>
            <w:shd w:val="clear" w:color="auto" w:fill="FFFFFF"/>
            <w:noWrap w:val="0"/>
            <w:vAlign w:val="center"/>
          </w:tcPr>
          <w:p w14:paraId="081A9E59">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选用低噪声设备、基础减震</w:t>
            </w:r>
          </w:p>
        </w:tc>
        <w:tc>
          <w:tcPr>
            <w:tcW w:w="1034" w:type="dxa"/>
            <w:tcBorders>
              <w:tl2br w:val="nil"/>
              <w:tr2bl w:val="nil"/>
            </w:tcBorders>
            <w:shd w:val="clear" w:color="auto" w:fill="FFFFFF"/>
            <w:noWrap w:val="0"/>
            <w:vAlign w:val="center"/>
          </w:tcPr>
          <w:p w14:paraId="49356400">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昼</w:t>
            </w:r>
            <w:r>
              <w:rPr>
                <w:rFonts w:hint="eastAsia" w:ascii="Times New Roman" w:hAnsi="Times New Roman" w:cs="Times New Roman"/>
                <w:color w:val="auto"/>
                <w:sz w:val="21"/>
                <w:szCs w:val="21"/>
                <w:u w:val="none" w:color="auto"/>
                <w:lang w:val="en-US" w:eastAsia="zh-CN"/>
              </w:rPr>
              <w:t>夜</w:t>
            </w:r>
          </w:p>
        </w:tc>
      </w:tr>
      <w:tr w14:paraId="07E016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71" w:type="dxa"/>
            <w:tcBorders>
              <w:tl2br w:val="nil"/>
              <w:tr2bl w:val="nil"/>
            </w:tcBorders>
            <w:shd w:val="clear" w:color="auto" w:fill="FFFFFF"/>
            <w:noWrap w:val="0"/>
            <w:vAlign w:val="center"/>
          </w:tcPr>
          <w:p w14:paraId="0D520B63">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w:t>
            </w:r>
          </w:p>
        </w:tc>
        <w:tc>
          <w:tcPr>
            <w:tcW w:w="1031" w:type="dxa"/>
            <w:tcBorders>
              <w:tl2br w:val="nil"/>
              <w:tr2bl w:val="nil"/>
            </w:tcBorders>
            <w:shd w:val="clear" w:color="auto" w:fill="FFFFFF"/>
            <w:noWrap w:val="0"/>
            <w:vAlign w:val="center"/>
          </w:tcPr>
          <w:p w14:paraId="07814A25">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2#风机</w:t>
            </w:r>
          </w:p>
        </w:tc>
        <w:tc>
          <w:tcPr>
            <w:tcW w:w="791" w:type="dxa"/>
            <w:tcBorders>
              <w:tl2br w:val="nil"/>
              <w:tr2bl w:val="nil"/>
            </w:tcBorders>
            <w:shd w:val="clear" w:color="auto" w:fill="FFFFFF"/>
            <w:noWrap w:val="0"/>
            <w:vAlign w:val="center"/>
          </w:tcPr>
          <w:p w14:paraId="685536FF">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79.1</w:t>
            </w:r>
          </w:p>
        </w:tc>
        <w:tc>
          <w:tcPr>
            <w:tcW w:w="728" w:type="dxa"/>
            <w:tcBorders>
              <w:tl2br w:val="nil"/>
              <w:tr2bl w:val="nil"/>
            </w:tcBorders>
            <w:shd w:val="clear" w:color="auto" w:fill="FFFFFF"/>
            <w:noWrap w:val="0"/>
            <w:vAlign w:val="center"/>
          </w:tcPr>
          <w:p w14:paraId="39D89D79">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20.2</w:t>
            </w:r>
          </w:p>
        </w:tc>
        <w:tc>
          <w:tcPr>
            <w:tcW w:w="728" w:type="dxa"/>
            <w:tcBorders>
              <w:tl2br w:val="nil"/>
              <w:tr2bl w:val="nil"/>
            </w:tcBorders>
            <w:shd w:val="clear" w:color="auto" w:fill="FFFFFF"/>
            <w:noWrap w:val="0"/>
            <w:vAlign w:val="center"/>
          </w:tcPr>
          <w:p w14:paraId="2360E1E2">
            <w:pPr>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1.2</w:t>
            </w:r>
          </w:p>
        </w:tc>
        <w:tc>
          <w:tcPr>
            <w:tcW w:w="2126" w:type="dxa"/>
            <w:tcBorders>
              <w:tl2br w:val="nil"/>
              <w:tr2bl w:val="nil"/>
            </w:tcBorders>
            <w:shd w:val="clear" w:color="auto" w:fill="FFFFFF"/>
            <w:noWrap w:val="0"/>
            <w:vAlign w:val="center"/>
          </w:tcPr>
          <w:p w14:paraId="49664BDE">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85</w:t>
            </w:r>
          </w:p>
        </w:tc>
        <w:tc>
          <w:tcPr>
            <w:tcW w:w="1395" w:type="dxa"/>
            <w:vMerge w:val="continue"/>
            <w:tcBorders>
              <w:tl2br w:val="nil"/>
              <w:tr2bl w:val="nil"/>
            </w:tcBorders>
            <w:shd w:val="clear" w:color="auto" w:fill="FFFFFF"/>
            <w:noWrap w:val="0"/>
            <w:vAlign w:val="center"/>
          </w:tcPr>
          <w:p w14:paraId="08407C76">
            <w:pPr>
              <w:jc w:val="center"/>
              <w:rPr>
                <w:rFonts w:hint="default" w:ascii="Times New Roman" w:hAnsi="Times New Roman" w:eastAsia="宋体" w:cs="Times New Roman"/>
                <w:color w:val="auto"/>
                <w:sz w:val="21"/>
                <w:szCs w:val="21"/>
                <w:u w:val="none" w:color="auto"/>
              </w:rPr>
            </w:pPr>
          </w:p>
        </w:tc>
        <w:tc>
          <w:tcPr>
            <w:tcW w:w="1034" w:type="dxa"/>
            <w:tcBorders>
              <w:tl2br w:val="nil"/>
              <w:tr2bl w:val="nil"/>
            </w:tcBorders>
            <w:shd w:val="clear" w:color="auto" w:fill="FFFFFF"/>
            <w:noWrap w:val="0"/>
            <w:vAlign w:val="center"/>
          </w:tcPr>
          <w:p w14:paraId="34F0FE71">
            <w:pPr>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昼</w:t>
            </w:r>
            <w:r>
              <w:rPr>
                <w:rFonts w:hint="eastAsia" w:ascii="Times New Roman" w:hAnsi="Times New Roman" w:cs="Times New Roman"/>
                <w:color w:val="auto"/>
                <w:sz w:val="21"/>
                <w:szCs w:val="21"/>
                <w:u w:val="none" w:color="auto"/>
                <w:lang w:val="en-US" w:eastAsia="zh-CN"/>
              </w:rPr>
              <w:t>夜</w:t>
            </w:r>
          </w:p>
        </w:tc>
      </w:tr>
      <w:tr w14:paraId="4E3D7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71" w:type="dxa"/>
            <w:tcBorders>
              <w:tl2br w:val="nil"/>
              <w:tr2bl w:val="nil"/>
            </w:tcBorders>
            <w:shd w:val="clear" w:color="auto" w:fill="FFFFFF"/>
            <w:noWrap w:val="0"/>
            <w:vAlign w:val="center"/>
          </w:tcPr>
          <w:p w14:paraId="49A4E96B">
            <w:pPr>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3</w:t>
            </w:r>
          </w:p>
        </w:tc>
        <w:tc>
          <w:tcPr>
            <w:tcW w:w="1031" w:type="dxa"/>
            <w:tcBorders>
              <w:tl2br w:val="nil"/>
              <w:tr2bl w:val="nil"/>
            </w:tcBorders>
            <w:shd w:val="clear" w:color="auto" w:fill="FFFFFF"/>
            <w:noWrap w:val="0"/>
            <w:vAlign w:val="center"/>
          </w:tcPr>
          <w:p w14:paraId="429AC4C0">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3#风机</w:t>
            </w:r>
          </w:p>
        </w:tc>
        <w:tc>
          <w:tcPr>
            <w:tcW w:w="791" w:type="dxa"/>
            <w:tcBorders>
              <w:tl2br w:val="nil"/>
              <w:tr2bl w:val="nil"/>
            </w:tcBorders>
            <w:shd w:val="clear" w:color="auto" w:fill="FFFFFF"/>
            <w:noWrap w:val="0"/>
            <w:vAlign w:val="center"/>
          </w:tcPr>
          <w:p w14:paraId="28ACA6D3">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-14.2</w:t>
            </w:r>
          </w:p>
        </w:tc>
        <w:tc>
          <w:tcPr>
            <w:tcW w:w="728" w:type="dxa"/>
            <w:tcBorders>
              <w:tl2br w:val="nil"/>
              <w:tr2bl w:val="nil"/>
            </w:tcBorders>
            <w:shd w:val="clear" w:color="auto" w:fill="FFFFFF"/>
            <w:noWrap w:val="0"/>
            <w:vAlign w:val="center"/>
          </w:tcPr>
          <w:p w14:paraId="5B691056">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105.3</w:t>
            </w:r>
          </w:p>
        </w:tc>
        <w:tc>
          <w:tcPr>
            <w:tcW w:w="728" w:type="dxa"/>
            <w:tcBorders>
              <w:tl2br w:val="nil"/>
              <w:tr2bl w:val="nil"/>
            </w:tcBorders>
            <w:shd w:val="clear" w:color="auto" w:fill="FFFFFF"/>
            <w:noWrap w:val="0"/>
            <w:vAlign w:val="center"/>
          </w:tcPr>
          <w:p w14:paraId="12EB8B28">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2126" w:type="dxa"/>
            <w:tcBorders>
              <w:tl2br w:val="nil"/>
              <w:tr2bl w:val="nil"/>
            </w:tcBorders>
            <w:shd w:val="clear" w:color="auto" w:fill="FFFFFF"/>
            <w:noWrap w:val="0"/>
            <w:vAlign w:val="center"/>
          </w:tcPr>
          <w:p w14:paraId="45CBF3C3">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85</w:t>
            </w:r>
          </w:p>
        </w:tc>
        <w:tc>
          <w:tcPr>
            <w:tcW w:w="1395" w:type="dxa"/>
            <w:vMerge w:val="continue"/>
            <w:tcBorders>
              <w:tl2br w:val="nil"/>
              <w:tr2bl w:val="nil"/>
            </w:tcBorders>
            <w:shd w:val="clear" w:color="auto" w:fill="FFFFFF"/>
            <w:noWrap w:val="0"/>
            <w:vAlign w:val="center"/>
          </w:tcPr>
          <w:p w14:paraId="662D01FE">
            <w:pPr>
              <w:jc w:val="center"/>
              <w:rPr>
                <w:rFonts w:hint="default" w:ascii="Times New Roman" w:hAnsi="Times New Roman" w:eastAsia="宋体" w:cs="Times New Roman"/>
                <w:color w:val="auto"/>
                <w:sz w:val="21"/>
                <w:szCs w:val="21"/>
                <w:u w:val="none" w:color="auto"/>
              </w:rPr>
            </w:pPr>
          </w:p>
        </w:tc>
        <w:tc>
          <w:tcPr>
            <w:tcW w:w="1034" w:type="dxa"/>
            <w:tcBorders>
              <w:tl2br w:val="nil"/>
              <w:tr2bl w:val="nil"/>
            </w:tcBorders>
            <w:shd w:val="clear" w:color="auto" w:fill="FFFFFF"/>
            <w:noWrap w:val="0"/>
            <w:vAlign w:val="center"/>
          </w:tcPr>
          <w:p w14:paraId="2B850A3B">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昼间</w:t>
            </w:r>
          </w:p>
        </w:tc>
      </w:tr>
      <w:tr w14:paraId="449DF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71" w:type="dxa"/>
            <w:tcBorders>
              <w:tl2br w:val="nil"/>
              <w:tr2bl w:val="nil"/>
            </w:tcBorders>
            <w:shd w:val="clear" w:color="auto" w:fill="FFFFFF"/>
            <w:noWrap w:val="0"/>
            <w:vAlign w:val="center"/>
          </w:tcPr>
          <w:p w14:paraId="5CE9E38B">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4</w:t>
            </w:r>
          </w:p>
        </w:tc>
        <w:tc>
          <w:tcPr>
            <w:tcW w:w="1031" w:type="dxa"/>
            <w:tcBorders>
              <w:tl2br w:val="nil"/>
              <w:tr2bl w:val="nil"/>
            </w:tcBorders>
            <w:shd w:val="clear" w:color="auto" w:fill="FFFFFF"/>
            <w:noWrap w:val="0"/>
            <w:vAlign w:val="center"/>
          </w:tcPr>
          <w:p w14:paraId="5317D577">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1#水泵</w:t>
            </w:r>
          </w:p>
        </w:tc>
        <w:tc>
          <w:tcPr>
            <w:tcW w:w="791" w:type="dxa"/>
            <w:tcBorders>
              <w:tl2br w:val="nil"/>
              <w:tr2bl w:val="nil"/>
            </w:tcBorders>
            <w:shd w:val="clear" w:color="auto" w:fill="FFFFFF"/>
            <w:noWrap w:val="0"/>
            <w:vAlign w:val="center"/>
          </w:tcPr>
          <w:p w14:paraId="5B13EE57">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-23.8</w:t>
            </w:r>
          </w:p>
        </w:tc>
        <w:tc>
          <w:tcPr>
            <w:tcW w:w="728" w:type="dxa"/>
            <w:tcBorders>
              <w:tl2br w:val="nil"/>
              <w:tr2bl w:val="nil"/>
            </w:tcBorders>
            <w:shd w:val="clear" w:color="auto" w:fill="FFFFFF"/>
            <w:noWrap w:val="0"/>
            <w:vAlign w:val="center"/>
          </w:tcPr>
          <w:p w14:paraId="3A432D52">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-7.5</w:t>
            </w:r>
          </w:p>
        </w:tc>
        <w:tc>
          <w:tcPr>
            <w:tcW w:w="728" w:type="dxa"/>
            <w:tcBorders>
              <w:tl2br w:val="nil"/>
              <w:tr2bl w:val="nil"/>
            </w:tcBorders>
            <w:shd w:val="clear" w:color="auto" w:fill="FFFFFF"/>
            <w:noWrap w:val="0"/>
            <w:vAlign w:val="center"/>
          </w:tcPr>
          <w:p w14:paraId="0F03A3DD">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2126" w:type="dxa"/>
            <w:tcBorders>
              <w:tl2br w:val="nil"/>
              <w:tr2bl w:val="nil"/>
            </w:tcBorders>
            <w:shd w:val="clear" w:color="auto" w:fill="FFFFFF"/>
            <w:noWrap w:val="0"/>
            <w:vAlign w:val="center"/>
          </w:tcPr>
          <w:p w14:paraId="69C52D79">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sz w:val="21"/>
                <w:szCs w:val="21"/>
                <w:u w:val="none" w:color="auto"/>
                <w:lang w:val="en-US" w:eastAsia="zh-CN"/>
              </w:rPr>
              <w:t>80</w:t>
            </w:r>
          </w:p>
        </w:tc>
        <w:tc>
          <w:tcPr>
            <w:tcW w:w="1395" w:type="dxa"/>
            <w:vMerge w:val="continue"/>
            <w:tcBorders>
              <w:tl2br w:val="nil"/>
              <w:tr2bl w:val="nil"/>
            </w:tcBorders>
            <w:shd w:val="clear" w:color="auto" w:fill="FFFFFF"/>
            <w:noWrap w:val="0"/>
            <w:vAlign w:val="center"/>
          </w:tcPr>
          <w:p w14:paraId="4CE853FA">
            <w:pPr>
              <w:jc w:val="center"/>
              <w:rPr>
                <w:rFonts w:hint="default" w:ascii="Times New Roman" w:hAnsi="Times New Roman" w:eastAsia="宋体" w:cs="Times New Roman"/>
                <w:color w:val="auto"/>
                <w:sz w:val="21"/>
                <w:szCs w:val="21"/>
                <w:u w:val="none" w:color="auto"/>
              </w:rPr>
            </w:pPr>
          </w:p>
        </w:tc>
        <w:tc>
          <w:tcPr>
            <w:tcW w:w="1034" w:type="dxa"/>
            <w:tcBorders>
              <w:tl2br w:val="nil"/>
              <w:tr2bl w:val="nil"/>
            </w:tcBorders>
            <w:shd w:val="clear" w:color="auto" w:fill="FFFFFF"/>
            <w:noWrap w:val="0"/>
            <w:vAlign w:val="center"/>
          </w:tcPr>
          <w:p w14:paraId="27DBC145">
            <w:pPr>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昼</w:t>
            </w:r>
            <w:r>
              <w:rPr>
                <w:rFonts w:hint="eastAsia" w:ascii="Times New Roman" w:hAnsi="Times New Roman" w:cs="Times New Roman"/>
                <w:color w:val="auto"/>
                <w:sz w:val="21"/>
                <w:szCs w:val="21"/>
                <w:u w:val="none" w:color="auto"/>
                <w:lang w:val="en-US" w:eastAsia="zh-CN"/>
              </w:rPr>
              <w:t>夜</w:t>
            </w:r>
          </w:p>
        </w:tc>
      </w:tr>
      <w:tr w14:paraId="4BD476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atLeast"/>
          <w:jc w:val="center"/>
        </w:trPr>
        <w:tc>
          <w:tcPr>
            <w:tcW w:w="671" w:type="dxa"/>
            <w:tcBorders>
              <w:tl2br w:val="nil"/>
              <w:tr2bl w:val="nil"/>
            </w:tcBorders>
            <w:shd w:val="clear" w:color="auto" w:fill="FFFFFF"/>
            <w:noWrap w:val="0"/>
            <w:vAlign w:val="center"/>
          </w:tcPr>
          <w:p w14:paraId="5C8CE6A7">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w:t>
            </w:r>
          </w:p>
        </w:tc>
        <w:tc>
          <w:tcPr>
            <w:tcW w:w="1031" w:type="dxa"/>
            <w:tcBorders>
              <w:tl2br w:val="nil"/>
              <w:tr2bl w:val="nil"/>
            </w:tcBorders>
            <w:shd w:val="clear" w:color="auto" w:fill="FFFFFF"/>
            <w:noWrap w:val="0"/>
            <w:vAlign w:val="center"/>
          </w:tcPr>
          <w:p w14:paraId="2E9B1B2D">
            <w:pPr>
              <w:jc w:val="center"/>
              <w:rPr>
                <w:rFonts w:hint="default" w:ascii="Times New Roman" w:hAnsi="Times New Roman"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2#水泵</w:t>
            </w:r>
          </w:p>
        </w:tc>
        <w:tc>
          <w:tcPr>
            <w:tcW w:w="791" w:type="dxa"/>
            <w:tcBorders>
              <w:tl2br w:val="nil"/>
              <w:tr2bl w:val="nil"/>
            </w:tcBorders>
            <w:shd w:val="clear" w:color="auto" w:fill="FFFFFF"/>
            <w:noWrap w:val="0"/>
            <w:vAlign w:val="center"/>
          </w:tcPr>
          <w:p w14:paraId="0F5050D0">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-27.5</w:t>
            </w:r>
          </w:p>
        </w:tc>
        <w:tc>
          <w:tcPr>
            <w:tcW w:w="728" w:type="dxa"/>
            <w:tcBorders>
              <w:tl2br w:val="nil"/>
              <w:tr2bl w:val="nil"/>
            </w:tcBorders>
            <w:shd w:val="clear" w:color="auto" w:fill="FFFFFF"/>
            <w:noWrap w:val="0"/>
            <w:vAlign w:val="center"/>
          </w:tcPr>
          <w:p w14:paraId="795059E0">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73.6</w:t>
            </w:r>
          </w:p>
        </w:tc>
        <w:tc>
          <w:tcPr>
            <w:tcW w:w="728" w:type="dxa"/>
            <w:tcBorders>
              <w:tl2br w:val="nil"/>
              <w:tr2bl w:val="nil"/>
            </w:tcBorders>
            <w:shd w:val="clear" w:color="auto" w:fill="FFFFFF"/>
            <w:noWrap w:val="0"/>
            <w:vAlign w:val="center"/>
          </w:tcPr>
          <w:p w14:paraId="0CA9D284">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1.2</w:t>
            </w:r>
          </w:p>
        </w:tc>
        <w:tc>
          <w:tcPr>
            <w:tcW w:w="2126" w:type="dxa"/>
            <w:tcBorders>
              <w:tl2br w:val="nil"/>
              <w:tr2bl w:val="nil"/>
            </w:tcBorders>
            <w:shd w:val="clear" w:color="auto" w:fill="FFFFFF"/>
            <w:noWrap w:val="0"/>
            <w:vAlign w:val="center"/>
          </w:tcPr>
          <w:p w14:paraId="47F03CD3">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cs="Times New Roman"/>
                <w:color w:val="auto"/>
                <w:sz w:val="21"/>
                <w:szCs w:val="21"/>
                <w:u w:val="none" w:color="auto"/>
                <w:lang w:val="en-US" w:eastAsia="zh-CN"/>
              </w:rPr>
              <w:t>80</w:t>
            </w:r>
          </w:p>
        </w:tc>
        <w:tc>
          <w:tcPr>
            <w:tcW w:w="1395" w:type="dxa"/>
            <w:vMerge w:val="continue"/>
            <w:tcBorders>
              <w:tl2br w:val="nil"/>
              <w:tr2bl w:val="nil"/>
            </w:tcBorders>
            <w:shd w:val="clear" w:color="auto" w:fill="FFFFFF"/>
            <w:noWrap w:val="0"/>
            <w:vAlign w:val="center"/>
          </w:tcPr>
          <w:p w14:paraId="3F291A64">
            <w:pPr>
              <w:jc w:val="center"/>
              <w:rPr>
                <w:rFonts w:hint="default" w:ascii="Times New Roman" w:hAnsi="Times New Roman" w:eastAsia="宋体" w:cs="Times New Roman"/>
                <w:color w:val="auto"/>
                <w:sz w:val="21"/>
                <w:szCs w:val="21"/>
                <w:u w:val="none" w:color="auto"/>
              </w:rPr>
            </w:pPr>
          </w:p>
        </w:tc>
        <w:tc>
          <w:tcPr>
            <w:tcW w:w="1034" w:type="dxa"/>
            <w:tcBorders>
              <w:tl2br w:val="nil"/>
              <w:tr2bl w:val="nil"/>
            </w:tcBorders>
            <w:shd w:val="clear" w:color="auto" w:fill="FFFFFF"/>
            <w:noWrap w:val="0"/>
            <w:vAlign w:val="center"/>
          </w:tcPr>
          <w:p w14:paraId="4B2CEA3E">
            <w:pPr>
              <w:jc w:val="center"/>
              <w:rPr>
                <w:rFonts w:hint="default" w:ascii="Times New Roman" w:hAnsi="Times New Roman" w:eastAsia="宋体" w:cs="Times New Roman"/>
                <w:color w:val="auto"/>
                <w:sz w:val="21"/>
                <w:szCs w:val="21"/>
                <w:u w:val="none" w:color="auto"/>
              </w:rPr>
            </w:pPr>
            <w:r>
              <w:rPr>
                <w:rFonts w:hint="eastAsia" w:ascii="Times New Roman" w:hAnsi="Times New Roman" w:eastAsia="宋体" w:cs="Times New Roman"/>
                <w:color w:val="auto"/>
                <w:sz w:val="21"/>
                <w:szCs w:val="21"/>
                <w:u w:val="none" w:color="auto"/>
                <w:lang w:val="en-US" w:eastAsia="zh-CN"/>
              </w:rPr>
              <w:t>昼</w:t>
            </w:r>
            <w:r>
              <w:rPr>
                <w:rFonts w:hint="eastAsia" w:ascii="Times New Roman" w:hAnsi="Times New Roman" w:cs="Times New Roman"/>
                <w:color w:val="auto"/>
                <w:sz w:val="21"/>
                <w:szCs w:val="21"/>
                <w:u w:val="none" w:color="auto"/>
                <w:lang w:val="en-US" w:eastAsia="zh-CN"/>
              </w:rPr>
              <w:t>夜</w:t>
            </w:r>
          </w:p>
        </w:tc>
      </w:tr>
    </w:tbl>
    <w:p w14:paraId="2D2CDCC0">
      <w:pPr>
        <w:pStyle w:val="20"/>
        <w:ind w:left="0" w:leftChars="0" w:firstLine="0" w:firstLineChars="0"/>
        <w:rPr>
          <w:rFonts w:hint="default" w:ascii="Times New Roman" w:hAnsi="Times New Roman" w:cs="Times New Roman"/>
          <w:color w:val="auto"/>
          <w:u w:val="none" w:color="auto"/>
        </w:rPr>
      </w:pPr>
      <w:r>
        <w:rPr>
          <w:rFonts w:hint="default" w:ascii="Times New Roman" w:hAnsi="Times New Roman" w:eastAsia="宋体" w:cs="Times New Roman"/>
          <w:b w:val="0"/>
          <w:bCs/>
          <w:color w:val="auto"/>
          <w:sz w:val="21"/>
          <w:szCs w:val="21"/>
          <w:highlight w:val="none"/>
          <w:u w:val="none" w:color="auto"/>
          <w:lang w:val="en-US" w:eastAsia="zh-CN"/>
        </w:rPr>
        <w:t>备注：表中坐标以厂界中心（</w:t>
      </w:r>
      <w:r>
        <w:rPr>
          <w:rFonts w:hint="eastAsia" w:ascii="Times New Roman" w:hAnsi="Times New Roman" w:eastAsia="宋体" w:cs="Times New Roman"/>
          <w:color w:val="auto"/>
          <w:kern w:val="2"/>
          <w:sz w:val="21"/>
          <w:szCs w:val="21"/>
          <w:highlight w:val="none"/>
          <w:u w:val="none" w:color="auto"/>
          <w:lang w:val="en-US" w:eastAsia="zh-CN" w:bidi="ar-SA"/>
        </w:rPr>
        <w:t>东经</w:t>
      </w:r>
      <w:r>
        <w:rPr>
          <w:rFonts w:hint="default" w:ascii="Times New Roman" w:hAnsi="Times New Roman" w:eastAsia="宋体" w:cs="Times New Roman"/>
          <w:b w:val="0"/>
          <w:bCs/>
          <w:color w:val="auto"/>
          <w:sz w:val="21"/>
          <w:szCs w:val="21"/>
          <w:u w:val="none" w:color="auto"/>
          <w:lang w:val="en-US" w:eastAsia="zh-CN"/>
        </w:rPr>
        <w:t>113.142721</w:t>
      </w:r>
      <w:r>
        <w:rPr>
          <w:rFonts w:hint="eastAsia" w:ascii="Times New Roman" w:hAnsi="Times New Roman" w:eastAsia="宋体" w:cs="Times New Roman"/>
          <w:b w:val="0"/>
          <w:bCs/>
          <w:color w:val="auto"/>
          <w:sz w:val="21"/>
          <w:szCs w:val="21"/>
          <w:u w:val="none" w:color="auto"/>
          <w:lang w:val="en-US" w:eastAsia="zh-CN"/>
        </w:rPr>
        <w:t>，</w:t>
      </w:r>
      <w:r>
        <w:rPr>
          <w:rFonts w:hint="eastAsia" w:ascii="Times New Roman" w:hAnsi="Times New Roman" w:eastAsia="宋体" w:cs="Times New Roman"/>
          <w:color w:val="auto"/>
          <w:kern w:val="2"/>
          <w:sz w:val="21"/>
          <w:szCs w:val="21"/>
          <w:highlight w:val="none"/>
          <w:u w:val="none" w:color="auto"/>
          <w:lang w:val="en-US" w:eastAsia="zh-CN" w:bidi="ar-SA"/>
        </w:rPr>
        <w:t>北纬</w:t>
      </w:r>
      <w:r>
        <w:rPr>
          <w:rFonts w:hint="default" w:ascii="Times New Roman" w:hAnsi="Times New Roman" w:eastAsia="宋体" w:cs="Times New Roman"/>
          <w:b w:val="0"/>
          <w:bCs/>
          <w:color w:val="auto"/>
          <w:sz w:val="21"/>
          <w:szCs w:val="21"/>
          <w:u w:val="none" w:color="auto"/>
          <w:lang w:val="en-US" w:eastAsia="zh-CN"/>
        </w:rPr>
        <w:t>28.766549</w:t>
      </w:r>
      <w:r>
        <w:rPr>
          <w:rFonts w:hint="default" w:ascii="Times New Roman" w:hAnsi="Times New Roman" w:eastAsia="宋体" w:cs="Times New Roman"/>
          <w:b w:val="0"/>
          <w:bCs/>
          <w:color w:val="auto"/>
          <w:sz w:val="21"/>
          <w:szCs w:val="21"/>
          <w:highlight w:val="none"/>
          <w:u w:val="none" w:color="auto"/>
          <w:lang w:val="en-US" w:eastAsia="zh-CN"/>
        </w:rPr>
        <w:t>）为坐标原点，正东向为X轴正方向，正北向为Y轴正方向。</w:t>
      </w:r>
    </w:p>
    <w:p w14:paraId="1354373F">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2、预测模式选择</w:t>
      </w:r>
    </w:p>
    <w:p w14:paraId="4412B358">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both"/>
        <w:textAlignment w:val="auto"/>
        <w:outlineLvl w:val="9"/>
        <w:rPr>
          <w:rFonts w:hint="eastAsia" w:ascii="Times New Roman" w:hAnsi="Times New Roman" w:eastAsia="宋体" w:cs="Times New Roman"/>
          <w:color w:val="auto"/>
          <w:sz w:val="24"/>
          <w:highlight w:val="none"/>
          <w:u w:val="none" w:color="auto"/>
        </w:rPr>
      </w:pPr>
      <w:r>
        <w:rPr>
          <w:rFonts w:hint="eastAsia" w:ascii="Times New Roman" w:hAnsi="Times New Roman" w:eastAsia="宋体" w:cs="Times New Roman"/>
          <w:color w:val="auto"/>
          <w:sz w:val="24"/>
          <w:highlight w:val="none"/>
          <w:u w:val="none" w:color="auto"/>
        </w:rPr>
        <w:t>按照《环境影响评价技术导则声环境（HJ2.4-2021）》的要求，本项目可选择点声源预测模式，来模拟预测本项目主要声源排放噪声随距离的衰减变化规律。</w:t>
      </w:r>
    </w:p>
    <w:p w14:paraId="1461C779">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①对室外噪声源主要考虑噪声的几何发散衰减及环境因素衰减：</w:t>
      </w:r>
    </w:p>
    <w:p w14:paraId="6F2D40EF">
      <w:pPr>
        <w:keepNext w:val="0"/>
        <w:keepLines w:val="0"/>
        <w:pageBreakBefore w:val="0"/>
        <w:widowControl w:val="0"/>
        <w:kinsoku/>
        <w:wordWrap/>
        <w:overflowPunct/>
        <w:topLinePunct w:val="0"/>
        <w:autoSpaceDE/>
        <w:autoSpaceDN/>
        <w:bidi w:val="0"/>
        <w:adjustRightInd/>
        <w:snapToGrid/>
        <w:spacing w:afterAutospacing="0" w:line="360" w:lineRule="auto"/>
        <w:jc w:val="center"/>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L</w:t>
      </w:r>
      <w:r>
        <w:rPr>
          <w:rFonts w:hint="default" w:ascii="Times New Roman" w:hAnsi="Times New Roman" w:eastAsia="宋体" w:cs="Times New Roman"/>
          <w:color w:val="auto"/>
          <w:sz w:val="24"/>
          <w:highlight w:val="none"/>
          <w:u w:val="none" w:color="auto"/>
          <w:vertAlign w:val="subscript"/>
        </w:rPr>
        <w:t>2</w:t>
      </w:r>
      <w:r>
        <w:rPr>
          <w:rFonts w:hint="default" w:ascii="Times New Roman" w:hAnsi="Times New Roman" w:eastAsia="宋体" w:cs="Times New Roman"/>
          <w:color w:val="auto"/>
          <w:sz w:val="24"/>
          <w:highlight w:val="none"/>
          <w:u w:val="none" w:color="auto"/>
        </w:rPr>
        <w:t>=L</w:t>
      </w:r>
      <w:r>
        <w:rPr>
          <w:rFonts w:hint="default" w:ascii="Times New Roman" w:hAnsi="Times New Roman" w:eastAsia="宋体" w:cs="Times New Roman"/>
          <w:color w:val="auto"/>
          <w:sz w:val="24"/>
          <w:highlight w:val="none"/>
          <w:u w:val="none" w:color="auto"/>
          <w:vertAlign w:val="subscript"/>
        </w:rPr>
        <w:t>1</w:t>
      </w:r>
      <w:r>
        <w:rPr>
          <w:rFonts w:hint="default" w:ascii="Times New Roman" w:hAnsi="Times New Roman" w:eastAsia="宋体" w:cs="Times New Roman"/>
          <w:color w:val="auto"/>
          <w:sz w:val="24"/>
          <w:highlight w:val="none"/>
          <w:u w:val="none" w:color="auto"/>
        </w:rPr>
        <w:t>-20lg(r</w:t>
      </w:r>
      <w:r>
        <w:rPr>
          <w:rFonts w:hint="default" w:ascii="Times New Roman" w:hAnsi="Times New Roman" w:eastAsia="宋体" w:cs="Times New Roman"/>
          <w:color w:val="auto"/>
          <w:sz w:val="24"/>
          <w:highlight w:val="none"/>
          <w:u w:val="none" w:color="auto"/>
          <w:vertAlign w:val="subscript"/>
        </w:rPr>
        <w:t>2</w:t>
      </w:r>
      <w:r>
        <w:rPr>
          <w:rFonts w:hint="default" w:ascii="Times New Roman" w:hAnsi="Times New Roman" w:eastAsia="宋体" w:cs="Times New Roman"/>
          <w:color w:val="auto"/>
          <w:sz w:val="24"/>
          <w:highlight w:val="none"/>
          <w:u w:val="none" w:color="auto"/>
        </w:rPr>
        <w:t>/r</w:t>
      </w:r>
      <w:r>
        <w:rPr>
          <w:rFonts w:hint="default" w:ascii="Times New Roman" w:hAnsi="Times New Roman" w:eastAsia="宋体" w:cs="Times New Roman"/>
          <w:color w:val="auto"/>
          <w:sz w:val="24"/>
          <w:highlight w:val="none"/>
          <w:u w:val="none" w:color="auto"/>
          <w:vertAlign w:val="subscript"/>
        </w:rPr>
        <w:t>1</w:t>
      </w:r>
      <w:r>
        <w:rPr>
          <w:rFonts w:hint="default" w:ascii="Times New Roman" w:hAnsi="Times New Roman" w:eastAsia="宋体" w:cs="Times New Roman"/>
          <w:color w:val="auto"/>
          <w:sz w:val="24"/>
          <w:highlight w:val="none"/>
          <w:u w:val="none" w:color="auto"/>
        </w:rPr>
        <w:t>)</w:t>
      </w:r>
    </w:p>
    <w:p w14:paraId="10948AE2">
      <w:pPr>
        <w:keepNext w:val="0"/>
        <w:keepLines w:val="0"/>
        <w:pageBreakBefore w:val="0"/>
        <w:widowControl w:val="0"/>
        <w:kinsoku/>
        <w:wordWrap/>
        <w:overflowPunct/>
        <w:topLinePunct w:val="0"/>
        <w:autoSpaceDE/>
        <w:autoSpaceDN/>
        <w:bidi w:val="0"/>
        <w:adjustRightInd/>
        <w:snapToGrid/>
        <w:spacing w:afterAutospacing="0" w:line="360" w:lineRule="auto"/>
        <w:ind w:firstLine="480" w:firstLineChars="2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式中：L</w:t>
      </w:r>
      <w:r>
        <w:rPr>
          <w:rFonts w:hint="default" w:ascii="Times New Roman" w:hAnsi="Times New Roman" w:eastAsia="宋体" w:cs="Times New Roman"/>
          <w:color w:val="auto"/>
          <w:sz w:val="24"/>
          <w:highlight w:val="none"/>
          <w:u w:val="none" w:color="auto"/>
          <w:vertAlign w:val="subscript"/>
        </w:rPr>
        <w:t>2</w:t>
      </w:r>
      <w:r>
        <w:rPr>
          <w:rFonts w:hint="default" w:ascii="Times New Roman" w:hAnsi="Times New Roman" w:eastAsia="宋体" w:cs="Times New Roman"/>
          <w:color w:val="auto"/>
          <w:sz w:val="24"/>
          <w:highlight w:val="none"/>
          <w:u w:val="none" w:color="auto"/>
        </w:rPr>
        <w:t>——点声源在预测点产生的声压级，dB(A)；</w:t>
      </w:r>
    </w:p>
    <w:p w14:paraId="5A50EE65">
      <w:pPr>
        <w:keepNext w:val="0"/>
        <w:keepLines w:val="0"/>
        <w:pageBreakBefore w:val="0"/>
        <w:widowControl w:val="0"/>
        <w:kinsoku/>
        <w:wordWrap/>
        <w:overflowPunct/>
        <w:topLinePunct w:val="0"/>
        <w:autoSpaceDE/>
        <w:autoSpaceDN/>
        <w:bidi w:val="0"/>
        <w:adjustRightInd/>
        <w:snapToGrid/>
        <w:spacing w:afterAutospacing="0" w:line="360" w:lineRule="auto"/>
        <w:ind w:firstLine="1200" w:firstLineChars="5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L</w:t>
      </w:r>
      <w:r>
        <w:rPr>
          <w:rFonts w:hint="default" w:ascii="Times New Roman" w:hAnsi="Times New Roman" w:eastAsia="宋体" w:cs="Times New Roman"/>
          <w:color w:val="auto"/>
          <w:sz w:val="24"/>
          <w:highlight w:val="none"/>
          <w:u w:val="none" w:color="auto"/>
          <w:vertAlign w:val="subscript"/>
        </w:rPr>
        <w:t>1</w:t>
      </w:r>
      <w:r>
        <w:rPr>
          <w:rFonts w:hint="default" w:ascii="Times New Roman" w:hAnsi="Times New Roman" w:eastAsia="宋体" w:cs="Times New Roman"/>
          <w:color w:val="auto"/>
          <w:sz w:val="24"/>
          <w:highlight w:val="none"/>
          <w:u w:val="none" w:color="auto"/>
        </w:rPr>
        <w:t>——点声源在参考点产生的声压级，dB(A)；</w:t>
      </w:r>
    </w:p>
    <w:p w14:paraId="120E5931">
      <w:pPr>
        <w:keepNext w:val="0"/>
        <w:keepLines w:val="0"/>
        <w:pageBreakBefore w:val="0"/>
        <w:widowControl w:val="0"/>
        <w:kinsoku/>
        <w:wordWrap/>
        <w:overflowPunct/>
        <w:topLinePunct w:val="0"/>
        <w:autoSpaceDE/>
        <w:autoSpaceDN/>
        <w:bidi w:val="0"/>
        <w:adjustRightInd/>
        <w:snapToGrid/>
        <w:spacing w:afterAutospacing="0" w:line="360" w:lineRule="auto"/>
        <w:ind w:firstLine="1200" w:firstLineChars="5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r</w:t>
      </w:r>
      <w:r>
        <w:rPr>
          <w:rFonts w:hint="default" w:ascii="Times New Roman" w:hAnsi="Times New Roman" w:eastAsia="宋体" w:cs="Times New Roman"/>
          <w:color w:val="auto"/>
          <w:sz w:val="24"/>
          <w:highlight w:val="none"/>
          <w:u w:val="none" w:color="auto"/>
          <w:vertAlign w:val="subscript"/>
        </w:rPr>
        <w:t>2</w:t>
      </w:r>
      <w:r>
        <w:rPr>
          <w:rFonts w:hint="default" w:ascii="Times New Roman" w:hAnsi="Times New Roman" w:eastAsia="宋体" w:cs="Times New Roman"/>
          <w:color w:val="auto"/>
          <w:sz w:val="24"/>
          <w:highlight w:val="none"/>
          <w:u w:val="none" w:color="auto"/>
        </w:rPr>
        <w:t>——预测点距声源的距离，m；</w:t>
      </w:r>
    </w:p>
    <w:p w14:paraId="646E3850">
      <w:pPr>
        <w:keepNext w:val="0"/>
        <w:keepLines w:val="0"/>
        <w:pageBreakBefore w:val="0"/>
        <w:widowControl w:val="0"/>
        <w:kinsoku/>
        <w:wordWrap/>
        <w:overflowPunct/>
        <w:topLinePunct w:val="0"/>
        <w:autoSpaceDE/>
        <w:autoSpaceDN/>
        <w:bidi w:val="0"/>
        <w:adjustRightInd/>
        <w:snapToGrid/>
        <w:spacing w:afterAutospacing="0" w:line="360" w:lineRule="auto"/>
        <w:ind w:firstLine="1200" w:firstLineChars="500"/>
        <w:jc w:val="both"/>
        <w:textAlignment w:val="auto"/>
        <w:outlineLvl w:val="9"/>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r</w:t>
      </w:r>
      <w:r>
        <w:rPr>
          <w:rFonts w:hint="default" w:ascii="Times New Roman" w:hAnsi="Times New Roman" w:eastAsia="宋体" w:cs="Times New Roman"/>
          <w:color w:val="auto"/>
          <w:sz w:val="24"/>
          <w:highlight w:val="none"/>
          <w:u w:val="none" w:color="auto"/>
          <w:vertAlign w:val="subscript"/>
        </w:rPr>
        <w:t>1</w:t>
      </w:r>
      <w:r>
        <w:rPr>
          <w:rFonts w:hint="default" w:ascii="Times New Roman" w:hAnsi="Times New Roman" w:eastAsia="宋体" w:cs="Times New Roman"/>
          <w:color w:val="auto"/>
          <w:sz w:val="24"/>
          <w:highlight w:val="none"/>
          <w:u w:val="none" w:color="auto"/>
        </w:rPr>
        <w:t>——参考点距声源的距离，m。</w:t>
      </w:r>
    </w:p>
    <w:p w14:paraId="60575877">
      <w:pPr>
        <w:pStyle w:val="20"/>
        <w:bidi w:val="0"/>
        <w:rPr>
          <w:rFonts w:hint="default"/>
          <w:color w:val="auto"/>
          <w:u w:val="none" w:color="auto"/>
        </w:rPr>
      </w:pPr>
      <w:r>
        <w:rPr>
          <w:rFonts w:hint="default"/>
          <w:color w:val="auto"/>
          <w:u w:val="none" w:color="auto"/>
        </w:rPr>
        <w:t>②对室内噪声源采用室内声源噪声模式并换算成等效的室外声源：</w:t>
      </w:r>
    </w:p>
    <w:p w14:paraId="475EEB8B">
      <w:pPr>
        <w:pStyle w:val="20"/>
        <w:bidi w:val="0"/>
        <w:ind w:left="0" w:leftChars="0" w:firstLine="0" w:firstLineChars="0"/>
        <w:jc w:val="center"/>
        <w:rPr>
          <w:rFonts w:hint="default"/>
          <w:color w:val="auto"/>
          <w:u w:val="none" w:color="auto"/>
        </w:rPr>
      </w:pPr>
      <w:r>
        <w:rPr>
          <w:rFonts w:hint="default"/>
          <w:color w:val="auto"/>
          <w:u w:val="none" w:color="auto"/>
        </w:rPr>
        <w:t>L</w:t>
      </w:r>
      <w:r>
        <w:rPr>
          <w:rFonts w:hint="default"/>
          <w:color w:val="auto"/>
          <w:u w:val="none" w:color="auto"/>
          <w:vertAlign w:val="subscript"/>
        </w:rPr>
        <w:t>p2</w:t>
      </w:r>
      <w:r>
        <w:rPr>
          <w:rFonts w:hint="default"/>
          <w:color w:val="auto"/>
          <w:u w:val="none" w:color="auto"/>
        </w:rPr>
        <w:t>=L</w:t>
      </w:r>
      <w:r>
        <w:rPr>
          <w:rFonts w:hint="default"/>
          <w:color w:val="auto"/>
          <w:u w:val="none" w:color="auto"/>
          <w:vertAlign w:val="subscript"/>
        </w:rPr>
        <w:t>p1</w:t>
      </w:r>
      <w:r>
        <w:rPr>
          <w:rFonts w:hint="default"/>
          <w:color w:val="auto"/>
          <w:u w:val="none" w:color="auto"/>
        </w:rPr>
        <w:t>-(TL+6)</w:t>
      </w:r>
    </w:p>
    <w:p w14:paraId="261A8287">
      <w:pPr>
        <w:pStyle w:val="20"/>
        <w:bidi w:val="0"/>
        <w:ind w:left="0" w:leftChars="0" w:firstLine="0" w:firstLineChars="0"/>
        <w:jc w:val="center"/>
        <w:rPr>
          <w:rFonts w:hint="default"/>
          <w:color w:val="auto"/>
          <w:u w:val="none" w:color="auto"/>
        </w:rPr>
      </w:pPr>
      <w:r>
        <w:rPr>
          <w:color w:val="auto"/>
          <w:u w:val="none" w:color="auto"/>
        </w:rPr>
        <w:drawing>
          <wp:inline distT="0" distB="0" distL="114300" distR="114300">
            <wp:extent cx="1857375" cy="504825"/>
            <wp:effectExtent l="0" t="0" r="9525" b="9525"/>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43"/>
                    <a:stretch>
                      <a:fillRect/>
                    </a:stretch>
                  </pic:blipFill>
                  <pic:spPr>
                    <a:xfrm>
                      <a:off x="0" y="0"/>
                      <a:ext cx="1857375" cy="504825"/>
                    </a:xfrm>
                    <a:prstGeom prst="rect">
                      <a:avLst/>
                    </a:prstGeom>
                    <a:noFill/>
                    <a:ln>
                      <a:noFill/>
                    </a:ln>
                  </pic:spPr>
                </pic:pic>
              </a:graphicData>
            </a:graphic>
          </wp:inline>
        </w:drawing>
      </w:r>
    </w:p>
    <w:p w14:paraId="210A4A27">
      <w:pPr>
        <w:pStyle w:val="20"/>
        <w:bidi w:val="0"/>
        <w:ind w:left="0" w:leftChars="0" w:firstLine="0" w:firstLineChars="0"/>
        <w:jc w:val="center"/>
        <w:rPr>
          <w:rFonts w:hint="default"/>
          <w:color w:val="auto"/>
          <w:u w:val="none" w:color="auto"/>
        </w:rPr>
      </w:pPr>
      <w:r>
        <w:rPr>
          <w:rFonts w:hint="default"/>
          <w:color w:val="auto"/>
          <w:u w:val="none" w:color="auto"/>
        </w:rPr>
        <w:t>L</w:t>
      </w:r>
      <w:r>
        <w:rPr>
          <w:rFonts w:hint="default"/>
          <w:color w:val="auto"/>
          <w:u w:val="none" w:color="auto"/>
          <w:vertAlign w:val="subscript"/>
        </w:rPr>
        <w:t>w</w:t>
      </w:r>
      <w:r>
        <w:rPr>
          <w:rFonts w:hint="default"/>
          <w:color w:val="auto"/>
          <w:u w:val="none" w:color="auto"/>
        </w:rPr>
        <w:t>=L</w:t>
      </w:r>
      <w:r>
        <w:rPr>
          <w:rFonts w:hint="default"/>
          <w:color w:val="auto"/>
          <w:u w:val="none" w:color="auto"/>
          <w:vertAlign w:val="subscript"/>
        </w:rPr>
        <w:t>p2</w:t>
      </w:r>
      <w:r>
        <w:rPr>
          <w:rFonts w:hint="default"/>
          <w:color w:val="auto"/>
          <w:u w:val="none" w:color="auto"/>
        </w:rPr>
        <w:t>(T)+10lgS</w:t>
      </w:r>
    </w:p>
    <w:p w14:paraId="63D20DB2">
      <w:pPr>
        <w:pStyle w:val="20"/>
        <w:bidi w:val="0"/>
        <w:rPr>
          <w:rFonts w:hint="default"/>
          <w:color w:val="auto"/>
          <w:u w:val="none" w:color="auto"/>
        </w:rPr>
      </w:pPr>
      <w:r>
        <w:rPr>
          <w:rFonts w:hint="default"/>
          <w:color w:val="auto"/>
          <w:u w:val="none" w:color="auto"/>
        </w:rPr>
        <w:t>式中：L</w:t>
      </w:r>
      <w:r>
        <w:rPr>
          <w:rFonts w:hint="default"/>
          <w:color w:val="auto"/>
          <w:u w:val="none" w:color="auto"/>
          <w:vertAlign w:val="subscript"/>
        </w:rPr>
        <w:t>p1</w:t>
      </w:r>
      <w:r>
        <w:rPr>
          <w:rFonts w:hint="default"/>
          <w:color w:val="auto"/>
          <w:u w:val="none" w:color="auto"/>
        </w:rPr>
        <w:t>——靠近开口处（或窗户）室内某倍频带的声压级或 A 声级，dB；</w:t>
      </w:r>
    </w:p>
    <w:p w14:paraId="63039041">
      <w:pPr>
        <w:pStyle w:val="20"/>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p2</w:t>
      </w:r>
      <w:r>
        <w:rPr>
          <w:rFonts w:hint="default"/>
          <w:color w:val="auto"/>
          <w:u w:val="none" w:color="auto"/>
        </w:rPr>
        <w:t>——靠近开口处（或窗户）室外某倍频带的声压级或 A 声级，dB；</w:t>
      </w:r>
    </w:p>
    <w:p w14:paraId="1C82A389">
      <w:pPr>
        <w:pStyle w:val="20"/>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W</w:t>
      </w:r>
      <w:r>
        <w:rPr>
          <w:rFonts w:hint="default"/>
          <w:color w:val="auto"/>
          <w:u w:val="none" w:color="auto"/>
        </w:rPr>
        <w:t>——点声源声功率级，dB；</w:t>
      </w:r>
    </w:p>
    <w:p w14:paraId="01252D66">
      <w:pPr>
        <w:pStyle w:val="20"/>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e</w:t>
      </w:r>
      <w:r>
        <w:rPr>
          <w:rFonts w:hint="default"/>
          <w:color w:val="auto"/>
          <w:u w:val="none" w:color="auto"/>
        </w:rPr>
        <w:t>——声源的声压级，dB；</w:t>
      </w:r>
    </w:p>
    <w:p w14:paraId="65DB23CF">
      <w:pPr>
        <w:pStyle w:val="20"/>
        <w:bidi w:val="0"/>
        <w:ind w:firstLine="1200" w:firstLineChars="500"/>
        <w:rPr>
          <w:rFonts w:hint="default"/>
          <w:color w:val="auto"/>
          <w:u w:val="none" w:color="auto"/>
        </w:rPr>
      </w:pPr>
      <w:r>
        <w:rPr>
          <w:rFonts w:hint="default"/>
          <w:color w:val="auto"/>
          <w:u w:val="none" w:color="auto"/>
        </w:rPr>
        <w:t>r——声源靠近围护结构某点处的距离，m；</w:t>
      </w:r>
    </w:p>
    <w:p w14:paraId="4FCCD5F6">
      <w:pPr>
        <w:pStyle w:val="20"/>
        <w:bidi w:val="0"/>
        <w:ind w:firstLine="1200" w:firstLineChars="500"/>
        <w:rPr>
          <w:rFonts w:hint="default"/>
          <w:color w:val="auto"/>
          <w:u w:val="none" w:color="auto"/>
        </w:rPr>
      </w:pPr>
      <w:r>
        <w:rPr>
          <w:rFonts w:hint="default"/>
          <w:color w:val="auto"/>
          <w:u w:val="none" w:color="auto"/>
        </w:rPr>
        <w:t>R——房间常数，m</w:t>
      </w:r>
      <w:r>
        <w:rPr>
          <w:rFonts w:hint="default"/>
          <w:color w:val="auto"/>
          <w:u w:val="none" w:color="auto"/>
          <w:vertAlign w:val="superscript"/>
        </w:rPr>
        <w:t>2</w:t>
      </w:r>
      <w:r>
        <w:rPr>
          <w:rFonts w:hint="default"/>
          <w:color w:val="auto"/>
          <w:u w:val="none" w:color="auto"/>
        </w:rPr>
        <w:t>；</w:t>
      </w:r>
    </w:p>
    <w:p w14:paraId="629953ED">
      <w:pPr>
        <w:pStyle w:val="20"/>
        <w:bidi w:val="0"/>
        <w:ind w:firstLine="1200" w:firstLineChars="500"/>
        <w:rPr>
          <w:rFonts w:hint="default"/>
          <w:color w:val="auto"/>
          <w:u w:val="none" w:color="auto"/>
        </w:rPr>
      </w:pPr>
      <w:r>
        <w:rPr>
          <w:rFonts w:hint="default"/>
          <w:color w:val="auto"/>
          <w:u w:val="none" w:color="auto"/>
        </w:rPr>
        <w:t>Q——指向性因数；通过对无指向性声源，当声源放在房间中心时，Q=1；当放在一面墙中心时，Q=2；当放在两面墙夹角处时，Q=4；当放在三面墙夹角处时，Q=8；</w:t>
      </w:r>
    </w:p>
    <w:p w14:paraId="6EF9722B">
      <w:pPr>
        <w:pStyle w:val="20"/>
        <w:bidi w:val="0"/>
        <w:ind w:firstLine="1200" w:firstLineChars="500"/>
        <w:rPr>
          <w:rFonts w:hint="default"/>
          <w:color w:val="auto"/>
          <w:u w:val="none" w:color="auto"/>
        </w:rPr>
      </w:pPr>
      <w:r>
        <w:rPr>
          <w:rFonts w:hint="default"/>
          <w:color w:val="auto"/>
          <w:u w:val="none" w:color="auto"/>
        </w:rPr>
        <w:t>TL——隔墙（或窗户）倍频带或 A 声级的隔声量，dB；</w:t>
      </w:r>
    </w:p>
    <w:p w14:paraId="5DBB6065">
      <w:pPr>
        <w:pStyle w:val="20"/>
        <w:bidi w:val="0"/>
        <w:ind w:firstLine="1200" w:firstLineChars="500"/>
        <w:rPr>
          <w:rFonts w:hint="default"/>
          <w:color w:val="auto"/>
          <w:u w:val="none" w:color="auto"/>
        </w:rPr>
      </w:pPr>
      <w:r>
        <w:rPr>
          <w:rFonts w:hint="default"/>
          <w:color w:val="auto"/>
          <w:u w:val="none" w:color="auto"/>
        </w:rPr>
        <w:t>S——透声面积，m</w:t>
      </w:r>
      <w:r>
        <w:rPr>
          <w:rFonts w:hint="default"/>
          <w:color w:val="auto"/>
          <w:u w:val="none" w:color="auto"/>
          <w:vertAlign w:val="superscript"/>
        </w:rPr>
        <w:t>2</w:t>
      </w:r>
      <w:r>
        <w:rPr>
          <w:rFonts w:hint="default"/>
          <w:color w:val="auto"/>
          <w:u w:val="none" w:color="auto"/>
        </w:rPr>
        <w:t>。</w:t>
      </w:r>
    </w:p>
    <w:p w14:paraId="295DD69C">
      <w:pPr>
        <w:pStyle w:val="20"/>
        <w:bidi w:val="0"/>
        <w:rPr>
          <w:rFonts w:hint="default"/>
          <w:color w:val="auto"/>
          <w:u w:val="none" w:color="auto"/>
        </w:rPr>
      </w:pPr>
      <w:r>
        <w:rPr>
          <w:rFonts w:hint="default"/>
          <w:color w:val="auto"/>
          <w:u w:val="none" w:color="auto"/>
        </w:rPr>
        <w:t>③对两个以上多个声源同时存在时，声源对预测点产生的贡献值采用下面公式：</w:t>
      </w:r>
    </w:p>
    <w:p w14:paraId="44FD8F35">
      <w:pPr>
        <w:pStyle w:val="20"/>
        <w:bidi w:val="0"/>
        <w:ind w:left="0" w:leftChars="0" w:firstLine="0" w:firstLineChars="0"/>
        <w:jc w:val="center"/>
        <w:rPr>
          <w:rFonts w:hint="default"/>
          <w:color w:val="auto"/>
          <w:u w:val="none" w:color="auto"/>
        </w:rPr>
      </w:pPr>
      <w:r>
        <w:rPr>
          <w:rFonts w:hint="default"/>
          <w:color w:val="auto"/>
          <w:u w:val="none" w:color="auto"/>
        </w:rPr>
        <w:t></w:t>
      </w:r>
      <w:r>
        <w:rPr>
          <w:color w:val="auto"/>
          <w:u w:val="none" w:color="auto"/>
        </w:rPr>
        <w:drawing>
          <wp:inline distT="0" distB="0" distL="114300" distR="114300">
            <wp:extent cx="3000375" cy="685800"/>
            <wp:effectExtent l="0" t="0" r="9525" b="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pic:cNvPicPr>
                      <a:picLocks noChangeAspect="1"/>
                    </pic:cNvPicPr>
                  </pic:nvPicPr>
                  <pic:blipFill>
                    <a:blip r:embed="rId44"/>
                    <a:stretch>
                      <a:fillRect/>
                    </a:stretch>
                  </pic:blipFill>
                  <pic:spPr>
                    <a:xfrm>
                      <a:off x="0" y="0"/>
                      <a:ext cx="3000375" cy="685800"/>
                    </a:xfrm>
                    <a:prstGeom prst="rect">
                      <a:avLst/>
                    </a:prstGeom>
                    <a:noFill/>
                    <a:ln>
                      <a:noFill/>
                    </a:ln>
                  </pic:spPr>
                </pic:pic>
              </a:graphicData>
            </a:graphic>
          </wp:inline>
        </w:drawing>
      </w:r>
    </w:p>
    <w:p w14:paraId="0846E046">
      <w:pPr>
        <w:pStyle w:val="20"/>
        <w:bidi w:val="0"/>
        <w:rPr>
          <w:rFonts w:hint="default"/>
          <w:color w:val="auto"/>
          <w:u w:val="none" w:color="auto"/>
        </w:rPr>
      </w:pPr>
      <w:r>
        <w:rPr>
          <w:rFonts w:hint="default"/>
          <w:color w:val="auto"/>
          <w:u w:val="none" w:color="auto"/>
        </w:rPr>
        <w:t>式中：L</w:t>
      </w:r>
      <w:r>
        <w:rPr>
          <w:rFonts w:hint="default"/>
          <w:color w:val="auto"/>
          <w:u w:val="none" w:color="auto"/>
          <w:vertAlign w:val="subscript"/>
        </w:rPr>
        <w:t>eqg</w:t>
      </w:r>
      <w:r>
        <w:rPr>
          <w:rFonts w:hint="default"/>
          <w:color w:val="auto"/>
          <w:u w:val="none" w:color="auto"/>
        </w:rPr>
        <w:t>——建设项目声源在预测点产生的噪声贡献值，dB；</w:t>
      </w:r>
    </w:p>
    <w:p w14:paraId="3C9DEC4F">
      <w:pPr>
        <w:pStyle w:val="20"/>
        <w:bidi w:val="0"/>
        <w:ind w:firstLine="1200" w:firstLineChars="500"/>
        <w:rPr>
          <w:rFonts w:hint="default"/>
          <w:color w:val="auto"/>
          <w:u w:val="none" w:color="auto"/>
        </w:rPr>
      </w:pPr>
      <w:r>
        <w:rPr>
          <w:rFonts w:hint="default"/>
          <w:color w:val="auto"/>
          <w:u w:val="none" w:color="auto"/>
        </w:rPr>
        <w:t>T——用于计算等效声级的时间，s；</w:t>
      </w:r>
    </w:p>
    <w:p w14:paraId="1CF07AF0">
      <w:pPr>
        <w:pStyle w:val="20"/>
        <w:bidi w:val="0"/>
        <w:ind w:firstLine="1200" w:firstLineChars="500"/>
        <w:rPr>
          <w:rFonts w:hint="default"/>
          <w:color w:val="auto"/>
          <w:u w:val="none" w:color="auto"/>
        </w:rPr>
      </w:pPr>
      <w:r>
        <w:rPr>
          <w:rFonts w:hint="default"/>
          <w:color w:val="auto"/>
          <w:u w:val="none" w:color="auto"/>
        </w:rPr>
        <w:t>N——室外声源个数；</w:t>
      </w:r>
    </w:p>
    <w:p w14:paraId="1E4957A6">
      <w:pPr>
        <w:pStyle w:val="20"/>
        <w:bidi w:val="0"/>
        <w:ind w:firstLine="1200" w:firstLineChars="500"/>
        <w:rPr>
          <w:rFonts w:hint="default"/>
          <w:color w:val="auto"/>
          <w:u w:val="none" w:color="auto"/>
        </w:rPr>
      </w:pPr>
      <w:r>
        <w:rPr>
          <w:rFonts w:hint="default"/>
          <w:color w:val="auto"/>
          <w:u w:val="none" w:color="auto"/>
        </w:rPr>
        <w:t>t</w:t>
      </w:r>
      <w:r>
        <w:rPr>
          <w:rFonts w:hint="default"/>
          <w:color w:val="auto"/>
          <w:u w:val="none" w:color="auto"/>
          <w:vertAlign w:val="subscript"/>
        </w:rPr>
        <w:t>i</w:t>
      </w:r>
      <w:r>
        <w:rPr>
          <w:rFonts w:hint="default"/>
          <w:color w:val="auto"/>
          <w:u w:val="none" w:color="auto"/>
        </w:rPr>
        <w:t>——在T时间内i声源工作时间，s；</w:t>
      </w:r>
    </w:p>
    <w:p w14:paraId="2B3FB179">
      <w:pPr>
        <w:pStyle w:val="20"/>
        <w:bidi w:val="0"/>
        <w:ind w:firstLine="1200" w:firstLineChars="500"/>
        <w:rPr>
          <w:rFonts w:hint="default"/>
          <w:color w:val="auto"/>
          <w:u w:val="none" w:color="auto"/>
        </w:rPr>
      </w:pPr>
      <w:r>
        <w:rPr>
          <w:rFonts w:hint="default"/>
          <w:color w:val="auto"/>
          <w:u w:val="none" w:color="auto"/>
        </w:rPr>
        <w:t>M——等效室外声源个数；</w:t>
      </w:r>
    </w:p>
    <w:p w14:paraId="0B45CD71">
      <w:pPr>
        <w:pStyle w:val="20"/>
        <w:bidi w:val="0"/>
        <w:ind w:firstLine="1200" w:firstLineChars="500"/>
        <w:rPr>
          <w:rFonts w:hint="default"/>
          <w:color w:val="auto"/>
          <w:u w:val="none" w:color="auto"/>
        </w:rPr>
      </w:pPr>
      <w:r>
        <w:rPr>
          <w:rFonts w:hint="default"/>
          <w:color w:val="auto"/>
          <w:u w:val="none" w:color="auto"/>
        </w:rPr>
        <w:t>t</w:t>
      </w:r>
      <w:r>
        <w:rPr>
          <w:rFonts w:hint="default"/>
          <w:color w:val="auto"/>
          <w:u w:val="none" w:color="auto"/>
          <w:vertAlign w:val="subscript"/>
        </w:rPr>
        <w:t>j</w:t>
      </w:r>
      <w:r>
        <w:rPr>
          <w:rFonts w:hint="default"/>
          <w:color w:val="auto"/>
          <w:u w:val="none" w:color="auto"/>
        </w:rPr>
        <w:t>——在T时间内j声源工作时间，s；</w:t>
      </w:r>
    </w:p>
    <w:p w14:paraId="669FEE90">
      <w:pPr>
        <w:pStyle w:val="20"/>
        <w:bidi w:val="0"/>
        <w:rPr>
          <w:rFonts w:hint="default"/>
          <w:color w:val="auto"/>
          <w:u w:val="none" w:color="auto"/>
        </w:rPr>
      </w:pPr>
      <w:r>
        <w:rPr>
          <w:rFonts w:hint="default"/>
          <w:color w:val="auto"/>
          <w:u w:val="none" w:color="auto"/>
        </w:rPr>
        <w:t>④噪声预测值</w:t>
      </w:r>
    </w:p>
    <w:p w14:paraId="18E2EBDD">
      <w:pPr>
        <w:pStyle w:val="20"/>
        <w:bidi w:val="0"/>
        <w:ind w:left="0" w:leftChars="0" w:firstLine="0" w:firstLineChars="0"/>
        <w:jc w:val="center"/>
        <w:rPr>
          <w:color w:val="auto"/>
          <w:u w:val="none" w:color="auto"/>
        </w:rPr>
      </w:pPr>
      <w:r>
        <w:rPr>
          <w:color w:val="auto"/>
          <w:u w:val="none" w:color="auto"/>
        </w:rPr>
        <w:drawing>
          <wp:inline distT="0" distB="0" distL="114300" distR="114300">
            <wp:extent cx="2257425" cy="533400"/>
            <wp:effectExtent l="0" t="0" r="9525" b="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45"/>
                    <a:stretch>
                      <a:fillRect/>
                    </a:stretch>
                  </pic:blipFill>
                  <pic:spPr>
                    <a:xfrm>
                      <a:off x="0" y="0"/>
                      <a:ext cx="2257425" cy="533400"/>
                    </a:xfrm>
                    <a:prstGeom prst="rect">
                      <a:avLst/>
                    </a:prstGeom>
                    <a:noFill/>
                    <a:ln>
                      <a:noFill/>
                    </a:ln>
                  </pic:spPr>
                </pic:pic>
              </a:graphicData>
            </a:graphic>
          </wp:inline>
        </w:drawing>
      </w:r>
    </w:p>
    <w:p w14:paraId="40FE11C5">
      <w:pPr>
        <w:pStyle w:val="20"/>
        <w:bidi w:val="0"/>
        <w:rPr>
          <w:rFonts w:hint="default"/>
          <w:color w:val="auto"/>
          <w:u w:val="none" w:color="auto"/>
        </w:rPr>
      </w:pPr>
      <w:r>
        <w:rPr>
          <w:rFonts w:hint="default"/>
          <w:color w:val="auto"/>
          <w:u w:val="none" w:color="auto"/>
        </w:rPr>
        <w:t>式中：L</w:t>
      </w:r>
      <w:r>
        <w:rPr>
          <w:rFonts w:hint="default"/>
          <w:color w:val="auto"/>
          <w:u w:val="none" w:color="auto"/>
          <w:vertAlign w:val="subscript"/>
        </w:rPr>
        <w:t>eq</w:t>
      </w:r>
      <w:r>
        <w:rPr>
          <w:rFonts w:hint="default"/>
          <w:color w:val="auto"/>
          <w:u w:val="none" w:color="auto"/>
        </w:rPr>
        <w:t>——预测点的噪声预测值，dB；</w:t>
      </w:r>
    </w:p>
    <w:p w14:paraId="21AE8710">
      <w:pPr>
        <w:pStyle w:val="20"/>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eqg</w:t>
      </w:r>
      <w:r>
        <w:rPr>
          <w:rFonts w:hint="default"/>
          <w:color w:val="auto"/>
          <w:u w:val="none" w:color="auto"/>
        </w:rPr>
        <w:t>——建设项目声源在预测点产生的噪声贡献值，dB；</w:t>
      </w:r>
    </w:p>
    <w:p w14:paraId="67C3CB2C">
      <w:pPr>
        <w:pStyle w:val="20"/>
        <w:bidi w:val="0"/>
        <w:ind w:firstLine="1200" w:firstLineChars="500"/>
        <w:rPr>
          <w:rFonts w:hint="default"/>
          <w:color w:val="auto"/>
          <w:u w:val="none" w:color="auto"/>
        </w:rPr>
      </w:pPr>
      <w:r>
        <w:rPr>
          <w:rFonts w:hint="default"/>
          <w:color w:val="auto"/>
          <w:u w:val="none" w:color="auto"/>
        </w:rPr>
        <w:t>L</w:t>
      </w:r>
      <w:r>
        <w:rPr>
          <w:rFonts w:hint="default"/>
          <w:color w:val="auto"/>
          <w:u w:val="none" w:color="auto"/>
          <w:vertAlign w:val="subscript"/>
        </w:rPr>
        <w:t>eqb</w:t>
      </w:r>
      <w:r>
        <w:rPr>
          <w:rFonts w:hint="default"/>
          <w:color w:val="auto"/>
          <w:u w:val="none" w:color="auto"/>
        </w:rPr>
        <w:t>——预测点的背景噪声值，dB。</w:t>
      </w:r>
    </w:p>
    <w:p w14:paraId="29188256">
      <w:pPr>
        <w:pStyle w:val="20"/>
        <w:bidi w:val="0"/>
        <w:rPr>
          <w:rFonts w:hint="default"/>
          <w:color w:val="auto"/>
          <w:u w:val="none" w:color="auto"/>
        </w:rPr>
      </w:pPr>
      <w:r>
        <w:rPr>
          <w:rFonts w:hint="default"/>
          <w:color w:val="auto"/>
          <w:u w:val="none" w:color="auto"/>
        </w:rPr>
        <w:t>在预测中考虑大气吸收衰减、室内声源等效室外声源等影响和计算方法。</w:t>
      </w:r>
    </w:p>
    <w:p w14:paraId="285B1FA0">
      <w:pPr>
        <w:pStyle w:val="20"/>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3、预测参数的确定</w:t>
      </w:r>
    </w:p>
    <w:p w14:paraId="0B03DE54">
      <w:pPr>
        <w:pStyle w:val="20"/>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项目噪声源衰减量包括遮挡物衰减量、空气吸收收衰减量、地面效应引起的衰减量，其中主要为遮挡物衰减量，而空气和地面引起的衰减量与距离衰减相比很小。因此，本评价预测只考虑设备降噪和厂房围护结构引起的衰减量，其衰减量通过估算得到。</w:t>
      </w:r>
    </w:p>
    <w:p w14:paraId="37A4DFA8">
      <w:pPr>
        <w:pStyle w:val="20"/>
        <w:ind w:firstLine="48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项目噪声环境影响预测基础数据见下表。</w:t>
      </w:r>
    </w:p>
    <w:p w14:paraId="1A05B545">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6.2-21</w:t>
      </w:r>
      <w:r>
        <w:rPr>
          <w:rFonts w:hint="default"/>
          <w:color w:val="auto"/>
          <w:u w:val="none" w:color="auto"/>
        </w:rPr>
        <w:t xml:space="preserve"> 项目建成后厂界噪声预测结果一览表 </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1965"/>
        <w:gridCol w:w="2450"/>
        <w:gridCol w:w="2208"/>
        <w:gridCol w:w="1881"/>
      </w:tblGrid>
      <w:tr w14:paraId="164AFB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1965" w:type="dxa"/>
            <w:vMerge w:val="restart"/>
            <w:tcBorders>
              <w:tl2br w:val="nil"/>
              <w:tr2bl w:val="nil"/>
            </w:tcBorders>
            <w:noWrap w:val="0"/>
            <w:vAlign w:val="center"/>
          </w:tcPr>
          <w:p w14:paraId="073BB4B8">
            <w:pPr>
              <w:pStyle w:val="24"/>
              <w:bidi w:val="0"/>
              <w:rPr>
                <w:rFonts w:hint="eastAsia" w:eastAsia="宋体"/>
                <w:b/>
                <w:bCs/>
                <w:color w:val="auto"/>
                <w:u w:val="none" w:color="auto"/>
                <w:lang w:val="en-US" w:eastAsia="zh-CN"/>
              </w:rPr>
            </w:pPr>
            <w:r>
              <w:rPr>
                <w:rFonts w:hint="eastAsia" w:eastAsia="宋体"/>
                <w:b/>
                <w:bCs/>
                <w:color w:val="auto"/>
                <w:u w:val="none" w:color="auto"/>
                <w:lang w:val="en-US" w:eastAsia="zh-CN"/>
              </w:rPr>
              <w:t>序号</w:t>
            </w:r>
          </w:p>
        </w:tc>
        <w:tc>
          <w:tcPr>
            <w:tcW w:w="2450" w:type="dxa"/>
            <w:vMerge w:val="restart"/>
            <w:tcBorders>
              <w:tl2br w:val="nil"/>
              <w:tr2bl w:val="nil"/>
            </w:tcBorders>
            <w:noWrap w:val="0"/>
            <w:vAlign w:val="center"/>
          </w:tcPr>
          <w:p w14:paraId="313D547E">
            <w:pPr>
              <w:pStyle w:val="24"/>
              <w:bidi w:val="0"/>
              <w:rPr>
                <w:b/>
                <w:bCs/>
                <w:color w:val="auto"/>
                <w:u w:val="none" w:color="auto"/>
              </w:rPr>
            </w:pPr>
            <w:r>
              <w:rPr>
                <w:rFonts w:hint="eastAsia"/>
                <w:b/>
                <w:bCs/>
                <w:color w:val="auto"/>
                <w:u w:val="none" w:color="auto"/>
                <w:lang w:val="en-US" w:eastAsia="zh-CN"/>
              </w:rPr>
              <w:t>名称</w:t>
            </w:r>
          </w:p>
        </w:tc>
        <w:tc>
          <w:tcPr>
            <w:tcW w:w="2208" w:type="dxa"/>
            <w:vMerge w:val="restart"/>
            <w:tcBorders>
              <w:tl2br w:val="nil"/>
              <w:tr2bl w:val="nil"/>
            </w:tcBorders>
            <w:noWrap w:val="0"/>
            <w:vAlign w:val="center"/>
          </w:tcPr>
          <w:p w14:paraId="3467FE40">
            <w:pPr>
              <w:pStyle w:val="24"/>
              <w:bidi w:val="0"/>
              <w:rPr>
                <w:rFonts w:hint="eastAsia" w:eastAsia="宋体"/>
                <w:b/>
                <w:bCs/>
                <w:color w:val="auto"/>
                <w:u w:val="none" w:color="auto"/>
                <w:lang w:eastAsia="zh-CN"/>
              </w:rPr>
            </w:pPr>
            <w:r>
              <w:rPr>
                <w:rFonts w:hint="eastAsia"/>
                <w:b/>
                <w:bCs/>
                <w:color w:val="auto"/>
                <w:u w:val="none" w:color="auto"/>
                <w:lang w:val="en-US" w:eastAsia="zh-CN"/>
              </w:rPr>
              <w:t>单位</w:t>
            </w:r>
          </w:p>
        </w:tc>
        <w:tc>
          <w:tcPr>
            <w:tcW w:w="1881" w:type="dxa"/>
            <w:vMerge w:val="restart"/>
            <w:tcBorders>
              <w:tl2br w:val="nil"/>
              <w:tr2bl w:val="nil"/>
            </w:tcBorders>
            <w:noWrap w:val="0"/>
            <w:vAlign w:val="center"/>
          </w:tcPr>
          <w:p w14:paraId="42D2ED90">
            <w:pPr>
              <w:pStyle w:val="24"/>
              <w:bidi w:val="0"/>
              <w:rPr>
                <w:rFonts w:hint="eastAsia" w:eastAsia="宋体"/>
                <w:b/>
                <w:bCs/>
                <w:color w:val="auto"/>
                <w:u w:val="none" w:color="auto"/>
                <w:lang w:eastAsia="zh-CN"/>
              </w:rPr>
            </w:pPr>
            <w:r>
              <w:rPr>
                <w:rFonts w:hint="eastAsia"/>
                <w:b/>
                <w:bCs/>
                <w:color w:val="auto"/>
                <w:u w:val="none" w:color="auto"/>
                <w:lang w:val="en-US" w:eastAsia="zh-CN"/>
              </w:rPr>
              <w:t>数据</w:t>
            </w:r>
          </w:p>
        </w:tc>
      </w:tr>
      <w:tr w14:paraId="544D69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12" w:hRule="atLeast"/>
          <w:jc w:val="center"/>
        </w:trPr>
        <w:tc>
          <w:tcPr>
            <w:tcW w:w="1965" w:type="dxa"/>
            <w:vMerge w:val="continue"/>
            <w:tcBorders>
              <w:tl2br w:val="nil"/>
              <w:tr2bl w:val="nil"/>
            </w:tcBorders>
            <w:shd w:val="clear" w:color="auto" w:fill="FFFFFF"/>
            <w:noWrap w:val="0"/>
            <w:vAlign w:val="center"/>
          </w:tcPr>
          <w:p w14:paraId="09A9771B">
            <w:pPr>
              <w:pStyle w:val="24"/>
              <w:bidi w:val="0"/>
              <w:rPr>
                <w:b/>
                <w:bCs/>
                <w:color w:val="auto"/>
                <w:u w:val="none" w:color="auto"/>
              </w:rPr>
            </w:pPr>
          </w:p>
        </w:tc>
        <w:tc>
          <w:tcPr>
            <w:tcW w:w="2450" w:type="dxa"/>
            <w:vMerge w:val="continue"/>
            <w:tcBorders>
              <w:tl2br w:val="nil"/>
              <w:tr2bl w:val="nil"/>
            </w:tcBorders>
            <w:shd w:val="clear" w:color="auto" w:fill="FFFFFF"/>
            <w:noWrap w:val="0"/>
            <w:vAlign w:val="center"/>
          </w:tcPr>
          <w:p w14:paraId="69127B9F">
            <w:pPr>
              <w:pStyle w:val="24"/>
              <w:bidi w:val="0"/>
              <w:rPr>
                <w:b/>
                <w:bCs/>
                <w:color w:val="auto"/>
                <w:u w:val="none" w:color="auto"/>
              </w:rPr>
            </w:pPr>
          </w:p>
        </w:tc>
        <w:tc>
          <w:tcPr>
            <w:tcW w:w="2208" w:type="dxa"/>
            <w:vMerge w:val="continue"/>
            <w:tcBorders>
              <w:tl2br w:val="nil"/>
              <w:tr2bl w:val="nil"/>
            </w:tcBorders>
            <w:shd w:val="clear" w:color="auto" w:fill="FFFFFF"/>
            <w:noWrap w:val="0"/>
            <w:vAlign w:val="center"/>
          </w:tcPr>
          <w:p w14:paraId="6D558201">
            <w:pPr>
              <w:pStyle w:val="24"/>
              <w:bidi w:val="0"/>
              <w:rPr>
                <w:b/>
                <w:bCs/>
                <w:color w:val="auto"/>
                <w:u w:val="none" w:color="auto"/>
              </w:rPr>
            </w:pPr>
          </w:p>
        </w:tc>
        <w:tc>
          <w:tcPr>
            <w:tcW w:w="1881" w:type="dxa"/>
            <w:vMerge w:val="continue"/>
            <w:tcBorders>
              <w:tl2br w:val="nil"/>
              <w:tr2bl w:val="nil"/>
            </w:tcBorders>
            <w:shd w:val="clear" w:color="auto" w:fill="FFFFFF"/>
            <w:noWrap w:val="0"/>
            <w:vAlign w:val="center"/>
          </w:tcPr>
          <w:p w14:paraId="25C56AA5">
            <w:pPr>
              <w:pStyle w:val="24"/>
              <w:bidi w:val="0"/>
              <w:rPr>
                <w:b/>
                <w:bCs/>
                <w:color w:val="auto"/>
                <w:u w:val="none" w:color="auto"/>
              </w:rPr>
            </w:pPr>
          </w:p>
        </w:tc>
      </w:tr>
      <w:tr w14:paraId="0EFD9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6C69A0A6">
            <w:pPr>
              <w:pStyle w:val="24"/>
              <w:bidi w:val="0"/>
              <w:rPr>
                <w:rFonts w:hint="default" w:eastAsia="宋体"/>
                <w:color w:val="auto"/>
                <w:u w:val="none" w:color="auto"/>
                <w:lang w:val="en-US" w:eastAsia="zh-CN"/>
              </w:rPr>
            </w:pPr>
            <w:r>
              <w:rPr>
                <w:rFonts w:hint="eastAsia" w:eastAsia="宋体"/>
                <w:color w:val="auto"/>
                <w:u w:val="none" w:color="auto"/>
                <w:lang w:val="en-US" w:eastAsia="zh-CN"/>
              </w:rPr>
              <w:t>1</w:t>
            </w:r>
          </w:p>
        </w:tc>
        <w:tc>
          <w:tcPr>
            <w:tcW w:w="2450" w:type="dxa"/>
            <w:tcBorders>
              <w:tl2br w:val="nil"/>
              <w:tr2bl w:val="nil"/>
            </w:tcBorders>
            <w:shd w:val="clear" w:color="auto" w:fill="FFFFFF"/>
            <w:noWrap w:val="0"/>
            <w:vAlign w:val="center"/>
          </w:tcPr>
          <w:p w14:paraId="4A4104A5">
            <w:pPr>
              <w:pStyle w:val="24"/>
              <w:bidi w:val="0"/>
              <w:rPr>
                <w:rFonts w:hint="default" w:eastAsia="宋体"/>
                <w:color w:val="auto"/>
                <w:u w:val="none" w:color="auto"/>
                <w:lang w:val="en-US" w:eastAsia="zh-CN"/>
              </w:rPr>
            </w:pPr>
            <w:r>
              <w:rPr>
                <w:rFonts w:hint="eastAsia" w:eastAsia="宋体"/>
                <w:color w:val="auto"/>
                <w:u w:val="none" w:color="auto"/>
                <w:lang w:val="en-US" w:eastAsia="zh-CN"/>
              </w:rPr>
              <w:t>多年平均风速</w:t>
            </w:r>
          </w:p>
        </w:tc>
        <w:tc>
          <w:tcPr>
            <w:tcW w:w="2208" w:type="dxa"/>
            <w:tcBorders>
              <w:tl2br w:val="nil"/>
              <w:tr2bl w:val="nil"/>
            </w:tcBorders>
            <w:shd w:val="clear" w:color="auto" w:fill="FFFFFF"/>
            <w:noWrap w:val="0"/>
            <w:vAlign w:val="center"/>
          </w:tcPr>
          <w:p w14:paraId="16D136D4">
            <w:pPr>
              <w:pStyle w:val="24"/>
              <w:bidi w:val="0"/>
              <w:rPr>
                <w:rFonts w:hint="default" w:eastAsia="宋体"/>
                <w:color w:val="auto"/>
                <w:u w:val="none" w:color="auto"/>
                <w:lang w:val="en-US" w:eastAsia="zh-CN"/>
              </w:rPr>
            </w:pPr>
            <w:r>
              <w:rPr>
                <w:rFonts w:hint="eastAsia"/>
                <w:color w:val="auto"/>
                <w:u w:val="none" w:color="auto"/>
                <w:lang w:val="en-US" w:eastAsia="zh-CN"/>
              </w:rPr>
              <w:t>m/s</w:t>
            </w:r>
          </w:p>
        </w:tc>
        <w:tc>
          <w:tcPr>
            <w:tcW w:w="1881" w:type="dxa"/>
            <w:tcBorders>
              <w:tl2br w:val="nil"/>
              <w:tr2bl w:val="nil"/>
            </w:tcBorders>
            <w:shd w:val="clear" w:color="auto" w:fill="FFFFFF"/>
            <w:noWrap w:val="0"/>
            <w:vAlign w:val="center"/>
          </w:tcPr>
          <w:p w14:paraId="60CBA9E0">
            <w:pPr>
              <w:pStyle w:val="24"/>
              <w:bidi w:val="0"/>
              <w:rPr>
                <w:rFonts w:hint="default" w:eastAsia="宋体"/>
                <w:color w:val="auto"/>
                <w:u w:val="none" w:color="auto"/>
                <w:lang w:val="en-US" w:eastAsia="zh-CN"/>
              </w:rPr>
            </w:pPr>
            <w:r>
              <w:rPr>
                <w:rFonts w:hint="eastAsia"/>
                <w:color w:val="auto"/>
                <w:u w:val="none" w:color="auto"/>
                <w:lang w:val="en-US" w:eastAsia="zh-CN"/>
              </w:rPr>
              <w:t>2.1</w:t>
            </w:r>
          </w:p>
        </w:tc>
      </w:tr>
      <w:tr w14:paraId="7805E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5A3CD1C9">
            <w:pPr>
              <w:pStyle w:val="24"/>
              <w:bidi w:val="0"/>
              <w:rPr>
                <w:rFonts w:hint="default" w:eastAsia="宋体"/>
                <w:color w:val="auto"/>
                <w:u w:val="none" w:color="auto"/>
                <w:lang w:val="en-US" w:eastAsia="zh-CN"/>
              </w:rPr>
            </w:pPr>
            <w:r>
              <w:rPr>
                <w:rFonts w:hint="eastAsia" w:eastAsia="宋体"/>
                <w:color w:val="auto"/>
                <w:u w:val="none" w:color="auto"/>
                <w:lang w:val="en-US" w:eastAsia="zh-CN"/>
              </w:rPr>
              <w:t>2</w:t>
            </w:r>
          </w:p>
        </w:tc>
        <w:tc>
          <w:tcPr>
            <w:tcW w:w="2450" w:type="dxa"/>
            <w:tcBorders>
              <w:tl2br w:val="nil"/>
              <w:tr2bl w:val="nil"/>
            </w:tcBorders>
            <w:shd w:val="clear" w:color="auto" w:fill="FFFFFF"/>
            <w:noWrap w:val="0"/>
            <w:vAlign w:val="center"/>
          </w:tcPr>
          <w:p w14:paraId="2193F2E1">
            <w:pPr>
              <w:pStyle w:val="24"/>
              <w:bidi w:val="0"/>
              <w:rPr>
                <w:rFonts w:hint="default" w:eastAsia="宋体"/>
                <w:color w:val="auto"/>
                <w:u w:val="none" w:color="auto"/>
                <w:lang w:val="en-US" w:eastAsia="zh-CN"/>
              </w:rPr>
            </w:pPr>
            <w:r>
              <w:rPr>
                <w:rFonts w:hint="eastAsia" w:eastAsia="宋体"/>
                <w:color w:val="auto"/>
                <w:u w:val="none" w:color="auto"/>
                <w:lang w:val="en-US" w:eastAsia="zh-CN"/>
              </w:rPr>
              <w:t>主导风向</w:t>
            </w:r>
          </w:p>
        </w:tc>
        <w:tc>
          <w:tcPr>
            <w:tcW w:w="2208" w:type="dxa"/>
            <w:tcBorders>
              <w:tl2br w:val="nil"/>
              <w:tr2bl w:val="nil"/>
            </w:tcBorders>
            <w:shd w:val="clear" w:color="auto" w:fill="FFFFFF"/>
            <w:noWrap w:val="0"/>
            <w:vAlign w:val="center"/>
          </w:tcPr>
          <w:p w14:paraId="4DE0EE2C">
            <w:pPr>
              <w:pStyle w:val="24"/>
              <w:bidi w:val="0"/>
              <w:rPr>
                <w:rFonts w:hint="default"/>
                <w:color w:val="auto"/>
                <w:u w:val="none" w:color="auto"/>
                <w:lang w:val="en-US" w:eastAsia="zh-CN"/>
              </w:rPr>
            </w:pPr>
            <w:r>
              <w:rPr>
                <w:rFonts w:hint="eastAsia"/>
                <w:color w:val="auto"/>
                <w:u w:val="none" w:color="auto"/>
                <w:lang w:val="en-US" w:eastAsia="zh-CN"/>
              </w:rPr>
              <w:t>/</w:t>
            </w:r>
          </w:p>
        </w:tc>
        <w:tc>
          <w:tcPr>
            <w:tcW w:w="1881" w:type="dxa"/>
            <w:tcBorders>
              <w:tl2br w:val="nil"/>
              <w:tr2bl w:val="nil"/>
            </w:tcBorders>
            <w:shd w:val="clear" w:color="auto" w:fill="FFFFFF"/>
            <w:noWrap w:val="0"/>
            <w:vAlign w:val="center"/>
          </w:tcPr>
          <w:p w14:paraId="38950045">
            <w:pPr>
              <w:pStyle w:val="24"/>
              <w:bidi w:val="0"/>
              <w:rPr>
                <w:rFonts w:hint="eastAsia" w:eastAsia="宋体"/>
                <w:color w:val="auto"/>
                <w:u w:val="none" w:color="auto"/>
                <w:lang w:eastAsia="zh-CN"/>
              </w:rPr>
            </w:pPr>
            <w:r>
              <w:rPr>
                <w:rFonts w:hint="eastAsia"/>
                <w:color w:val="auto"/>
                <w:u w:val="none" w:color="auto"/>
                <w:lang w:val="en-US" w:eastAsia="zh-CN"/>
              </w:rPr>
              <w:t>NNW</w:t>
            </w:r>
          </w:p>
        </w:tc>
      </w:tr>
      <w:tr w14:paraId="21F53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14B07B90">
            <w:pPr>
              <w:pStyle w:val="24"/>
              <w:bidi w:val="0"/>
              <w:rPr>
                <w:rFonts w:hint="default" w:eastAsia="宋体"/>
                <w:color w:val="auto"/>
                <w:u w:val="none" w:color="auto"/>
                <w:lang w:val="en-US" w:eastAsia="zh-CN"/>
              </w:rPr>
            </w:pPr>
            <w:r>
              <w:rPr>
                <w:rFonts w:hint="eastAsia" w:eastAsia="宋体"/>
                <w:color w:val="auto"/>
                <w:u w:val="none" w:color="auto"/>
                <w:lang w:val="en-US" w:eastAsia="zh-CN"/>
              </w:rPr>
              <w:t>3</w:t>
            </w:r>
          </w:p>
        </w:tc>
        <w:tc>
          <w:tcPr>
            <w:tcW w:w="2450" w:type="dxa"/>
            <w:tcBorders>
              <w:tl2br w:val="nil"/>
              <w:tr2bl w:val="nil"/>
            </w:tcBorders>
            <w:shd w:val="clear" w:color="auto" w:fill="FFFFFF"/>
            <w:noWrap w:val="0"/>
            <w:vAlign w:val="center"/>
          </w:tcPr>
          <w:p w14:paraId="3DAE9547">
            <w:pPr>
              <w:pStyle w:val="24"/>
              <w:bidi w:val="0"/>
              <w:rPr>
                <w:rFonts w:hint="default" w:eastAsia="宋体"/>
                <w:color w:val="auto"/>
                <w:u w:val="none" w:color="auto"/>
                <w:lang w:val="en-US" w:eastAsia="zh-CN"/>
              </w:rPr>
            </w:pPr>
            <w:r>
              <w:rPr>
                <w:rFonts w:hint="eastAsia" w:eastAsia="宋体"/>
                <w:color w:val="auto"/>
                <w:u w:val="none" w:color="auto"/>
                <w:lang w:val="en-US" w:eastAsia="zh-CN"/>
              </w:rPr>
              <w:t>年平均气温</w:t>
            </w:r>
          </w:p>
        </w:tc>
        <w:tc>
          <w:tcPr>
            <w:tcW w:w="2208" w:type="dxa"/>
            <w:tcBorders>
              <w:tl2br w:val="nil"/>
              <w:tr2bl w:val="nil"/>
            </w:tcBorders>
            <w:shd w:val="clear" w:color="auto" w:fill="FFFFFF"/>
            <w:noWrap w:val="0"/>
            <w:vAlign w:val="center"/>
          </w:tcPr>
          <w:p w14:paraId="0F857E78">
            <w:pPr>
              <w:pStyle w:val="24"/>
              <w:bidi w:val="0"/>
              <w:rPr>
                <w:rFonts w:hint="default"/>
                <w:color w:val="auto"/>
                <w:u w:val="none" w:color="auto"/>
                <w:lang w:val="en-US" w:eastAsia="zh-CN"/>
              </w:rPr>
            </w:pPr>
            <w:r>
              <w:rPr>
                <w:rFonts w:hint="eastAsia"/>
                <w:color w:val="auto"/>
                <w:u w:val="none" w:color="auto"/>
                <w:lang w:val="en-US" w:eastAsia="zh-CN"/>
              </w:rPr>
              <w:t>℃</w:t>
            </w:r>
          </w:p>
        </w:tc>
        <w:tc>
          <w:tcPr>
            <w:tcW w:w="1881" w:type="dxa"/>
            <w:tcBorders>
              <w:tl2br w:val="nil"/>
              <w:tr2bl w:val="nil"/>
            </w:tcBorders>
            <w:shd w:val="clear" w:color="auto" w:fill="FFFFFF"/>
            <w:noWrap w:val="0"/>
            <w:vAlign w:val="center"/>
          </w:tcPr>
          <w:p w14:paraId="59D27D97">
            <w:pPr>
              <w:pStyle w:val="24"/>
              <w:bidi w:val="0"/>
              <w:rPr>
                <w:rFonts w:hint="default"/>
                <w:color w:val="auto"/>
                <w:u w:val="none" w:color="auto"/>
                <w:lang w:val="en-US" w:eastAsia="zh-CN"/>
              </w:rPr>
            </w:pPr>
            <w:r>
              <w:rPr>
                <w:rFonts w:hint="eastAsia"/>
                <w:color w:val="auto"/>
                <w:u w:val="none" w:color="auto"/>
                <w:lang w:val="en-US" w:eastAsia="zh-CN"/>
              </w:rPr>
              <w:t>17.1</w:t>
            </w:r>
          </w:p>
        </w:tc>
      </w:tr>
      <w:tr w14:paraId="77171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6B2839D7">
            <w:pPr>
              <w:pStyle w:val="24"/>
              <w:bidi w:val="0"/>
              <w:rPr>
                <w:rFonts w:hint="default" w:eastAsia="宋体"/>
                <w:color w:val="auto"/>
                <w:u w:val="none" w:color="auto"/>
                <w:lang w:val="en-US" w:eastAsia="zh-CN"/>
              </w:rPr>
            </w:pPr>
            <w:r>
              <w:rPr>
                <w:rFonts w:hint="eastAsia" w:eastAsia="宋体"/>
                <w:color w:val="auto"/>
                <w:u w:val="none" w:color="auto"/>
                <w:lang w:val="en-US" w:eastAsia="zh-CN"/>
              </w:rPr>
              <w:t>4</w:t>
            </w:r>
          </w:p>
        </w:tc>
        <w:tc>
          <w:tcPr>
            <w:tcW w:w="2450" w:type="dxa"/>
            <w:tcBorders>
              <w:tl2br w:val="nil"/>
              <w:tr2bl w:val="nil"/>
            </w:tcBorders>
            <w:shd w:val="clear" w:color="auto" w:fill="FFFFFF"/>
            <w:noWrap w:val="0"/>
            <w:vAlign w:val="center"/>
          </w:tcPr>
          <w:p w14:paraId="2B955A71">
            <w:pPr>
              <w:pStyle w:val="24"/>
              <w:bidi w:val="0"/>
              <w:rPr>
                <w:rFonts w:hint="default" w:eastAsia="宋体"/>
                <w:color w:val="auto"/>
                <w:u w:val="none" w:color="auto"/>
                <w:lang w:val="en-US" w:eastAsia="zh-CN"/>
              </w:rPr>
            </w:pPr>
            <w:r>
              <w:rPr>
                <w:rFonts w:hint="eastAsia" w:eastAsia="宋体"/>
                <w:color w:val="auto"/>
                <w:u w:val="none" w:color="auto"/>
                <w:lang w:val="en-US" w:eastAsia="zh-CN"/>
              </w:rPr>
              <w:t>年平均相对湿度</w:t>
            </w:r>
          </w:p>
        </w:tc>
        <w:tc>
          <w:tcPr>
            <w:tcW w:w="2208" w:type="dxa"/>
            <w:tcBorders>
              <w:tl2br w:val="nil"/>
              <w:tr2bl w:val="nil"/>
            </w:tcBorders>
            <w:shd w:val="clear" w:color="auto" w:fill="FFFFFF"/>
            <w:noWrap w:val="0"/>
            <w:vAlign w:val="center"/>
          </w:tcPr>
          <w:p w14:paraId="6CCEB994">
            <w:pPr>
              <w:pStyle w:val="24"/>
              <w:bidi w:val="0"/>
              <w:rPr>
                <w:rFonts w:hint="default"/>
                <w:color w:val="auto"/>
                <w:u w:val="none" w:color="auto"/>
                <w:lang w:val="en-US" w:eastAsia="zh-CN"/>
              </w:rPr>
            </w:pPr>
            <w:r>
              <w:rPr>
                <w:rFonts w:hint="eastAsia"/>
                <w:color w:val="auto"/>
                <w:u w:val="none" w:color="auto"/>
                <w:lang w:val="en-US" w:eastAsia="zh-CN"/>
              </w:rPr>
              <w:t>%</w:t>
            </w:r>
          </w:p>
        </w:tc>
        <w:tc>
          <w:tcPr>
            <w:tcW w:w="1881" w:type="dxa"/>
            <w:tcBorders>
              <w:tl2br w:val="nil"/>
              <w:tr2bl w:val="nil"/>
            </w:tcBorders>
            <w:shd w:val="clear" w:color="auto" w:fill="FFFFFF"/>
            <w:noWrap w:val="0"/>
            <w:vAlign w:val="center"/>
          </w:tcPr>
          <w:p w14:paraId="2D668E63">
            <w:pPr>
              <w:pStyle w:val="24"/>
              <w:bidi w:val="0"/>
              <w:rPr>
                <w:rFonts w:hint="default"/>
                <w:color w:val="auto"/>
                <w:u w:val="none" w:color="auto"/>
                <w:lang w:val="en-US" w:eastAsia="zh-CN"/>
              </w:rPr>
            </w:pPr>
            <w:r>
              <w:rPr>
                <w:rFonts w:hint="eastAsia"/>
                <w:color w:val="auto"/>
                <w:u w:val="none" w:color="auto"/>
                <w:lang w:val="en-US" w:eastAsia="zh-CN"/>
              </w:rPr>
              <w:t>81</w:t>
            </w:r>
          </w:p>
        </w:tc>
      </w:tr>
      <w:tr w14:paraId="3AE500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23" w:type="dxa"/>
            <w:bottom w:w="0" w:type="dxa"/>
            <w:right w:w="23" w:type="dxa"/>
          </w:tblCellMar>
        </w:tblPrEx>
        <w:trPr>
          <w:trHeight w:val="397" w:hRule="atLeast"/>
          <w:jc w:val="center"/>
        </w:trPr>
        <w:tc>
          <w:tcPr>
            <w:tcW w:w="1965" w:type="dxa"/>
            <w:tcBorders>
              <w:tl2br w:val="nil"/>
              <w:tr2bl w:val="nil"/>
            </w:tcBorders>
            <w:shd w:val="clear" w:color="auto" w:fill="FFFFFF"/>
            <w:noWrap w:val="0"/>
            <w:vAlign w:val="center"/>
          </w:tcPr>
          <w:p w14:paraId="25EABC55">
            <w:pPr>
              <w:pStyle w:val="24"/>
              <w:bidi w:val="0"/>
              <w:rPr>
                <w:rFonts w:hint="default" w:eastAsia="宋体"/>
                <w:color w:val="auto"/>
                <w:u w:val="none" w:color="auto"/>
                <w:lang w:val="en-US" w:eastAsia="zh-CN"/>
              </w:rPr>
            </w:pPr>
            <w:r>
              <w:rPr>
                <w:rFonts w:hint="eastAsia" w:eastAsia="宋体"/>
                <w:color w:val="auto"/>
                <w:u w:val="none" w:color="auto"/>
                <w:lang w:val="en-US" w:eastAsia="zh-CN"/>
              </w:rPr>
              <w:t>5</w:t>
            </w:r>
          </w:p>
        </w:tc>
        <w:tc>
          <w:tcPr>
            <w:tcW w:w="2450" w:type="dxa"/>
            <w:tcBorders>
              <w:tl2br w:val="nil"/>
              <w:tr2bl w:val="nil"/>
            </w:tcBorders>
            <w:shd w:val="clear" w:color="auto" w:fill="FFFFFF"/>
            <w:noWrap w:val="0"/>
            <w:vAlign w:val="center"/>
          </w:tcPr>
          <w:p w14:paraId="415595EF">
            <w:pPr>
              <w:pStyle w:val="24"/>
              <w:bidi w:val="0"/>
              <w:rPr>
                <w:rFonts w:hint="default" w:eastAsia="宋体"/>
                <w:color w:val="auto"/>
                <w:u w:val="none" w:color="auto"/>
                <w:lang w:val="en-US" w:eastAsia="zh-CN"/>
              </w:rPr>
            </w:pPr>
            <w:r>
              <w:rPr>
                <w:rFonts w:hint="eastAsia" w:eastAsia="宋体"/>
                <w:color w:val="auto"/>
                <w:u w:val="none" w:color="auto"/>
                <w:lang w:val="en-US" w:eastAsia="zh-CN"/>
              </w:rPr>
              <w:t>大气压强</w:t>
            </w:r>
          </w:p>
        </w:tc>
        <w:tc>
          <w:tcPr>
            <w:tcW w:w="2208" w:type="dxa"/>
            <w:tcBorders>
              <w:tl2br w:val="nil"/>
              <w:tr2bl w:val="nil"/>
            </w:tcBorders>
            <w:shd w:val="clear" w:color="auto" w:fill="FFFFFF"/>
            <w:noWrap w:val="0"/>
            <w:vAlign w:val="center"/>
          </w:tcPr>
          <w:p w14:paraId="19FEB924">
            <w:pPr>
              <w:pStyle w:val="24"/>
              <w:bidi w:val="0"/>
              <w:rPr>
                <w:rFonts w:hint="default"/>
                <w:color w:val="auto"/>
                <w:u w:val="none" w:color="auto"/>
                <w:lang w:val="en-US" w:eastAsia="zh-CN"/>
              </w:rPr>
            </w:pPr>
            <w:r>
              <w:rPr>
                <w:rFonts w:hint="eastAsia"/>
                <w:color w:val="auto"/>
                <w:u w:val="none" w:color="auto"/>
                <w:lang w:val="en-US" w:eastAsia="zh-CN"/>
              </w:rPr>
              <w:t>atm</w:t>
            </w:r>
          </w:p>
        </w:tc>
        <w:tc>
          <w:tcPr>
            <w:tcW w:w="1881" w:type="dxa"/>
            <w:tcBorders>
              <w:tl2br w:val="nil"/>
              <w:tr2bl w:val="nil"/>
            </w:tcBorders>
            <w:shd w:val="clear" w:color="auto" w:fill="FFFFFF"/>
            <w:noWrap w:val="0"/>
            <w:vAlign w:val="center"/>
          </w:tcPr>
          <w:p w14:paraId="016ACFE6">
            <w:pPr>
              <w:pStyle w:val="24"/>
              <w:bidi w:val="0"/>
              <w:rPr>
                <w:rFonts w:hint="default"/>
                <w:color w:val="auto"/>
                <w:u w:val="none" w:color="auto"/>
                <w:lang w:val="en-US" w:eastAsia="zh-CN"/>
              </w:rPr>
            </w:pPr>
            <w:r>
              <w:rPr>
                <w:rFonts w:hint="eastAsia"/>
                <w:color w:val="auto"/>
                <w:u w:val="none" w:color="auto"/>
                <w:lang w:val="en-US" w:eastAsia="zh-CN"/>
              </w:rPr>
              <w:t>1</w:t>
            </w:r>
          </w:p>
        </w:tc>
      </w:tr>
    </w:tbl>
    <w:p w14:paraId="51398559">
      <w:pPr>
        <w:pStyle w:val="20"/>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、噪声预测结果</w:t>
      </w:r>
    </w:p>
    <w:p w14:paraId="0163ECCA">
      <w:pPr>
        <w:pStyle w:val="20"/>
        <w:bidi w:val="0"/>
        <w:rPr>
          <w:rFonts w:hint="default" w:ascii="Times New Roman" w:hAnsi="Times New Roman" w:cs="Times New Roman"/>
          <w:color w:val="auto"/>
          <w:u w:val="none" w:color="auto"/>
        </w:rPr>
      </w:pPr>
      <w:r>
        <w:rPr>
          <w:rFonts w:hint="default" w:ascii="Times New Roman" w:hAnsi="Times New Roman" w:cs="Times New Roman"/>
          <w:b w:val="0"/>
          <w:color w:val="auto"/>
          <w:u w:val="none" w:color="auto"/>
        </w:rPr>
        <w:t>根据噪声预测模式，各厂界的预测</w:t>
      </w:r>
      <w:r>
        <w:rPr>
          <w:rFonts w:hint="default" w:ascii="Times New Roman" w:hAnsi="Times New Roman" w:cs="Times New Roman"/>
          <w:color w:val="auto"/>
          <w:u w:val="none" w:color="auto"/>
        </w:rPr>
        <w:t>结果见表</w:t>
      </w:r>
      <w:r>
        <w:rPr>
          <w:rFonts w:hint="eastAsia" w:ascii="Times New Roman" w:hAnsi="Times New Roman" w:cs="Times New Roman"/>
          <w:color w:val="auto"/>
          <w:u w:val="none" w:color="auto"/>
          <w:lang w:val="en-US" w:eastAsia="zh-CN"/>
        </w:rPr>
        <w:t>6.2-22</w:t>
      </w:r>
      <w:r>
        <w:rPr>
          <w:rFonts w:hint="default" w:ascii="Times New Roman" w:hAnsi="Times New Roman" w:cs="Times New Roman"/>
          <w:color w:val="auto"/>
          <w:u w:val="none" w:color="auto"/>
        </w:rPr>
        <w:t>。</w:t>
      </w:r>
    </w:p>
    <w:p w14:paraId="4A2F6C68">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6.2-22</w:t>
      </w:r>
      <w:r>
        <w:rPr>
          <w:rFonts w:hint="default"/>
          <w:color w:val="auto"/>
          <w:u w:val="none" w:color="auto"/>
        </w:rPr>
        <w:t xml:space="preserve"> 项目建成后厂界噪声预测结果一览表 </w:t>
      </w:r>
    </w:p>
    <w:tbl>
      <w:tblPr>
        <w:tblStyle w:val="16"/>
        <w:tblW w:w="871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126"/>
        <w:gridCol w:w="821"/>
        <w:gridCol w:w="821"/>
        <w:gridCol w:w="821"/>
        <w:gridCol w:w="1015"/>
        <w:gridCol w:w="1449"/>
        <w:gridCol w:w="1450"/>
        <w:gridCol w:w="1215"/>
      </w:tblGrid>
      <w:tr w14:paraId="062F1F6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restart"/>
            <w:tcBorders>
              <w:tl2br w:val="nil"/>
              <w:tr2bl w:val="nil"/>
            </w:tcBorders>
            <w:noWrap w:val="0"/>
            <w:vAlign w:val="center"/>
          </w:tcPr>
          <w:p w14:paraId="2F22069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预测方位</w:t>
            </w:r>
          </w:p>
        </w:tc>
        <w:tc>
          <w:tcPr>
            <w:tcW w:w="2463" w:type="dxa"/>
            <w:gridSpan w:val="3"/>
            <w:tcBorders>
              <w:tl2br w:val="nil"/>
              <w:tr2bl w:val="nil"/>
            </w:tcBorders>
            <w:noWrap w:val="0"/>
            <w:vAlign w:val="center"/>
          </w:tcPr>
          <w:p w14:paraId="0BC204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lang w:val="en-US" w:eastAsia="zh-CN"/>
              </w:rPr>
              <w:t>最大值点</w:t>
            </w:r>
            <w:r>
              <w:rPr>
                <w:rFonts w:hint="default" w:ascii="Times New Roman" w:hAnsi="Times New Roman" w:eastAsia="宋体" w:cs="Times New Roman"/>
                <w:b/>
                <w:color w:val="auto"/>
                <w:sz w:val="21"/>
                <w:szCs w:val="21"/>
                <w:u w:val="none"/>
              </w:rPr>
              <w:t>空间相对位置/m</w:t>
            </w:r>
          </w:p>
        </w:tc>
        <w:tc>
          <w:tcPr>
            <w:tcW w:w="1015" w:type="dxa"/>
            <w:vMerge w:val="restart"/>
            <w:tcBorders>
              <w:tl2br w:val="nil"/>
              <w:tr2bl w:val="nil"/>
            </w:tcBorders>
            <w:noWrap w:val="0"/>
            <w:vAlign w:val="center"/>
          </w:tcPr>
          <w:p w14:paraId="622291C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时段</w:t>
            </w:r>
          </w:p>
        </w:tc>
        <w:tc>
          <w:tcPr>
            <w:tcW w:w="1449" w:type="dxa"/>
            <w:vMerge w:val="restart"/>
            <w:tcBorders>
              <w:tl2br w:val="nil"/>
              <w:tr2bl w:val="nil"/>
            </w:tcBorders>
            <w:noWrap w:val="0"/>
            <w:vAlign w:val="center"/>
          </w:tcPr>
          <w:p w14:paraId="4964375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贡献值（dB(A)）</w:t>
            </w:r>
          </w:p>
        </w:tc>
        <w:tc>
          <w:tcPr>
            <w:tcW w:w="1450" w:type="dxa"/>
            <w:vMerge w:val="restart"/>
            <w:tcBorders>
              <w:tl2br w:val="nil"/>
              <w:tr2bl w:val="nil"/>
            </w:tcBorders>
            <w:noWrap w:val="0"/>
            <w:vAlign w:val="center"/>
          </w:tcPr>
          <w:p w14:paraId="41F1BEC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标准限值（dB(A)）</w:t>
            </w:r>
          </w:p>
        </w:tc>
        <w:tc>
          <w:tcPr>
            <w:tcW w:w="1215" w:type="dxa"/>
            <w:vMerge w:val="restart"/>
            <w:tcBorders>
              <w:tl2br w:val="nil"/>
              <w:tr2bl w:val="nil"/>
            </w:tcBorders>
            <w:noWrap w:val="0"/>
            <w:vAlign w:val="center"/>
          </w:tcPr>
          <w:p w14:paraId="2EB8482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b/>
                <w:color w:val="auto"/>
                <w:sz w:val="21"/>
                <w:szCs w:val="21"/>
                <w:u w:val="none"/>
              </w:rPr>
              <w:t>达标情况</w:t>
            </w:r>
          </w:p>
        </w:tc>
      </w:tr>
      <w:tr w14:paraId="77313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noWrap w:val="0"/>
            <w:vAlign w:val="center"/>
          </w:tcPr>
          <w:p w14:paraId="1F35D1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c>
          <w:tcPr>
            <w:tcW w:w="821" w:type="dxa"/>
            <w:tcBorders>
              <w:tl2br w:val="nil"/>
              <w:tr2bl w:val="nil"/>
            </w:tcBorders>
            <w:noWrap w:val="0"/>
            <w:vAlign w:val="center"/>
          </w:tcPr>
          <w:p w14:paraId="46E0F9C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X</w:t>
            </w:r>
          </w:p>
        </w:tc>
        <w:tc>
          <w:tcPr>
            <w:tcW w:w="821" w:type="dxa"/>
            <w:tcBorders>
              <w:tl2br w:val="nil"/>
              <w:tr2bl w:val="nil"/>
            </w:tcBorders>
            <w:noWrap w:val="0"/>
            <w:vAlign w:val="center"/>
          </w:tcPr>
          <w:p w14:paraId="2D4270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Y</w:t>
            </w:r>
          </w:p>
        </w:tc>
        <w:tc>
          <w:tcPr>
            <w:tcW w:w="821" w:type="dxa"/>
            <w:tcBorders>
              <w:tl2br w:val="nil"/>
              <w:tr2bl w:val="nil"/>
            </w:tcBorders>
            <w:noWrap w:val="0"/>
            <w:vAlign w:val="center"/>
          </w:tcPr>
          <w:p w14:paraId="5751077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Z</w:t>
            </w:r>
          </w:p>
        </w:tc>
        <w:tc>
          <w:tcPr>
            <w:tcW w:w="1015" w:type="dxa"/>
            <w:vMerge w:val="continue"/>
            <w:tcBorders>
              <w:tl2br w:val="nil"/>
              <w:tr2bl w:val="nil"/>
            </w:tcBorders>
            <w:noWrap w:val="0"/>
            <w:vAlign w:val="center"/>
          </w:tcPr>
          <w:p w14:paraId="003E41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c>
          <w:tcPr>
            <w:tcW w:w="1449" w:type="dxa"/>
            <w:vMerge w:val="continue"/>
            <w:tcBorders>
              <w:tl2br w:val="nil"/>
              <w:tr2bl w:val="nil"/>
            </w:tcBorders>
            <w:noWrap w:val="0"/>
            <w:vAlign w:val="center"/>
          </w:tcPr>
          <w:p w14:paraId="42D28EC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c>
          <w:tcPr>
            <w:tcW w:w="1450" w:type="dxa"/>
            <w:vMerge w:val="continue"/>
            <w:tcBorders>
              <w:tl2br w:val="nil"/>
              <w:tr2bl w:val="nil"/>
            </w:tcBorders>
            <w:noWrap w:val="0"/>
            <w:vAlign w:val="center"/>
          </w:tcPr>
          <w:p w14:paraId="748F10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c>
          <w:tcPr>
            <w:tcW w:w="1215" w:type="dxa"/>
            <w:vMerge w:val="continue"/>
            <w:tcBorders>
              <w:tl2br w:val="nil"/>
              <w:tr2bl w:val="nil"/>
            </w:tcBorders>
            <w:noWrap w:val="0"/>
            <w:vAlign w:val="center"/>
          </w:tcPr>
          <w:p w14:paraId="165C8F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p>
        </w:tc>
      </w:tr>
      <w:tr w14:paraId="74ECDD6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restart"/>
            <w:tcBorders>
              <w:tl2br w:val="nil"/>
              <w:tr2bl w:val="nil"/>
            </w:tcBorders>
            <w:noWrap w:val="0"/>
            <w:vAlign w:val="center"/>
          </w:tcPr>
          <w:p w14:paraId="4D7961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东侧</w:t>
            </w:r>
          </w:p>
        </w:tc>
        <w:tc>
          <w:tcPr>
            <w:tcW w:w="821" w:type="dxa"/>
            <w:tcBorders>
              <w:tl2br w:val="nil"/>
              <w:tr2bl w:val="nil"/>
            </w:tcBorders>
            <w:noWrap w:val="0"/>
            <w:vAlign w:val="center"/>
          </w:tcPr>
          <w:p w14:paraId="29A46CE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105.1</w:t>
            </w:r>
          </w:p>
        </w:tc>
        <w:tc>
          <w:tcPr>
            <w:tcW w:w="821" w:type="dxa"/>
            <w:tcBorders>
              <w:tl2br w:val="nil"/>
              <w:tr2bl w:val="nil"/>
            </w:tcBorders>
            <w:noWrap w:val="0"/>
            <w:vAlign w:val="center"/>
          </w:tcPr>
          <w:p w14:paraId="1225715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82.5</w:t>
            </w:r>
          </w:p>
        </w:tc>
        <w:tc>
          <w:tcPr>
            <w:tcW w:w="821" w:type="dxa"/>
            <w:tcBorders>
              <w:tl2br w:val="nil"/>
              <w:tr2bl w:val="nil"/>
            </w:tcBorders>
            <w:noWrap w:val="0"/>
            <w:vAlign w:val="center"/>
          </w:tcPr>
          <w:p w14:paraId="50217AE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4979FD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昼间</w:t>
            </w:r>
          </w:p>
        </w:tc>
        <w:tc>
          <w:tcPr>
            <w:tcW w:w="1449" w:type="dxa"/>
            <w:tcBorders>
              <w:tl2br w:val="nil"/>
              <w:tr2bl w:val="nil"/>
            </w:tcBorders>
            <w:noWrap w:val="0"/>
            <w:vAlign w:val="center"/>
          </w:tcPr>
          <w:p w14:paraId="2034797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54.7</w:t>
            </w:r>
          </w:p>
        </w:tc>
        <w:tc>
          <w:tcPr>
            <w:tcW w:w="1450" w:type="dxa"/>
            <w:tcBorders>
              <w:tl2br w:val="nil"/>
              <w:tr2bl w:val="nil"/>
            </w:tcBorders>
            <w:noWrap w:val="0"/>
            <w:vAlign w:val="center"/>
          </w:tcPr>
          <w:p w14:paraId="178BAFD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65</w:t>
            </w:r>
          </w:p>
        </w:tc>
        <w:tc>
          <w:tcPr>
            <w:tcW w:w="1215" w:type="dxa"/>
            <w:tcBorders>
              <w:tl2br w:val="nil"/>
              <w:tr2bl w:val="nil"/>
            </w:tcBorders>
            <w:noWrap w:val="0"/>
            <w:vAlign w:val="center"/>
          </w:tcPr>
          <w:p w14:paraId="0F4028B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051EC0F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noWrap w:val="0"/>
            <w:vAlign w:val="center"/>
          </w:tcPr>
          <w:p w14:paraId="7FF669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东侧</w:t>
            </w:r>
          </w:p>
        </w:tc>
        <w:tc>
          <w:tcPr>
            <w:tcW w:w="821" w:type="dxa"/>
            <w:tcBorders>
              <w:tl2br w:val="nil"/>
              <w:tr2bl w:val="nil"/>
            </w:tcBorders>
            <w:noWrap w:val="0"/>
            <w:vAlign w:val="center"/>
          </w:tcPr>
          <w:p w14:paraId="7BE230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105.1</w:t>
            </w:r>
          </w:p>
        </w:tc>
        <w:tc>
          <w:tcPr>
            <w:tcW w:w="821" w:type="dxa"/>
            <w:tcBorders>
              <w:tl2br w:val="nil"/>
              <w:tr2bl w:val="nil"/>
            </w:tcBorders>
            <w:noWrap w:val="0"/>
            <w:vAlign w:val="center"/>
          </w:tcPr>
          <w:p w14:paraId="74D598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82.5</w:t>
            </w:r>
          </w:p>
        </w:tc>
        <w:tc>
          <w:tcPr>
            <w:tcW w:w="821" w:type="dxa"/>
            <w:tcBorders>
              <w:tl2br w:val="nil"/>
              <w:tr2bl w:val="nil"/>
            </w:tcBorders>
            <w:noWrap w:val="0"/>
            <w:vAlign w:val="center"/>
          </w:tcPr>
          <w:p w14:paraId="3493D9C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5E1A73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夜间</w:t>
            </w:r>
          </w:p>
        </w:tc>
        <w:tc>
          <w:tcPr>
            <w:tcW w:w="1449" w:type="dxa"/>
            <w:tcBorders>
              <w:tl2br w:val="nil"/>
              <w:tr2bl w:val="nil"/>
            </w:tcBorders>
            <w:noWrap w:val="0"/>
            <w:vAlign w:val="center"/>
          </w:tcPr>
          <w:p w14:paraId="713653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52.5</w:t>
            </w:r>
          </w:p>
        </w:tc>
        <w:tc>
          <w:tcPr>
            <w:tcW w:w="1450" w:type="dxa"/>
            <w:tcBorders>
              <w:tl2br w:val="nil"/>
              <w:tr2bl w:val="nil"/>
            </w:tcBorders>
            <w:noWrap w:val="0"/>
            <w:vAlign w:val="center"/>
          </w:tcPr>
          <w:p w14:paraId="4EB4504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rPr>
            </w:pPr>
            <w:r>
              <w:rPr>
                <w:rFonts w:hint="eastAsia" w:ascii="Times New Roman" w:hAnsi="Times New Roman" w:eastAsia="宋体" w:cs="Times New Roman"/>
                <w:color w:val="auto"/>
                <w:sz w:val="21"/>
                <w:szCs w:val="21"/>
                <w:u w:val="none"/>
                <w:lang w:val="en-US" w:eastAsia="zh-CN"/>
              </w:rPr>
              <w:t>55</w:t>
            </w:r>
          </w:p>
        </w:tc>
        <w:tc>
          <w:tcPr>
            <w:tcW w:w="1215" w:type="dxa"/>
            <w:tcBorders>
              <w:tl2br w:val="nil"/>
              <w:tr2bl w:val="nil"/>
            </w:tcBorders>
            <w:noWrap w:val="0"/>
            <w:vAlign w:val="center"/>
          </w:tcPr>
          <w:p w14:paraId="735A3E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07710F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restart"/>
            <w:tcBorders>
              <w:tl2br w:val="nil"/>
              <w:tr2bl w:val="nil"/>
            </w:tcBorders>
            <w:noWrap w:val="0"/>
            <w:vAlign w:val="center"/>
          </w:tcPr>
          <w:p w14:paraId="3B9EFA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南侧</w:t>
            </w:r>
          </w:p>
        </w:tc>
        <w:tc>
          <w:tcPr>
            <w:tcW w:w="821" w:type="dxa"/>
            <w:tcBorders>
              <w:tl2br w:val="nil"/>
              <w:tr2bl w:val="nil"/>
            </w:tcBorders>
            <w:noWrap w:val="0"/>
            <w:vAlign w:val="center"/>
          </w:tcPr>
          <w:p w14:paraId="3807271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56.5</w:t>
            </w:r>
          </w:p>
        </w:tc>
        <w:tc>
          <w:tcPr>
            <w:tcW w:w="821" w:type="dxa"/>
            <w:tcBorders>
              <w:tl2br w:val="nil"/>
              <w:tr2bl w:val="nil"/>
            </w:tcBorders>
            <w:noWrap w:val="0"/>
            <w:vAlign w:val="center"/>
          </w:tcPr>
          <w:p w14:paraId="7CE2D02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-89.5</w:t>
            </w:r>
          </w:p>
        </w:tc>
        <w:tc>
          <w:tcPr>
            <w:tcW w:w="821" w:type="dxa"/>
            <w:tcBorders>
              <w:tl2br w:val="nil"/>
              <w:tr2bl w:val="nil"/>
            </w:tcBorders>
            <w:noWrap w:val="0"/>
            <w:vAlign w:val="center"/>
          </w:tcPr>
          <w:p w14:paraId="2D5406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53E9875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昼间</w:t>
            </w:r>
          </w:p>
        </w:tc>
        <w:tc>
          <w:tcPr>
            <w:tcW w:w="1449" w:type="dxa"/>
            <w:tcBorders>
              <w:tl2br w:val="nil"/>
              <w:tr2bl w:val="nil"/>
            </w:tcBorders>
            <w:noWrap w:val="0"/>
            <w:vAlign w:val="center"/>
          </w:tcPr>
          <w:p w14:paraId="5D6B3B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52.5</w:t>
            </w:r>
          </w:p>
        </w:tc>
        <w:tc>
          <w:tcPr>
            <w:tcW w:w="1450" w:type="dxa"/>
            <w:tcBorders>
              <w:tl2br w:val="nil"/>
              <w:tr2bl w:val="nil"/>
            </w:tcBorders>
            <w:noWrap w:val="0"/>
            <w:vAlign w:val="center"/>
          </w:tcPr>
          <w:p w14:paraId="72B81F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65</w:t>
            </w:r>
          </w:p>
        </w:tc>
        <w:tc>
          <w:tcPr>
            <w:tcW w:w="1215" w:type="dxa"/>
            <w:tcBorders>
              <w:tl2br w:val="nil"/>
              <w:tr2bl w:val="nil"/>
            </w:tcBorders>
            <w:noWrap w:val="0"/>
            <w:vAlign w:val="center"/>
          </w:tcPr>
          <w:p w14:paraId="1F894F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7FCD21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noWrap w:val="0"/>
            <w:vAlign w:val="center"/>
          </w:tcPr>
          <w:p w14:paraId="1204C3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南侧</w:t>
            </w:r>
          </w:p>
        </w:tc>
        <w:tc>
          <w:tcPr>
            <w:tcW w:w="821" w:type="dxa"/>
            <w:tcBorders>
              <w:tl2br w:val="nil"/>
              <w:tr2bl w:val="nil"/>
            </w:tcBorders>
            <w:noWrap w:val="0"/>
            <w:vAlign w:val="center"/>
          </w:tcPr>
          <w:p w14:paraId="6917CAF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56.5</w:t>
            </w:r>
          </w:p>
        </w:tc>
        <w:tc>
          <w:tcPr>
            <w:tcW w:w="821" w:type="dxa"/>
            <w:tcBorders>
              <w:tl2br w:val="nil"/>
              <w:tr2bl w:val="nil"/>
            </w:tcBorders>
            <w:noWrap w:val="0"/>
            <w:vAlign w:val="center"/>
          </w:tcPr>
          <w:p w14:paraId="6E2492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-89.5</w:t>
            </w:r>
          </w:p>
        </w:tc>
        <w:tc>
          <w:tcPr>
            <w:tcW w:w="821" w:type="dxa"/>
            <w:tcBorders>
              <w:tl2br w:val="nil"/>
              <w:tr2bl w:val="nil"/>
            </w:tcBorders>
            <w:noWrap w:val="0"/>
            <w:vAlign w:val="center"/>
          </w:tcPr>
          <w:p w14:paraId="579AF7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58437C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夜间</w:t>
            </w:r>
          </w:p>
        </w:tc>
        <w:tc>
          <w:tcPr>
            <w:tcW w:w="1449" w:type="dxa"/>
            <w:tcBorders>
              <w:tl2br w:val="nil"/>
              <w:tr2bl w:val="nil"/>
            </w:tcBorders>
            <w:noWrap w:val="0"/>
            <w:vAlign w:val="center"/>
          </w:tcPr>
          <w:p w14:paraId="41B7CA5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48.8</w:t>
            </w:r>
          </w:p>
        </w:tc>
        <w:tc>
          <w:tcPr>
            <w:tcW w:w="1450" w:type="dxa"/>
            <w:tcBorders>
              <w:tl2br w:val="nil"/>
              <w:tr2bl w:val="nil"/>
            </w:tcBorders>
            <w:noWrap w:val="0"/>
            <w:vAlign w:val="center"/>
          </w:tcPr>
          <w:p w14:paraId="35021AC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55</w:t>
            </w:r>
          </w:p>
        </w:tc>
        <w:tc>
          <w:tcPr>
            <w:tcW w:w="1215" w:type="dxa"/>
            <w:tcBorders>
              <w:tl2br w:val="nil"/>
              <w:tr2bl w:val="nil"/>
            </w:tcBorders>
            <w:noWrap w:val="0"/>
            <w:vAlign w:val="center"/>
          </w:tcPr>
          <w:p w14:paraId="68F02AC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6885DC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restart"/>
            <w:tcBorders>
              <w:tl2br w:val="nil"/>
              <w:tr2bl w:val="nil"/>
            </w:tcBorders>
            <w:noWrap w:val="0"/>
            <w:vAlign w:val="center"/>
          </w:tcPr>
          <w:p w14:paraId="78770D2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西侧</w:t>
            </w:r>
          </w:p>
        </w:tc>
        <w:tc>
          <w:tcPr>
            <w:tcW w:w="821" w:type="dxa"/>
            <w:tcBorders>
              <w:tl2br w:val="nil"/>
              <w:tr2bl w:val="nil"/>
            </w:tcBorders>
            <w:noWrap w:val="0"/>
            <w:vAlign w:val="center"/>
          </w:tcPr>
          <w:p w14:paraId="6A5C85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-61.8</w:t>
            </w:r>
          </w:p>
        </w:tc>
        <w:tc>
          <w:tcPr>
            <w:tcW w:w="821" w:type="dxa"/>
            <w:tcBorders>
              <w:tl2br w:val="nil"/>
              <w:tr2bl w:val="nil"/>
            </w:tcBorders>
            <w:noWrap w:val="0"/>
            <w:vAlign w:val="center"/>
          </w:tcPr>
          <w:p w14:paraId="0C1EE03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12.5</w:t>
            </w:r>
          </w:p>
        </w:tc>
        <w:tc>
          <w:tcPr>
            <w:tcW w:w="821" w:type="dxa"/>
            <w:tcBorders>
              <w:tl2br w:val="nil"/>
              <w:tr2bl w:val="nil"/>
            </w:tcBorders>
            <w:noWrap w:val="0"/>
            <w:vAlign w:val="center"/>
          </w:tcPr>
          <w:p w14:paraId="2DF4C2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7E40D3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昼间</w:t>
            </w:r>
          </w:p>
        </w:tc>
        <w:tc>
          <w:tcPr>
            <w:tcW w:w="1449" w:type="dxa"/>
            <w:tcBorders>
              <w:tl2br w:val="nil"/>
              <w:tr2bl w:val="nil"/>
            </w:tcBorders>
            <w:noWrap w:val="0"/>
            <w:vAlign w:val="center"/>
          </w:tcPr>
          <w:p w14:paraId="563A11C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46.2</w:t>
            </w:r>
          </w:p>
        </w:tc>
        <w:tc>
          <w:tcPr>
            <w:tcW w:w="1450" w:type="dxa"/>
            <w:tcBorders>
              <w:tl2br w:val="nil"/>
              <w:tr2bl w:val="nil"/>
            </w:tcBorders>
            <w:noWrap w:val="0"/>
            <w:vAlign w:val="center"/>
          </w:tcPr>
          <w:p w14:paraId="7E375D4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65</w:t>
            </w:r>
          </w:p>
        </w:tc>
        <w:tc>
          <w:tcPr>
            <w:tcW w:w="1215" w:type="dxa"/>
            <w:tcBorders>
              <w:tl2br w:val="nil"/>
              <w:tr2bl w:val="nil"/>
            </w:tcBorders>
            <w:noWrap w:val="0"/>
            <w:vAlign w:val="center"/>
          </w:tcPr>
          <w:p w14:paraId="5C5A46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1F21E36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noWrap w:val="0"/>
            <w:vAlign w:val="center"/>
          </w:tcPr>
          <w:p w14:paraId="543E4C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西侧</w:t>
            </w:r>
          </w:p>
        </w:tc>
        <w:tc>
          <w:tcPr>
            <w:tcW w:w="821" w:type="dxa"/>
            <w:tcBorders>
              <w:tl2br w:val="nil"/>
              <w:tr2bl w:val="nil"/>
            </w:tcBorders>
            <w:noWrap w:val="0"/>
            <w:vAlign w:val="center"/>
          </w:tcPr>
          <w:p w14:paraId="3038D6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-61.8</w:t>
            </w:r>
          </w:p>
        </w:tc>
        <w:tc>
          <w:tcPr>
            <w:tcW w:w="821" w:type="dxa"/>
            <w:tcBorders>
              <w:tl2br w:val="nil"/>
              <w:tr2bl w:val="nil"/>
            </w:tcBorders>
            <w:noWrap w:val="0"/>
            <w:vAlign w:val="center"/>
          </w:tcPr>
          <w:p w14:paraId="6E326C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12.5</w:t>
            </w:r>
          </w:p>
        </w:tc>
        <w:tc>
          <w:tcPr>
            <w:tcW w:w="821" w:type="dxa"/>
            <w:tcBorders>
              <w:tl2br w:val="nil"/>
              <w:tr2bl w:val="nil"/>
            </w:tcBorders>
            <w:noWrap w:val="0"/>
            <w:vAlign w:val="center"/>
          </w:tcPr>
          <w:p w14:paraId="767CE46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7EEC703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夜间</w:t>
            </w:r>
          </w:p>
        </w:tc>
        <w:tc>
          <w:tcPr>
            <w:tcW w:w="1449" w:type="dxa"/>
            <w:tcBorders>
              <w:tl2br w:val="nil"/>
              <w:tr2bl w:val="nil"/>
            </w:tcBorders>
            <w:noWrap w:val="0"/>
            <w:vAlign w:val="center"/>
          </w:tcPr>
          <w:p w14:paraId="259A8FD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44.5</w:t>
            </w:r>
          </w:p>
        </w:tc>
        <w:tc>
          <w:tcPr>
            <w:tcW w:w="1450" w:type="dxa"/>
            <w:tcBorders>
              <w:tl2br w:val="nil"/>
              <w:tr2bl w:val="nil"/>
            </w:tcBorders>
            <w:noWrap w:val="0"/>
            <w:vAlign w:val="center"/>
          </w:tcPr>
          <w:p w14:paraId="7BF385A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55</w:t>
            </w:r>
          </w:p>
        </w:tc>
        <w:tc>
          <w:tcPr>
            <w:tcW w:w="1215" w:type="dxa"/>
            <w:tcBorders>
              <w:tl2br w:val="nil"/>
              <w:tr2bl w:val="nil"/>
            </w:tcBorders>
            <w:noWrap w:val="0"/>
            <w:vAlign w:val="center"/>
          </w:tcPr>
          <w:p w14:paraId="6E4FC69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5BF077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restart"/>
            <w:tcBorders>
              <w:tl2br w:val="nil"/>
              <w:tr2bl w:val="nil"/>
            </w:tcBorders>
            <w:noWrap w:val="0"/>
            <w:vAlign w:val="center"/>
          </w:tcPr>
          <w:p w14:paraId="13CAFF9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北侧</w:t>
            </w:r>
          </w:p>
        </w:tc>
        <w:tc>
          <w:tcPr>
            <w:tcW w:w="821" w:type="dxa"/>
            <w:tcBorders>
              <w:tl2br w:val="nil"/>
              <w:tr2bl w:val="nil"/>
            </w:tcBorders>
            <w:noWrap w:val="0"/>
            <w:vAlign w:val="center"/>
          </w:tcPr>
          <w:p w14:paraId="6794E5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21.2</w:t>
            </w:r>
          </w:p>
        </w:tc>
        <w:tc>
          <w:tcPr>
            <w:tcW w:w="821" w:type="dxa"/>
            <w:tcBorders>
              <w:tl2br w:val="nil"/>
              <w:tr2bl w:val="nil"/>
            </w:tcBorders>
            <w:noWrap w:val="0"/>
            <w:vAlign w:val="center"/>
          </w:tcPr>
          <w:p w14:paraId="61E672A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86.8</w:t>
            </w:r>
          </w:p>
        </w:tc>
        <w:tc>
          <w:tcPr>
            <w:tcW w:w="821" w:type="dxa"/>
            <w:tcBorders>
              <w:tl2br w:val="nil"/>
              <w:tr2bl w:val="nil"/>
            </w:tcBorders>
            <w:noWrap w:val="0"/>
            <w:vAlign w:val="center"/>
          </w:tcPr>
          <w:p w14:paraId="6A04656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0AB1F1F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昼间</w:t>
            </w:r>
          </w:p>
        </w:tc>
        <w:tc>
          <w:tcPr>
            <w:tcW w:w="1449" w:type="dxa"/>
            <w:tcBorders>
              <w:tl2br w:val="nil"/>
              <w:tr2bl w:val="nil"/>
            </w:tcBorders>
            <w:noWrap w:val="0"/>
            <w:vAlign w:val="center"/>
          </w:tcPr>
          <w:p w14:paraId="31BB6A7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50.1</w:t>
            </w:r>
          </w:p>
        </w:tc>
        <w:tc>
          <w:tcPr>
            <w:tcW w:w="1450" w:type="dxa"/>
            <w:tcBorders>
              <w:tl2br w:val="nil"/>
              <w:tr2bl w:val="nil"/>
            </w:tcBorders>
            <w:noWrap w:val="0"/>
            <w:vAlign w:val="center"/>
          </w:tcPr>
          <w:p w14:paraId="236660B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65</w:t>
            </w:r>
          </w:p>
        </w:tc>
        <w:tc>
          <w:tcPr>
            <w:tcW w:w="1215" w:type="dxa"/>
            <w:tcBorders>
              <w:tl2br w:val="nil"/>
              <w:tr2bl w:val="nil"/>
            </w:tcBorders>
            <w:noWrap w:val="0"/>
            <w:vAlign w:val="center"/>
          </w:tcPr>
          <w:p w14:paraId="0A1193D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61E449D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126" w:type="dxa"/>
            <w:vMerge w:val="continue"/>
            <w:tcBorders>
              <w:tl2br w:val="nil"/>
              <w:tr2bl w:val="nil"/>
            </w:tcBorders>
            <w:noWrap w:val="0"/>
            <w:vAlign w:val="center"/>
          </w:tcPr>
          <w:p w14:paraId="0169653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北侧</w:t>
            </w:r>
          </w:p>
        </w:tc>
        <w:tc>
          <w:tcPr>
            <w:tcW w:w="821" w:type="dxa"/>
            <w:tcBorders>
              <w:tl2br w:val="nil"/>
              <w:tr2bl w:val="nil"/>
            </w:tcBorders>
            <w:noWrap w:val="0"/>
            <w:vAlign w:val="center"/>
          </w:tcPr>
          <w:p w14:paraId="5415C1E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21.2</w:t>
            </w:r>
          </w:p>
        </w:tc>
        <w:tc>
          <w:tcPr>
            <w:tcW w:w="821" w:type="dxa"/>
            <w:tcBorders>
              <w:tl2br w:val="nil"/>
              <w:tr2bl w:val="nil"/>
            </w:tcBorders>
            <w:noWrap w:val="0"/>
            <w:vAlign w:val="center"/>
          </w:tcPr>
          <w:p w14:paraId="3BF553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86.8</w:t>
            </w:r>
          </w:p>
        </w:tc>
        <w:tc>
          <w:tcPr>
            <w:tcW w:w="821" w:type="dxa"/>
            <w:tcBorders>
              <w:tl2br w:val="nil"/>
              <w:tr2bl w:val="nil"/>
            </w:tcBorders>
            <w:noWrap w:val="0"/>
            <w:vAlign w:val="center"/>
          </w:tcPr>
          <w:p w14:paraId="4911A2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1.2</w:t>
            </w:r>
          </w:p>
        </w:tc>
        <w:tc>
          <w:tcPr>
            <w:tcW w:w="1015" w:type="dxa"/>
            <w:tcBorders>
              <w:tl2br w:val="nil"/>
              <w:tr2bl w:val="nil"/>
            </w:tcBorders>
            <w:noWrap w:val="0"/>
            <w:vAlign w:val="center"/>
          </w:tcPr>
          <w:p w14:paraId="1F74D21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夜间</w:t>
            </w:r>
          </w:p>
        </w:tc>
        <w:tc>
          <w:tcPr>
            <w:tcW w:w="1449" w:type="dxa"/>
            <w:tcBorders>
              <w:tl2br w:val="nil"/>
              <w:tr2bl w:val="nil"/>
            </w:tcBorders>
            <w:noWrap w:val="0"/>
            <w:vAlign w:val="center"/>
          </w:tcPr>
          <w:p w14:paraId="4D453F2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val="en-US" w:eastAsia="zh-CN"/>
              </w:rPr>
              <w:t>49.2</w:t>
            </w:r>
          </w:p>
        </w:tc>
        <w:tc>
          <w:tcPr>
            <w:tcW w:w="1450" w:type="dxa"/>
            <w:tcBorders>
              <w:tl2br w:val="nil"/>
              <w:tr2bl w:val="nil"/>
            </w:tcBorders>
            <w:noWrap w:val="0"/>
            <w:vAlign w:val="center"/>
          </w:tcPr>
          <w:p w14:paraId="7FB655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55</w:t>
            </w:r>
          </w:p>
        </w:tc>
        <w:tc>
          <w:tcPr>
            <w:tcW w:w="1215" w:type="dxa"/>
            <w:tcBorders>
              <w:tl2br w:val="nil"/>
              <w:tr2bl w:val="nil"/>
            </w:tcBorders>
            <w:noWrap w:val="0"/>
            <w:vAlign w:val="center"/>
          </w:tcPr>
          <w:p w14:paraId="062C35D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bl>
    <w:p w14:paraId="1CD13F5A">
      <w:pPr>
        <w:spacing w:line="360" w:lineRule="auto"/>
        <w:ind w:firstLine="480" w:firstLineChars="200"/>
        <w:rPr>
          <w:rStyle w:val="50"/>
          <w:rFonts w:hint="default" w:ascii="Times New Roman" w:hAnsi="Times New Roman" w:cs="Times New Roman"/>
          <w:color w:val="auto"/>
          <w:u w:val="none" w:color="auto"/>
          <w:lang w:eastAsia="zh-CN"/>
        </w:rPr>
      </w:pPr>
      <w:r>
        <w:rPr>
          <w:rStyle w:val="50"/>
          <w:rFonts w:hint="default" w:ascii="Times New Roman" w:hAnsi="Times New Roman" w:cs="Times New Roman"/>
          <w:color w:val="auto"/>
          <w:u w:val="none" w:color="auto"/>
        </w:rPr>
        <w:t>由上表预测评价结果可知，项目各噪声源在东、南、西、北四至厂界的昼间、夜间噪声贡献值均能够满足《工业企业厂界环境噪声排放标准》(GB12348.2008) 3 类标准要求，项目运营对周围声环境质量不会产生明显影响</w:t>
      </w:r>
      <w:r>
        <w:rPr>
          <w:rStyle w:val="50"/>
          <w:rFonts w:hint="default" w:ascii="Times New Roman" w:hAnsi="Times New Roman" w:cs="Times New Roman"/>
          <w:color w:val="auto"/>
          <w:u w:val="none" w:color="auto"/>
          <w:lang w:eastAsia="zh-CN"/>
        </w:rPr>
        <w:t>。</w:t>
      </w:r>
    </w:p>
    <w:p w14:paraId="30695A70">
      <w:pPr>
        <w:pStyle w:val="22"/>
        <w:bidi w:val="0"/>
        <w:rPr>
          <w:rFonts w:hint="eastAsia"/>
          <w:color w:val="auto"/>
          <w:u w:val="none" w:color="auto"/>
          <w:lang w:val="en-US" w:eastAsia="zh-CN"/>
        </w:rPr>
      </w:pPr>
      <w:r>
        <w:rPr>
          <w:rFonts w:hint="eastAsia"/>
          <w:color w:val="auto"/>
          <w:u w:val="none" w:color="auto"/>
          <w:lang w:val="en-US" w:eastAsia="zh-CN"/>
        </w:rPr>
        <w:t>表6.2-23 项目建成后噪声敏感点预测结果一览表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1" w:type="dxa"/>
          <w:bottom w:w="0" w:type="dxa"/>
          <w:right w:w="51" w:type="dxa"/>
        </w:tblCellMar>
      </w:tblPr>
      <w:tblGrid>
        <w:gridCol w:w="521"/>
        <w:gridCol w:w="1197"/>
        <w:gridCol w:w="906"/>
        <w:gridCol w:w="979"/>
        <w:gridCol w:w="979"/>
        <w:gridCol w:w="979"/>
        <w:gridCol w:w="979"/>
        <w:gridCol w:w="979"/>
        <w:gridCol w:w="985"/>
      </w:tblGrid>
      <w:tr w14:paraId="1748CD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21" w:type="dxa"/>
            <w:tcBorders>
              <w:tl2br w:val="nil"/>
              <w:tr2bl w:val="nil"/>
            </w:tcBorders>
            <w:noWrap w:val="0"/>
            <w:vAlign w:val="center"/>
          </w:tcPr>
          <w:p w14:paraId="701E1987">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序号</w:t>
            </w:r>
          </w:p>
        </w:tc>
        <w:tc>
          <w:tcPr>
            <w:tcW w:w="1197" w:type="dxa"/>
            <w:tcBorders>
              <w:tl2br w:val="nil"/>
              <w:tr2bl w:val="nil"/>
            </w:tcBorders>
            <w:noWrap w:val="0"/>
            <w:vAlign w:val="center"/>
          </w:tcPr>
          <w:p w14:paraId="34F07EEC">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声环境保护目标名称</w:t>
            </w:r>
          </w:p>
        </w:tc>
        <w:tc>
          <w:tcPr>
            <w:tcW w:w="906" w:type="dxa"/>
            <w:tcBorders>
              <w:tl2br w:val="nil"/>
              <w:tr2bl w:val="nil"/>
            </w:tcBorders>
            <w:noWrap w:val="0"/>
            <w:vAlign w:val="center"/>
          </w:tcPr>
          <w:p w14:paraId="474AD5D7">
            <w:pPr>
              <w:jc w:val="center"/>
              <w:rPr>
                <w:rFonts w:hint="eastAsia" w:ascii="Times New Roman" w:hAnsi="Times New Roman" w:eastAsia="宋体" w:cs="Times New Roman"/>
                <w:b/>
                <w:color w:val="auto"/>
                <w:sz w:val="21"/>
                <w:szCs w:val="21"/>
                <w:u w:val="none" w:color="auto"/>
                <w:lang w:val="en-US" w:eastAsia="zh-CN"/>
              </w:rPr>
            </w:pPr>
            <w:r>
              <w:rPr>
                <w:rFonts w:hint="eastAsia" w:ascii="Times New Roman" w:hAnsi="Times New Roman" w:eastAsia="宋体" w:cs="Times New Roman"/>
                <w:b/>
                <w:color w:val="auto"/>
                <w:sz w:val="21"/>
                <w:szCs w:val="21"/>
                <w:u w:val="none" w:color="auto"/>
                <w:lang w:val="en-US" w:eastAsia="zh-CN"/>
              </w:rPr>
              <w:t>时段</w:t>
            </w:r>
          </w:p>
        </w:tc>
        <w:tc>
          <w:tcPr>
            <w:tcW w:w="979" w:type="dxa"/>
            <w:tcBorders>
              <w:tl2br w:val="nil"/>
              <w:tr2bl w:val="nil"/>
            </w:tcBorders>
            <w:noWrap w:val="0"/>
            <w:vAlign w:val="center"/>
          </w:tcPr>
          <w:p w14:paraId="7F533F0B">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现状值/dB(A)</w:t>
            </w:r>
          </w:p>
        </w:tc>
        <w:tc>
          <w:tcPr>
            <w:tcW w:w="979" w:type="dxa"/>
            <w:tcBorders>
              <w:tl2br w:val="nil"/>
              <w:tr2bl w:val="nil"/>
            </w:tcBorders>
            <w:noWrap w:val="0"/>
            <w:vAlign w:val="center"/>
          </w:tcPr>
          <w:p w14:paraId="56EBD59C">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标准/dB(A)</w:t>
            </w:r>
          </w:p>
        </w:tc>
        <w:tc>
          <w:tcPr>
            <w:tcW w:w="979" w:type="dxa"/>
            <w:tcBorders>
              <w:tl2br w:val="nil"/>
              <w:tr2bl w:val="nil"/>
            </w:tcBorders>
            <w:noWrap w:val="0"/>
            <w:vAlign w:val="center"/>
          </w:tcPr>
          <w:p w14:paraId="6DC90CAE">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贡献值/dB(A)</w:t>
            </w:r>
          </w:p>
        </w:tc>
        <w:tc>
          <w:tcPr>
            <w:tcW w:w="979" w:type="dxa"/>
            <w:tcBorders>
              <w:tl2br w:val="nil"/>
              <w:tr2bl w:val="nil"/>
            </w:tcBorders>
            <w:noWrap w:val="0"/>
            <w:vAlign w:val="center"/>
          </w:tcPr>
          <w:p w14:paraId="119AA9D0">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声预测值/dB(A)</w:t>
            </w:r>
          </w:p>
        </w:tc>
        <w:tc>
          <w:tcPr>
            <w:tcW w:w="979" w:type="dxa"/>
            <w:tcBorders>
              <w:tl2br w:val="nil"/>
              <w:tr2bl w:val="nil"/>
            </w:tcBorders>
            <w:noWrap w:val="0"/>
            <w:vAlign w:val="center"/>
          </w:tcPr>
          <w:p w14:paraId="0281AD6A">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较现状增量/dB(A)</w:t>
            </w:r>
          </w:p>
        </w:tc>
        <w:tc>
          <w:tcPr>
            <w:tcW w:w="985" w:type="dxa"/>
            <w:tcBorders>
              <w:tl2br w:val="nil"/>
              <w:tr2bl w:val="nil"/>
            </w:tcBorders>
            <w:noWrap w:val="0"/>
            <w:vAlign w:val="center"/>
          </w:tcPr>
          <w:p w14:paraId="24AC5739">
            <w:pPr>
              <w:jc w:val="center"/>
              <w:rPr>
                <w:rFonts w:ascii="Times New Roman" w:hAnsi="Times New Roman" w:eastAsia="宋体" w:cs="Times New Roman"/>
                <w:color w:val="auto"/>
                <w:sz w:val="21"/>
                <w:szCs w:val="21"/>
                <w:u w:val="none" w:color="auto"/>
              </w:rPr>
            </w:pPr>
            <w:r>
              <w:rPr>
                <w:rFonts w:ascii="Times New Roman" w:hAnsi="Times New Roman" w:eastAsia="宋体" w:cs="Times New Roman"/>
                <w:b/>
                <w:color w:val="auto"/>
                <w:sz w:val="21"/>
                <w:szCs w:val="21"/>
                <w:u w:val="none" w:color="auto"/>
              </w:rPr>
              <w:t>超标和达标情况</w:t>
            </w:r>
          </w:p>
        </w:tc>
      </w:tr>
      <w:tr w14:paraId="64BE3A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21" w:type="dxa"/>
            <w:vMerge w:val="restart"/>
            <w:tcBorders>
              <w:tl2br w:val="nil"/>
              <w:tr2bl w:val="nil"/>
            </w:tcBorders>
            <w:shd w:val="clear" w:color="auto" w:fill="FFFFFF"/>
            <w:noWrap w:val="0"/>
            <w:vAlign w:val="center"/>
          </w:tcPr>
          <w:p w14:paraId="25C1EA1C">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w:t>
            </w:r>
          </w:p>
        </w:tc>
        <w:tc>
          <w:tcPr>
            <w:tcW w:w="1197" w:type="dxa"/>
            <w:vMerge w:val="restart"/>
            <w:tcBorders>
              <w:tl2br w:val="nil"/>
              <w:tr2bl w:val="nil"/>
            </w:tcBorders>
            <w:shd w:val="clear" w:color="auto" w:fill="FFFFFF"/>
            <w:noWrap w:val="0"/>
            <w:vAlign w:val="center"/>
          </w:tcPr>
          <w:p w14:paraId="5D36FD78">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西侧居民点（拟搬迁）</w:t>
            </w:r>
          </w:p>
        </w:tc>
        <w:tc>
          <w:tcPr>
            <w:tcW w:w="906" w:type="dxa"/>
            <w:tcBorders>
              <w:tl2br w:val="nil"/>
              <w:tr2bl w:val="nil"/>
            </w:tcBorders>
            <w:shd w:val="clear" w:color="auto" w:fill="FFFFFF"/>
            <w:noWrap w:val="0"/>
            <w:vAlign w:val="center"/>
          </w:tcPr>
          <w:p w14:paraId="1C6561C7">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昼间</w:t>
            </w:r>
          </w:p>
        </w:tc>
        <w:tc>
          <w:tcPr>
            <w:tcW w:w="979" w:type="dxa"/>
            <w:tcBorders>
              <w:tl2br w:val="nil"/>
              <w:tr2bl w:val="nil"/>
            </w:tcBorders>
            <w:shd w:val="clear" w:color="auto" w:fill="FFFFFF"/>
            <w:noWrap w:val="0"/>
            <w:vAlign w:val="center"/>
          </w:tcPr>
          <w:p w14:paraId="6D9BE43C">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55</w:t>
            </w:r>
          </w:p>
        </w:tc>
        <w:tc>
          <w:tcPr>
            <w:tcW w:w="979" w:type="dxa"/>
            <w:tcBorders>
              <w:tl2br w:val="nil"/>
              <w:tr2bl w:val="nil"/>
            </w:tcBorders>
            <w:shd w:val="clear" w:color="auto" w:fill="FFFFFF"/>
            <w:noWrap w:val="0"/>
            <w:vAlign w:val="center"/>
          </w:tcPr>
          <w:p w14:paraId="60647B26">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60</w:t>
            </w:r>
          </w:p>
        </w:tc>
        <w:tc>
          <w:tcPr>
            <w:tcW w:w="979" w:type="dxa"/>
            <w:tcBorders>
              <w:tl2br w:val="nil"/>
              <w:tr2bl w:val="nil"/>
            </w:tcBorders>
            <w:shd w:val="clear" w:color="auto" w:fill="FFFFFF"/>
            <w:noWrap w:val="0"/>
            <w:vAlign w:val="center"/>
          </w:tcPr>
          <w:p w14:paraId="054C62EA">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47.0</w:t>
            </w:r>
          </w:p>
        </w:tc>
        <w:tc>
          <w:tcPr>
            <w:tcW w:w="979" w:type="dxa"/>
            <w:tcBorders>
              <w:tl2br w:val="nil"/>
              <w:tr2bl w:val="nil"/>
            </w:tcBorders>
            <w:shd w:val="clear" w:color="auto" w:fill="FFFFFF"/>
            <w:noWrap w:val="0"/>
            <w:vAlign w:val="center"/>
          </w:tcPr>
          <w:p w14:paraId="57A379C5">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55.6</w:t>
            </w:r>
          </w:p>
        </w:tc>
        <w:tc>
          <w:tcPr>
            <w:tcW w:w="979" w:type="dxa"/>
            <w:tcBorders>
              <w:tl2br w:val="nil"/>
              <w:tr2bl w:val="nil"/>
            </w:tcBorders>
            <w:shd w:val="clear" w:color="auto" w:fill="FFFFFF"/>
            <w:noWrap w:val="0"/>
            <w:vAlign w:val="center"/>
          </w:tcPr>
          <w:p w14:paraId="0805D5D0">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0.6</w:t>
            </w:r>
          </w:p>
        </w:tc>
        <w:tc>
          <w:tcPr>
            <w:tcW w:w="985" w:type="dxa"/>
            <w:tcBorders>
              <w:tl2br w:val="nil"/>
              <w:tr2bl w:val="nil"/>
            </w:tcBorders>
            <w:shd w:val="clear" w:color="auto" w:fill="FFFFFF"/>
            <w:noWrap w:val="0"/>
            <w:vAlign w:val="center"/>
          </w:tcPr>
          <w:p w14:paraId="6E7BC6E3">
            <w:pPr>
              <w:jc w:val="center"/>
              <w:rPr>
                <w:rFonts w:hint="eastAsia"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达标</w:t>
            </w:r>
          </w:p>
        </w:tc>
      </w:tr>
      <w:tr w14:paraId="2E561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1" w:type="dxa"/>
            <w:bottom w:w="0" w:type="dxa"/>
            <w:right w:w="51" w:type="dxa"/>
          </w:tblCellMar>
        </w:tblPrEx>
        <w:trPr>
          <w:trHeight w:val="397" w:hRule="atLeast"/>
          <w:jc w:val="center"/>
        </w:trPr>
        <w:tc>
          <w:tcPr>
            <w:tcW w:w="521" w:type="dxa"/>
            <w:vMerge w:val="continue"/>
            <w:tcBorders>
              <w:tl2br w:val="nil"/>
              <w:tr2bl w:val="nil"/>
            </w:tcBorders>
            <w:shd w:val="clear" w:color="auto" w:fill="FFFFFF"/>
            <w:noWrap w:val="0"/>
            <w:vAlign w:val="center"/>
          </w:tcPr>
          <w:p w14:paraId="71E7BC64">
            <w:pPr>
              <w:jc w:val="center"/>
              <w:rPr>
                <w:rFonts w:hint="eastAsia" w:ascii="Times New Roman" w:hAnsi="Times New Roman" w:eastAsia="宋体" w:cs="Times New Roman"/>
                <w:color w:val="auto"/>
                <w:sz w:val="21"/>
                <w:szCs w:val="21"/>
                <w:u w:val="none" w:color="auto"/>
                <w:lang w:val="en-US" w:eastAsia="zh-CN"/>
              </w:rPr>
            </w:pPr>
          </w:p>
        </w:tc>
        <w:tc>
          <w:tcPr>
            <w:tcW w:w="1197" w:type="dxa"/>
            <w:vMerge w:val="continue"/>
            <w:tcBorders>
              <w:tl2br w:val="nil"/>
              <w:tr2bl w:val="nil"/>
            </w:tcBorders>
            <w:shd w:val="clear" w:color="auto" w:fill="FFFFFF"/>
            <w:noWrap w:val="0"/>
            <w:vAlign w:val="center"/>
          </w:tcPr>
          <w:p w14:paraId="58A1D1B4">
            <w:pPr>
              <w:jc w:val="center"/>
              <w:rPr>
                <w:rFonts w:hint="eastAsia" w:ascii="Times New Roman" w:hAnsi="Times New Roman" w:eastAsia="宋体" w:cs="Times New Roman"/>
                <w:color w:val="auto"/>
                <w:sz w:val="21"/>
                <w:szCs w:val="21"/>
                <w:u w:val="none" w:color="auto"/>
                <w:lang w:val="en-US" w:eastAsia="zh-CN"/>
              </w:rPr>
            </w:pPr>
          </w:p>
        </w:tc>
        <w:tc>
          <w:tcPr>
            <w:tcW w:w="906" w:type="dxa"/>
            <w:tcBorders>
              <w:tl2br w:val="nil"/>
              <w:tr2bl w:val="nil"/>
            </w:tcBorders>
            <w:shd w:val="clear" w:color="auto" w:fill="FFFFFF"/>
            <w:noWrap w:val="0"/>
            <w:vAlign w:val="center"/>
          </w:tcPr>
          <w:p w14:paraId="4ADCBFCE">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夜间</w:t>
            </w:r>
          </w:p>
        </w:tc>
        <w:tc>
          <w:tcPr>
            <w:tcW w:w="979" w:type="dxa"/>
            <w:tcBorders>
              <w:tl2br w:val="nil"/>
              <w:tr2bl w:val="nil"/>
            </w:tcBorders>
            <w:shd w:val="clear" w:color="auto" w:fill="FFFFFF"/>
            <w:noWrap w:val="0"/>
            <w:vAlign w:val="center"/>
          </w:tcPr>
          <w:p w14:paraId="25CC31B2">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47</w:t>
            </w:r>
          </w:p>
        </w:tc>
        <w:tc>
          <w:tcPr>
            <w:tcW w:w="979" w:type="dxa"/>
            <w:tcBorders>
              <w:tl2br w:val="nil"/>
              <w:tr2bl w:val="nil"/>
            </w:tcBorders>
            <w:shd w:val="clear" w:color="auto" w:fill="FFFFFF"/>
            <w:noWrap w:val="0"/>
            <w:vAlign w:val="center"/>
          </w:tcPr>
          <w:p w14:paraId="042F5927">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50</w:t>
            </w:r>
          </w:p>
        </w:tc>
        <w:tc>
          <w:tcPr>
            <w:tcW w:w="979" w:type="dxa"/>
            <w:tcBorders>
              <w:tl2br w:val="nil"/>
              <w:tr2bl w:val="nil"/>
            </w:tcBorders>
            <w:shd w:val="clear" w:color="auto" w:fill="FFFFFF"/>
            <w:noWrap w:val="0"/>
            <w:vAlign w:val="center"/>
          </w:tcPr>
          <w:p w14:paraId="4CEF18F2">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44.2</w:t>
            </w:r>
          </w:p>
        </w:tc>
        <w:tc>
          <w:tcPr>
            <w:tcW w:w="979" w:type="dxa"/>
            <w:tcBorders>
              <w:tl2br w:val="nil"/>
              <w:tr2bl w:val="nil"/>
            </w:tcBorders>
            <w:shd w:val="clear" w:color="auto" w:fill="FFFFFF"/>
            <w:noWrap w:val="0"/>
            <w:vAlign w:val="center"/>
          </w:tcPr>
          <w:p w14:paraId="15A3DB2B">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48.8</w:t>
            </w:r>
          </w:p>
        </w:tc>
        <w:tc>
          <w:tcPr>
            <w:tcW w:w="979" w:type="dxa"/>
            <w:tcBorders>
              <w:tl2br w:val="nil"/>
              <w:tr2bl w:val="nil"/>
            </w:tcBorders>
            <w:shd w:val="clear" w:color="auto" w:fill="FFFFFF"/>
            <w:noWrap w:val="0"/>
            <w:vAlign w:val="center"/>
          </w:tcPr>
          <w:p w14:paraId="075A775A">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1.8</w:t>
            </w:r>
          </w:p>
        </w:tc>
        <w:tc>
          <w:tcPr>
            <w:tcW w:w="985" w:type="dxa"/>
            <w:tcBorders>
              <w:tl2br w:val="nil"/>
              <w:tr2bl w:val="nil"/>
            </w:tcBorders>
            <w:shd w:val="clear" w:color="auto" w:fill="FFFFFF"/>
            <w:noWrap w:val="0"/>
            <w:vAlign w:val="center"/>
          </w:tcPr>
          <w:p w14:paraId="286C7FD3">
            <w:pPr>
              <w:jc w:val="center"/>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达标</w:t>
            </w:r>
          </w:p>
        </w:tc>
      </w:tr>
    </w:tbl>
    <w:p w14:paraId="0721D0F4">
      <w:pPr>
        <w:pStyle w:val="20"/>
        <w:bidi w:val="0"/>
        <w:rPr>
          <w:rFonts w:hint="default"/>
          <w:color w:val="auto"/>
          <w:u w:val="none" w:color="auto"/>
          <w:lang w:val="en-US" w:eastAsia="zh-CN"/>
        </w:rPr>
      </w:pPr>
      <w:r>
        <w:rPr>
          <w:rFonts w:hint="default"/>
          <w:color w:val="auto"/>
          <w:u w:val="none" w:color="auto"/>
        </w:rPr>
        <w:t>从</w:t>
      </w:r>
      <w:r>
        <w:rPr>
          <w:rFonts w:hint="eastAsia"/>
          <w:color w:val="auto"/>
          <w:u w:val="none" w:color="auto"/>
          <w:lang w:val="en-US" w:eastAsia="zh-CN"/>
        </w:rPr>
        <w:t>上表</w:t>
      </w:r>
      <w:r>
        <w:rPr>
          <w:rFonts w:hint="default"/>
          <w:color w:val="auto"/>
          <w:u w:val="none" w:color="auto"/>
        </w:rPr>
        <w:t>可以看出，项目建成后</w:t>
      </w:r>
      <w:r>
        <w:rPr>
          <w:rFonts w:hint="eastAsia"/>
          <w:color w:val="auto"/>
          <w:u w:val="none" w:color="auto"/>
          <w:lang w:val="en-US" w:eastAsia="zh-CN"/>
        </w:rPr>
        <w:t>厂界西侧10m处居民点的</w:t>
      </w:r>
      <w:r>
        <w:rPr>
          <w:rFonts w:hint="default"/>
          <w:color w:val="auto"/>
          <w:u w:val="none" w:color="auto"/>
        </w:rPr>
        <w:t>噪声源</w:t>
      </w:r>
      <w:r>
        <w:rPr>
          <w:rFonts w:hint="eastAsia"/>
          <w:color w:val="auto"/>
          <w:u w:val="none" w:color="auto"/>
          <w:lang w:val="en-US" w:eastAsia="zh-CN"/>
        </w:rPr>
        <w:t>预测</w:t>
      </w:r>
      <w:r>
        <w:rPr>
          <w:rFonts w:hint="default"/>
          <w:color w:val="auto"/>
          <w:u w:val="none" w:color="auto"/>
        </w:rPr>
        <w:t>值昼间小于</w:t>
      </w:r>
      <w:r>
        <w:rPr>
          <w:rFonts w:hint="eastAsia"/>
          <w:color w:val="auto"/>
          <w:u w:val="none" w:color="auto"/>
          <w:lang w:val="en-US" w:eastAsia="zh-CN"/>
        </w:rPr>
        <w:t>60</w:t>
      </w:r>
      <w:r>
        <w:rPr>
          <w:rFonts w:hint="default"/>
          <w:color w:val="auto"/>
          <w:u w:val="none" w:color="auto"/>
        </w:rPr>
        <w:t>dB(A)，</w:t>
      </w:r>
      <w:r>
        <w:rPr>
          <w:rFonts w:hint="eastAsia"/>
          <w:color w:val="auto"/>
          <w:u w:val="none" w:color="auto"/>
          <w:lang w:val="en-US" w:eastAsia="zh-CN"/>
        </w:rPr>
        <w:t>夜间小于50</w:t>
      </w:r>
      <w:r>
        <w:rPr>
          <w:rFonts w:hint="default"/>
          <w:color w:val="auto"/>
          <w:u w:val="none" w:color="auto"/>
        </w:rPr>
        <w:t>dB(A)</w:t>
      </w:r>
      <w:r>
        <w:rPr>
          <w:rFonts w:hint="eastAsia"/>
          <w:color w:val="auto"/>
          <w:u w:val="none" w:color="auto"/>
          <w:lang w:eastAsia="zh-CN"/>
        </w:rPr>
        <w:t>，</w:t>
      </w:r>
      <w:r>
        <w:rPr>
          <w:rFonts w:hint="default"/>
          <w:color w:val="auto"/>
          <w:u w:val="none" w:color="auto"/>
        </w:rPr>
        <w:t>符合《</w:t>
      </w:r>
      <w:r>
        <w:rPr>
          <w:rFonts w:hint="eastAsia"/>
          <w:color w:val="auto"/>
          <w:u w:val="none" w:color="auto"/>
          <w:lang w:val="en-US" w:eastAsia="zh-CN"/>
        </w:rPr>
        <w:t>声环境质量标准</w:t>
      </w:r>
      <w:r>
        <w:rPr>
          <w:rFonts w:hint="default"/>
          <w:color w:val="auto"/>
          <w:u w:val="none" w:color="auto"/>
        </w:rPr>
        <w:t>》（GB</w:t>
      </w:r>
      <w:r>
        <w:rPr>
          <w:rFonts w:hint="eastAsia"/>
          <w:color w:val="auto"/>
          <w:u w:val="none" w:color="auto"/>
          <w:lang w:val="en-US" w:eastAsia="zh-CN"/>
        </w:rPr>
        <w:t>3096-2008</w:t>
      </w:r>
      <w:r>
        <w:rPr>
          <w:rFonts w:hint="default"/>
          <w:color w:val="auto"/>
          <w:u w:val="none" w:color="auto"/>
        </w:rPr>
        <w:t>）中的</w:t>
      </w:r>
      <w:r>
        <w:rPr>
          <w:rFonts w:hint="eastAsia"/>
          <w:color w:val="auto"/>
          <w:u w:val="none" w:color="auto"/>
          <w:lang w:val="en-US" w:eastAsia="zh-CN"/>
        </w:rPr>
        <w:t>2</w:t>
      </w:r>
      <w:r>
        <w:rPr>
          <w:rFonts w:hint="default"/>
          <w:color w:val="auto"/>
          <w:u w:val="none" w:color="auto"/>
        </w:rPr>
        <w:t>类标准要求</w:t>
      </w:r>
      <w:r>
        <w:rPr>
          <w:rFonts w:hint="eastAsia"/>
          <w:color w:val="auto"/>
          <w:u w:val="none" w:color="auto"/>
          <w:lang w:eastAsia="zh-CN"/>
        </w:rPr>
        <w:t>，</w:t>
      </w:r>
      <w:r>
        <w:rPr>
          <w:rFonts w:hint="eastAsia"/>
          <w:color w:val="auto"/>
          <w:u w:val="none" w:color="auto"/>
          <w:lang w:val="en-US" w:eastAsia="zh-CN"/>
        </w:rPr>
        <w:t>项目生产过程中产生的噪声对居民点处影响较小，在可接受范围内</w:t>
      </w:r>
      <w:r>
        <w:rPr>
          <w:rFonts w:hint="default"/>
          <w:color w:val="auto"/>
          <w:u w:val="none" w:color="auto"/>
          <w:lang w:eastAsia="zh-CN"/>
        </w:rPr>
        <w:t>。</w:t>
      </w:r>
    </w:p>
    <w:bookmarkEnd w:id="1105"/>
    <w:p w14:paraId="34E61AEC">
      <w:pPr>
        <w:pStyle w:val="4"/>
        <w:rPr>
          <w:rFonts w:hint="default" w:ascii="Times New Roman" w:hAnsi="Times New Roman" w:cs="Times New Roman"/>
          <w:color w:val="auto"/>
          <w:u w:val="none" w:color="auto"/>
        </w:rPr>
      </w:pPr>
      <w:bookmarkStart w:id="1107" w:name="_Toc15289"/>
      <w:bookmarkStart w:id="1108" w:name="_Toc22955"/>
      <w:bookmarkStart w:id="1109" w:name="_Toc25414_WPSOffice_Level1"/>
      <w:bookmarkStart w:id="1110" w:name="_Toc3150"/>
      <w:bookmarkStart w:id="1111" w:name="_Toc6921_WPSOffice_Level1"/>
      <w:bookmarkStart w:id="1112" w:name="_Toc20583"/>
      <w:bookmarkStart w:id="1113" w:name="_Toc13997"/>
      <w:bookmarkStart w:id="1114" w:name="_Toc7027"/>
      <w:bookmarkStart w:id="1115" w:name="_Toc3711_WPSOffice_Level1"/>
      <w:bookmarkStart w:id="1116" w:name="_Toc11734"/>
      <w:bookmarkStart w:id="1117" w:name="_Toc6738"/>
      <w:bookmarkStart w:id="1118" w:name="_Toc21143_WPSOffice_Level1"/>
      <w:bookmarkStart w:id="1119" w:name="_Toc32178"/>
      <w:bookmarkStart w:id="1120" w:name="_Toc12026"/>
      <w:bookmarkStart w:id="1121" w:name="_Toc12493"/>
      <w:bookmarkStart w:id="1122" w:name="_Toc6062"/>
      <w:bookmarkStart w:id="1123" w:name="_Toc20368"/>
      <w:bookmarkStart w:id="1124" w:name="_Toc19958"/>
      <w:bookmarkStart w:id="1125" w:name="_Toc14950"/>
      <w:bookmarkStart w:id="1126" w:name="_Toc2141"/>
      <w:bookmarkStart w:id="1127" w:name="_Toc9864"/>
      <w:bookmarkStart w:id="1128" w:name="_Toc1065"/>
      <w:bookmarkStart w:id="1129" w:name="_Toc8384"/>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.5固体废物环境影响评价</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p>
    <w:p w14:paraId="622F90E2">
      <w:pPr>
        <w:pStyle w:val="20"/>
        <w:ind w:firstLine="480"/>
        <w:rPr>
          <w:rFonts w:hint="default" w:ascii="Times New Roman" w:hAnsi="Times New Roman" w:cs="Times New Roman"/>
          <w:color w:val="auto"/>
          <w:u w:val="none" w:color="auto"/>
        </w:rPr>
      </w:pPr>
      <w:bookmarkStart w:id="1130" w:name="_Toc10683_WPSOffice_Level1"/>
      <w:bookmarkStart w:id="1131" w:name="_Toc20665_WPSOffice_Level1"/>
      <w:bookmarkStart w:id="1132" w:name="_Toc9065_WPSOffice_Level1"/>
      <w:bookmarkStart w:id="1133" w:name="_Toc9880_WPSOffice_Level1"/>
      <w:bookmarkStart w:id="1134" w:name="_Toc7268_WPSOffice_Level1"/>
      <w:bookmarkStart w:id="1135" w:name="_Toc21934"/>
      <w:bookmarkStart w:id="1136" w:name="_Toc31670"/>
      <w:bookmarkStart w:id="1137" w:name="_Toc25642"/>
      <w:bookmarkStart w:id="1138" w:name="_Toc26388"/>
      <w:bookmarkStart w:id="1139" w:name="_Toc23319"/>
      <w:bookmarkStart w:id="1140" w:name="_Toc22770"/>
      <w:bookmarkStart w:id="1141" w:name="_Toc16196"/>
      <w:bookmarkStart w:id="1142" w:name="_Toc17466"/>
      <w:bookmarkStart w:id="1143" w:name="_Toc7995_WPSOffice_Level1"/>
      <w:bookmarkStart w:id="1144" w:name="_Toc16332"/>
      <w:bookmarkStart w:id="1145" w:name="_Toc23109"/>
      <w:bookmarkStart w:id="1146" w:name="_Toc12218"/>
      <w:bookmarkStart w:id="1147" w:name="_Toc19407"/>
      <w:bookmarkStart w:id="1148" w:name="_Toc11069"/>
      <w:bookmarkStart w:id="1149" w:name="_Toc13816"/>
      <w:bookmarkStart w:id="1150" w:name="_Toc21317_WPSOffice_Level1"/>
      <w:bookmarkStart w:id="1151" w:name="_Toc23883_WPSOffice_Level1"/>
      <w:bookmarkStart w:id="1152" w:name="_Toc372124956"/>
      <w:bookmarkStart w:id="1153" w:name="_Toc7828"/>
      <w:r>
        <w:rPr>
          <w:rFonts w:hint="default" w:ascii="Times New Roman" w:hAnsi="Times New Roman" w:cs="Times New Roman"/>
          <w:bCs/>
          <w:color w:val="auto"/>
          <w:u w:val="none" w:color="auto"/>
        </w:rPr>
        <w:t>本</w:t>
      </w:r>
      <w:r>
        <w:rPr>
          <w:rFonts w:hint="default" w:ascii="Times New Roman" w:hAnsi="Times New Roman" w:cs="Times New Roman"/>
          <w:color w:val="auto"/>
          <w:u w:val="none" w:color="auto"/>
        </w:rPr>
        <w:t>项目营运期过程中，厂内会产生</w:t>
      </w:r>
      <w:r>
        <w:rPr>
          <w:rFonts w:hint="eastAsia" w:ascii="Times New Roman" w:hAnsi="Times New Roman" w:cs="Times New Roman"/>
          <w:color w:val="auto"/>
          <w:u w:val="none" w:color="auto"/>
          <w:lang w:val="en-US" w:eastAsia="zh-CN"/>
        </w:rPr>
        <w:t>废弃包装物</w:t>
      </w:r>
      <w:r>
        <w:rPr>
          <w:rFonts w:hint="default" w:ascii="Times New Roman" w:hAnsi="Times New Roman" w:cs="Times New Roman"/>
          <w:color w:val="auto"/>
          <w:u w:val="none" w:color="auto"/>
        </w:rPr>
        <w:t>等一般固废和废活性炭等危险废物。</w:t>
      </w:r>
    </w:p>
    <w:p w14:paraId="5CCC3F0C">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1、固体废物主要污染途径</w:t>
      </w:r>
      <w:bookmarkEnd w:id="1130"/>
      <w:bookmarkEnd w:id="1131"/>
      <w:bookmarkEnd w:id="1132"/>
      <w:bookmarkEnd w:id="1133"/>
    </w:p>
    <w:p w14:paraId="1CB02FD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以上各类固废由于收集、贮放、运输、处置等环节的不严格或不妥善，会造成土壤、地下水污染，其主要可能途径有：</w:t>
      </w:r>
    </w:p>
    <w:p w14:paraId="2D37C994">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（1）废物产生后，不能完全收集而流失于环境中；</w:t>
      </w:r>
    </w:p>
    <w:p w14:paraId="75F4FDC8">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（2）废物临时堆放地无防雨、防风、防渗设施，雨水洗淋后污染物随渗滤液进入土壤和地表、地下水环境，大风时也可造成风蚀流失；</w:t>
      </w:r>
    </w:p>
    <w:p w14:paraId="67D8C68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（3）因管理不善而造成人为流失继而污染环境；</w:t>
      </w:r>
    </w:p>
    <w:p w14:paraId="37BF9814">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（4）废物得不到及时处置，在处置场所因各种因素造成流失；</w:t>
      </w:r>
    </w:p>
    <w:p w14:paraId="5DD3D58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（5）废物处置工艺不合理，有毒有害物质被转移而造成二次污染问题；</w:t>
      </w:r>
    </w:p>
    <w:p w14:paraId="3A9ADD1B">
      <w:pPr>
        <w:pStyle w:val="20"/>
        <w:ind w:firstLine="480"/>
        <w:rPr>
          <w:rFonts w:hint="default" w:ascii="Times New Roman" w:hAnsi="Times New Roman" w:cs="Times New Roman"/>
          <w:color w:val="auto"/>
          <w:u w:val="none" w:color="auto"/>
        </w:rPr>
      </w:pPr>
      <w:bookmarkStart w:id="1154" w:name="_Toc17635_WPSOffice_Level1"/>
      <w:bookmarkStart w:id="1155" w:name="_Toc7876_WPSOffice_Level1"/>
      <w:bookmarkStart w:id="1156" w:name="_Toc26294_WPSOffice_Level1"/>
      <w:bookmarkStart w:id="1157" w:name="_Toc31207_WPSOffice_Level1"/>
      <w:r>
        <w:rPr>
          <w:rFonts w:hint="default" w:ascii="Times New Roman" w:hAnsi="Times New Roman" w:cs="Times New Roman"/>
          <w:color w:val="auto"/>
          <w:u w:val="none" w:color="auto"/>
        </w:rPr>
        <w:t>2、固体废物对环境的污染危害影响</w:t>
      </w:r>
      <w:bookmarkEnd w:id="1154"/>
      <w:bookmarkEnd w:id="1155"/>
      <w:bookmarkEnd w:id="1156"/>
      <w:bookmarkEnd w:id="1157"/>
    </w:p>
    <w:p w14:paraId="6381B03D">
      <w:pPr>
        <w:pStyle w:val="20"/>
        <w:ind w:firstLine="48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本项目污染物排放如不受控制，在上述所列污染途径情况下，可能对环境的污染危害影响主要有</w:t>
      </w:r>
      <w:r>
        <w:rPr>
          <w:rFonts w:hint="default" w:ascii="Times New Roman" w:hAnsi="Times New Roman" w:cs="Times New Roman"/>
          <w:color w:val="auto"/>
          <w:u w:val="none" w:color="auto"/>
          <w:lang w:eastAsia="zh-CN"/>
        </w:rPr>
        <w:t>：</w:t>
      </w:r>
    </w:p>
    <w:p w14:paraId="67C16BD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（1）土壤结构和土质受到破坏，土壤中微生物生长受到毒素和抑制，栖息环境恶劣，微生物种群改变和减少；</w:t>
      </w:r>
    </w:p>
    <w:p w14:paraId="4659821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（2）生活垃圾的杂乱堆积影响人们居住环境的卫生状况，对人们的健康构成威胁。</w:t>
      </w:r>
    </w:p>
    <w:p w14:paraId="4418DB86">
      <w:pPr>
        <w:pStyle w:val="20"/>
        <w:ind w:firstLine="480"/>
        <w:rPr>
          <w:rFonts w:hint="default" w:ascii="Times New Roman" w:hAnsi="Times New Roman" w:cs="Times New Roman"/>
          <w:color w:val="auto"/>
          <w:u w:val="none" w:color="auto"/>
        </w:rPr>
      </w:pPr>
      <w:bookmarkStart w:id="1158" w:name="_Toc24889_WPSOffice_Level1"/>
      <w:bookmarkStart w:id="1159" w:name="_Toc14345_WPSOffice_Level1"/>
      <w:bookmarkStart w:id="1160" w:name="_Toc11577_WPSOffice_Level1"/>
      <w:bookmarkStart w:id="1161" w:name="_Toc25688_WPSOffice_Level1"/>
      <w:r>
        <w:rPr>
          <w:rFonts w:hint="default" w:ascii="Times New Roman" w:hAnsi="Times New Roman" w:cs="Times New Roman"/>
          <w:color w:val="auto"/>
          <w:u w:val="none" w:color="auto"/>
        </w:rPr>
        <w:t>3、项目对固体废物采取的措施及影响分析</w:t>
      </w:r>
      <w:bookmarkEnd w:id="1158"/>
      <w:bookmarkEnd w:id="1159"/>
      <w:bookmarkEnd w:id="1160"/>
      <w:bookmarkEnd w:id="1161"/>
    </w:p>
    <w:p w14:paraId="4BDF714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新建</w:t>
      </w:r>
      <w:r>
        <w:rPr>
          <w:rFonts w:hint="default" w:ascii="Times New Roman" w:hAnsi="Times New Roman" w:cs="Times New Roman"/>
          <w:color w:val="auto"/>
          <w:u w:val="none" w:color="auto"/>
        </w:rPr>
        <w:t>一般固体废物</w:t>
      </w:r>
      <w:r>
        <w:rPr>
          <w:rFonts w:hint="eastAsia" w:ascii="Times New Roman" w:hAnsi="Times New Roman" w:cs="Times New Roman"/>
          <w:color w:val="auto"/>
          <w:u w:val="none" w:color="auto"/>
          <w:lang w:val="en-US" w:eastAsia="zh-CN"/>
        </w:rPr>
        <w:t>暂存间和</w:t>
      </w:r>
      <w:r>
        <w:rPr>
          <w:rFonts w:hint="default" w:ascii="Times New Roman" w:hAnsi="Times New Roman" w:cs="Times New Roman"/>
          <w:color w:val="auto"/>
          <w:u w:val="none" w:color="auto"/>
        </w:rPr>
        <w:t>危险废物暂存</w:t>
      </w:r>
      <w:r>
        <w:rPr>
          <w:rFonts w:hint="eastAsia" w:ascii="Times New Roman" w:hAnsi="Times New Roman" w:cs="Times New Roman"/>
          <w:color w:val="auto"/>
          <w:u w:val="none" w:color="auto"/>
          <w:lang w:val="en-US" w:eastAsia="zh-CN"/>
        </w:rPr>
        <w:t>间</w:t>
      </w:r>
      <w:r>
        <w:rPr>
          <w:rFonts w:hint="default" w:ascii="Times New Roman" w:hAnsi="Times New Roman" w:cs="Times New Roman"/>
          <w:color w:val="auto"/>
          <w:u w:val="none" w:color="auto"/>
        </w:rPr>
        <w:t>，一般固体废物</w:t>
      </w:r>
      <w:r>
        <w:rPr>
          <w:rFonts w:hint="eastAsia" w:ascii="Times New Roman" w:hAnsi="Times New Roman" w:cs="Times New Roman"/>
          <w:color w:val="auto"/>
          <w:u w:val="none" w:color="auto"/>
          <w:lang w:val="en-US" w:eastAsia="zh-CN"/>
        </w:rPr>
        <w:t>暂存间</w:t>
      </w:r>
      <w:r>
        <w:rPr>
          <w:rFonts w:hint="default" w:ascii="Times New Roman" w:hAnsi="Times New Roman" w:cs="Times New Roman"/>
          <w:color w:val="auto"/>
          <w:u w:val="none" w:color="auto"/>
        </w:rPr>
        <w:t>作好防风、防雨措施，地面进行硬化处理，危险废物暂存区作好防风、防雨、防晒，防渗防漏处理。项目一般固体废物的种类</w:t>
      </w:r>
      <w:r>
        <w:rPr>
          <w:rFonts w:hint="eastAsia" w:ascii="Times New Roman" w:hAnsi="Times New Roman" w:cs="Times New Roman"/>
          <w:color w:val="auto"/>
          <w:u w:val="none" w:color="auto"/>
          <w:lang w:val="en-US" w:eastAsia="zh-CN"/>
        </w:rPr>
        <w:t>不</w:t>
      </w:r>
      <w:r>
        <w:rPr>
          <w:rFonts w:hint="default" w:ascii="Times New Roman" w:hAnsi="Times New Roman" w:cs="Times New Roman"/>
          <w:color w:val="auto"/>
          <w:u w:val="none" w:color="auto"/>
        </w:rPr>
        <w:t>多，收集的固废可分类暂存于暂存区。</w:t>
      </w:r>
    </w:p>
    <w:p w14:paraId="109CCFA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一般固体废物的暂存需按照</w:t>
      </w:r>
      <w:r>
        <w:rPr>
          <w:rFonts w:ascii="Times New Roman" w:hAnsi="Times New Roman" w:eastAsia="宋体"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一般工业固体废物贮存和填埋污染控制标准</w:t>
      </w:r>
      <w:r>
        <w:rPr>
          <w:rFonts w:ascii="Times New Roman" w:hAnsi="Times New Roman" w:eastAsia="宋体" w:cs="Times New Roman"/>
          <w:color w:val="auto"/>
          <w:kern w:val="2"/>
          <w:sz w:val="24"/>
          <w:szCs w:val="24"/>
          <w:highlight w:val="none"/>
          <w:u w:val="none" w:color="auto"/>
          <w:lang w:val="en-US" w:eastAsia="zh-CN" w:bidi="ar-SA"/>
        </w:rPr>
        <w:t>》（GB18599-20</w:t>
      </w:r>
      <w:r>
        <w:rPr>
          <w:rFonts w:hint="eastAsia" w:ascii="Times New Roman" w:hAnsi="Times New Roman" w:eastAsia="宋体" w:cs="Times New Roman"/>
          <w:color w:val="auto"/>
          <w:kern w:val="2"/>
          <w:sz w:val="24"/>
          <w:szCs w:val="24"/>
          <w:highlight w:val="none"/>
          <w:u w:val="none" w:color="auto"/>
          <w:lang w:val="en-US" w:eastAsia="zh-CN" w:bidi="ar-SA"/>
        </w:rPr>
        <w:t>20</w:t>
      </w:r>
      <w:r>
        <w:rPr>
          <w:rFonts w:ascii="Times New Roman" w:hAnsi="Times New Roman" w:eastAsia="宋体" w:cs="Times New Roman"/>
          <w:color w:val="auto"/>
          <w:kern w:val="2"/>
          <w:sz w:val="24"/>
          <w:szCs w:val="24"/>
          <w:highlight w:val="none"/>
          <w:u w:val="none" w:color="auto"/>
          <w:lang w:val="en-US" w:eastAsia="zh-CN" w:bidi="ar-SA"/>
        </w:rPr>
        <w:t>）</w:t>
      </w:r>
      <w:r>
        <w:rPr>
          <w:rFonts w:hint="default" w:ascii="Times New Roman" w:hAnsi="Times New Roman" w:cs="Times New Roman"/>
          <w:color w:val="auto"/>
          <w:u w:val="none" w:color="auto"/>
        </w:rPr>
        <w:t>的相关要求建设、管理规范暂存库，通过加强管理，不与危险废物和生活垃圾相混。</w:t>
      </w:r>
    </w:p>
    <w:p w14:paraId="74715118">
      <w:pPr>
        <w:pStyle w:val="20"/>
        <w:ind w:firstLine="480"/>
        <w:rPr>
          <w:rFonts w:hint="default" w:ascii="Times New Roman" w:hAnsi="Times New Roman" w:cs="Times New Roman"/>
          <w:color w:val="auto"/>
          <w:u w:val="none" w:color="auto"/>
        </w:rPr>
      </w:pPr>
      <w:r>
        <w:rPr>
          <w:rFonts w:hint="default" w:ascii="Times New Roman" w:hAnsi="Times New Roman" w:cs="Times New Roman"/>
          <w:b w:val="0"/>
          <w:bCs w:val="0"/>
          <w:color w:val="auto"/>
          <w:u w:val="none" w:color="auto"/>
        </w:rPr>
        <w:t>项目</w:t>
      </w:r>
      <w:r>
        <w:rPr>
          <w:rFonts w:hint="default" w:ascii="Times New Roman" w:hAnsi="Times New Roman" w:cs="Times New Roman"/>
          <w:b w:val="0"/>
          <w:bCs w:val="0"/>
          <w:color w:val="auto"/>
          <w:u w:val="none" w:color="auto"/>
          <w:lang w:eastAsia="zh-CN"/>
        </w:rPr>
        <w:t>废活性炭</w:t>
      </w:r>
      <w:r>
        <w:rPr>
          <w:rFonts w:hint="eastAsia" w:ascii="Times New Roman" w:hAnsi="Times New Roman" w:cs="Times New Roman"/>
          <w:b w:val="0"/>
          <w:bCs w:val="0"/>
          <w:color w:val="auto"/>
          <w:u w:val="none" w:color="auto"/>
          <w:lang w:eastAsia="zh-CN"/>
        </w:rPr>
        <w:t>、</w:t>
      </w:r>
      <w:r>
        <w:rPr>
          <w:rFonts w:hint="eastAsia" w:ascii="Times New Roman" w:hAnsi="Times New Roman" w:cs="Times New Roman"/>
          <w:b w:val="0"/>
          <w:bCs w:val="0"/>
          <w:color w:val="auto"/>
          <w:u w:val="none" w:color="auto"/>
          <w:lang w:val="en-US" w:eastAsia="zh-CN"/>
        </w:rPr>
        <w:t>废矿物油</w:t>
      </w:r>
      <w:r>
        <w:rPr>
          <w:rFonts w:hint="default" w:ascii="Times New Roman" w:hAnsi="Times New Roman" w:cs="Times New Roman"/>
          <w:b w:val="0"/>
          <w:bCs w:val="0"/>
          <w:color w:val="auto"/>
          <w:u w:val="none" w:color="auto"/>
        </w:rPr>
        <w:t>等属于危险废物</w:t>
      </w:r>
      <w:r>
        <w:rPr>
          <w:rFonts w:hint="eastAsia" w:ascii="Times New Roman" w:hAnsi="Times New Roman" w:cs="Times New Roman"/>
          <w:b w:val="0"/>
          <w:bCs w:val="0"/>
          <w:color w:val="auto"/>
          <w:u w:val="none" w:color="auto"/>
          <w:lang w:eastAsia="zh-CN"/>
        </w:rPr>
        <w:t>，</w:t>
      </w:r>
      <w:r>
        <w:rPr>
          <w:rFonts w:hint="default" w:ascii="Times New Roman" w:hAnsi="Times New Roman" w:cs="Times New Roman"/>
          <w:b w:val="0"/>
          <w:bCs w:val="0"/>
          <w:color w:val="auto"/>
          <w:u w:val="none" w:color="auto"/>
          <w:lang w:eastAsia="zh-CN"/>
        </w:rPr>
        <w:t>定期交由有资质的单位处置。</w:t>
      </w:r>
      <w:r>
        <w:rPr>
          <w:rFonts w:hint="default" w:ascii="Times New Roman" w:hAnsi="Times New Roman" w:cs="Times New Roman"/>
          <w:color w:val="auto"/>
          <w:u w:val="none" w:color="auto"/>
        </w:rPr>
        <w:t>危险废物储存、运输、处置必须严格按《中华人民共和国固体废物污染环境防治法》、国家环保总局《关于发布〈危险废物污染防治技术政策〉的通知》</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环发2001</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199</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号]及《危险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贮存污染控制标准（GB18597-20</w:t>
      </w:r>
      <w:r>
        <w:rPr>
          <w:rFonts w:hint="eastAsia" w:ascii="Times New Roman" w:hAnsi="Times New Roman" w:cs="Times New Roman"/>
          <w:color w:val="auto"/>
          <w:u w:val="none" w:color="auto"/>
          <w:lang w:val="en-US" w:eastAsia="zh-CN"/>
        </w:rPr>
        <w:t>23</w:t>
      </w:r>
      <w:r>
        <w:rPr>
          <w:rFonts w:hint="default" w:ascii="Times New Roman" w:hAnsi="Times New Roman" w:cs="Times New Roman"/>
          <w:color w:val="auto"/>
          <w:u w:val="none" w:color="auto"/>
        </w:rPr>
        <w:t>）》中的相关要求进行，在厂区内设专门的库房暂存并加强管理，库房要防风、防雨、防晒，地面与裙脚要用坚固、防渗的材料建造，硬化并进行防渗防漏处理，避免由于雨水淋溶、渗透等原因对地下水、地表水等环境产生不利影响，设施周围应设置围墙并做密闭处理。同时应严格履行国家与地方政府关于危险废物转移的规定，危险废物送至具有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处理资质的机构处置（与其签订处置协议），由具有防渗漏设施的专用车辆运输。严禁危险废物混入一般工业固废及生活垃圾中。项目危险固体废物按上述措施实施后，可满足环保要求，各类危险固体废物可得到有效处置。</w:t>
      </w:r>
    </w:p>
    <w:p w14:paraId="53E314D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生活垃圾：本项目职工办公、生活产生的垃圾属于生活垃圾，建设单位在厂内设立垃圾收集箱，由环卫部门集中收集处理，对环境的影响很小。</w:t>
      </w:r>
    </w:p>
    <w:p w14:paraId="4EB82C8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综上所述，项目固体废物处置遵</w:t>
      </w:r>
      <w:r>
        <w:rPr>
          <w:rFonts w:hint="eastAsia" w:ascii="宋体" w:hAnsi="宋体" w:eastAsia="宋体" w:cs="宋体"/>
          <w:color w:val="auto"/>
          <w:u w:val="none" w:color="auto"/>
        </w:rPr>
        <w:t>循“减量化、资源化、无害化”的</w:t>
      </w:r>
      <w:r>
        <w:rPr>
          <w:rFonts w:hint="default" w:ascii="Times New Roman" w:hAnsi="Times New Roman" w:cs="Times New Roman"/>
          <w:color w:val="auto"/>
          <w:u w:val="none" w:color="auto"/>
        </w:rPr>
        <w:t>原则，危险废物和一般工业固废均可得到综合利用或合理处置，不会造成二次污染，对周边环境影响较小。</w:t>
      </w:r>
    </w:p>
    <w:p w14:paraId="39305F62">
      <w:pPr>
        <w:pStyle w:val="4"/>
        <w:rPr>
          <w:rFonts w:hint="default" w:ascii="Times New Roman" w:hAnsi="Times New Roman" w:cs="Times New Roman"/>
          <w:color w:val="auto"/>
          <w:u w:val="none" w:color="auto"/>
        </w:rPr>
      </w:pPr>
      <w:bookmarkStart w:id="1162" w:name="_Toc8145"/>
      <w:bookmarkStart w:id="1163" w:name="_Toc23127"/>
      <w:bookmarkStart w:id="1164" w:name="_Toc24535"/>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.6生态环境影响分析</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62"/>
      <w:bookmarkEnd w:id="1163"/>
      <w:bookmarkEnd w:id="1164"/>
    </w:p>
    <w:p w14:paraId="4874DFBB">
      <w:pPr>
        <w:pStyle w:val="20"/>
        <w:ind w:firstLine="480"/>
        <w:rPr>
          <w:rFonts w:hint="default" w:ascii="Times New Roman" w:hAnsi="Times New Roman" w:cs="Times New Roman"/>
          <w:color w:val="auto"/>
          <w:u w:val="none" w:color="auto"/>
        </w:rPr>
      </w:pPr>
      <w:bookmarkStart w:id="1165" w:name="_Toc30469_WPSOffice_Level1"/>
      <w:bookmarkStart w:id="1166" w:name="_Toc351"/>
      <w:bookmarkStart w:id="1167" w:name="_Toc9081"/>
      <w:bookmarkStart w:id="1168" w:name="_Toc31269"/>
      <w:bookmarkStart w:id="1169" w:name="_Toc22139"/>
      <w:bookmarkStart w:id="1170" w:name="_Toc912"/>
      <w:bookmarkStart w:id="1171" w:name="_Toc29692_WPSOffice_Level1"/>
      <w:bookmarkStart w:id="1172" w:name="_Toc22492"/>
      <w:bookmarkStart w:id="1173" w:name="_Toc2966"/>
      <w:bookmarkStart w:id="1174" w:name="_Toc24211_WPSOffice_Level1"/>
      <w:bookmarkStart w:id="1175" w:name="_Toc3156"/>
      <w:bookmarkStart w:id="1176" w:name="_Toc27218"/>
      <w:bookmarkStart w:id="1177" w:name="_Toc24609"/>
      <w:bookmarkStart w:id="1178" w:name="_Toc1589"/>
      <w:bookmarkStart w:id="1179" w:name="_Toc21998"/>
      <w:bookmarkStart w:id="1180" w:name="_Toc2673_WPSOffice_Level1"/>
      <w:bookmarkStart w:id="1181" w:name="_Toc15018"/>
      <w:bookmarkStart w:id="1182" w:name="_Toc5366"/>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位于工业园区内，项目所在区域</w:t>
      </w:r>
      <w:r>
        <w:rPr>
          <w:rFonts w:hint="default" w:ascii="Times New Roman" w:hAnsi="Times New Roman" w:cs="Times New Roman"/>
          <w:color w:val="auto"/>
          <w:u w:val="none" w:color="auto"/>
        </w:rPr>
        <w:t>动物以常见种为主，如鼠类、麻雀、蜻蜓等，没有珍稀濒危动植物资源。本次项目营运期对生态环境的影响主要是项目排放的废气对周边植被的影响。本次项目外排废气主要是</w:t>
      </w:r>
      <w:r>
        <w:rPr>
          <w:rFonts w:hint="eastAsia" w:ascii="Times New Roman" w:hAnsi="Times New Roman" w:cs="Times New Roman"/>
          <w:color w:val="auto"/>
          <w:u w:val="none" w:color="auto"/>
          <w:lang w:val="en-US" w:eastAsia="zh-CN"/>
        </w:rPr>
        <w:t>颗粒物、非甲烷总烃</w:t>
      </w:r>
      <w:r>
        <w:rPr>
          <w:rFonts w:hint="default" w:ascii="Times New Roman" w:hAnsi="Times New Roman" w:cs="Times New Roman"/>
          <w:color w:val="auto"/>
          <w:u w:val="none" w:color="auto"/>
        </w:rPr>
        <w:t xml:space="preserve">等，其对植被的影响主要有以下： </w:t>
      </w:r>
    </w:p>
    <w:p w14:paraId="323A4793">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 xml:space="preserve">（1）颗粒物对植物的危害主要表现为：沉积在绿色植物叶面，堵塞气孔，阻挡光合作用、呼吸作用、蒸腾作用等，危害植物健康。另外农作物叶片上积尘太多会影响区域的景观环境。 </w:t>
      </w:r>
    </w:p>
    <w:p w14:paraId="5651081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有机废气</w:t>
      </w:r>
      <w:r>
        <w:rPr>
          <w:rFonts w:hint="default" w:ascii="Times New Roman" w:hAnsi="Times New Roman" w:cs="Times New Roman"/>
          <w:color w:val="auto"/>
          <w:u w:val="none" w:color="auto"/>
        </w:rPr>
        <w:t>的排放会造成臭氧层的毁坏，工业废气中</w:t>
      </w:r>
      <w:r>
        <w:rPr>
          <w:rFonts w:hint="eastAsia" w:ascii="Times New Roman" w:hAnsi="Times New Roman" w:cs="Times New Roman"/>
          <w:color w:val="auto"/>
          <w:u w:val="none" w:color="auto"/>
          <w:lang w:val="en-US" w:eastAsia="zh-CN"/>
        </w:rPr>
        <w:t>有机废气</w:t>
      </w:r>
      <w:r>
        <w:rPr>
          <w:rFonts w:hint="default" w:ascii="Times New Roman" w:hAnsi="Times New Roman" w:cs="Times New Roman"/>
          <w:color w:val="auto"/>
          <w:u w:val="none" w:color="auto"/>
        </w:rPr>
        <w:t>会造成酸雨，危害植物的生长并造成农作物产量下降，腐蚀建筑等。工业废气会造成全球气候变暖和冰山融化，对生态环境造成威胁。</w:t>
      </w:r>
    </w:p>
    <w:p w14:paraId="56665C9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在结合实际技术情况的条件下，应尽量采用最优的废气污染控制技术，遵循严格的废气排放标准，加强运行管理，减少事故排放，尽可能把废气污染程度降到最低，使其对周围生态环境产生更小的影响。此外，通过厂区内外采取有效的绿化措施，不仅可以创造良好的工作环境、有效地减少厂区内各功能分区之间的相互影响，还可减少污染、净化空气、美化厂容，有效地减轻生产 运营对城区及周边生态环境的影响。</w:t>
      </w:r>
    </w:p>
    <w:p w14:paraId="45B86E72">
      <w:pPr>
        <w:pStyle w:val="4"/>
        <w:rPr>
          <w:rFonts w:hint="default" w:ascii="Times New Roman" w:hAnsi="Times New Roman" w:eastAsia="宋体" w:cs="Times New Roman"/>
          <w:color w:val="auto"/>
          <w:u w:val="none" w:color="auto"/>
          <w:lang w:val="en-US" w:eastAsia="zh-CN"/>
        </w:rPr>
      </w:pPr>
      <w:bookmarkStart w:id="1183" w:name="_Toc1467"/>
      <w:bookmarkStart w:id="1184" w:name="_Toc2005"/>
      <w:bookmarkStart w:id="1185" w:name="_Toc349"/>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.7土壤环境</w:t>
      </w:r>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r>
        <w:rPr>
          <w:rFonts w:hint="default" w:ascii="Times New Roman" w:hAnsi="Times New Roman" w:cs="Times New Roman"/>
          <w:color w:val="auto"/>
          <w:u w:val="none" w:color="auto"/>
        </w:rPr>
        <w:t>影响分析</w:t>
      </w:r>
      <w:bookmarkEnd w:id="1183"/>
      <w:bookmarkEnd w:id="1184"/>
      <w:bookmarkEnd w:id="1185"/>
    </w:p>
    <w:p w14:paraId="0DE71418">
      <w:pPr>
        <w:pStyle w:val="20"/>
        <w:bidi w:val="0"/>
        <w:rPr>
          <w:rFonts w:hint="default"/>
          <w:color w:val="auto"/>
          <w:u w:val="none" w:color="auto"/>
        </w:rPr>
      </w:pPr>
      <w:r>
        <w:rPr>
          <w:rFonts w:hint="default" w:ascii="Times New Roman" w:hAnsi="Times New Roman" w:cs="Times New Roman"/>
          <w:color w:val="auto"/>
          <w:u w:val="none" w:color="auto"/>
        </w:rPr>
        <w:t>本项目属于Ⅲ类项目，占地面积为小型，占地类型为不敏感类型，根据《环境影响评价技术导则-土壤环境》（HJ964-2018），本项目可以不开展土壤环评影响评价工作。</w:t>
      </w:r>
    </w:p>
    <w:p w14:paraId="05E4E828">
      <w:pPr>
        <w:pStyle w:val="20"/>
        <w:bidi w:val="0"/>
        <w:rPr>
          <w:rFonts w:hint="default"/>
          <w:color w:val="auto"/>
          <w:u w:val="none" w:color="auto"/>
        </w:rPr>
      </w:pPr>
      <w:r>
        <w:rPr>
          <w:rFonts w:hint="default"/>
          <w:color w:val="auto"/>
          <w:u w:val="none" w:color="auto"/>
        </w:rPr>
        <w:t>在严格落实废</w:t>
      </w:r>
      <w:r>
        <w:rPr>
          <w:rFonts w:hint="eastAsia"/>
          <w:color w:val="auto"/>
          <w:u w:val="none" w:color="auto"/>
          <w:lang w:val="en-US" w:eastAsia="zh-CN"/>
        </w:rPr>
        <w:t>水</w:t>
      </w:r>
      <w:r>
        <w:rPr>
          <w:rFonts w:hint="default"/>
          <w:color w:val="auto"/>
          <w:u w:val="none" w:color="auto"/>
        </w:rPr>
        <w:t>处理、重点区域防渗措施的条件下，拟建项目对土壤环境影响风险较小，本项目运行对土壤污染的风险可控。</w:t>
      </w:r>
    </w:p>
    <w:p w14:paraId="76E1DBBC">
      <w:pPr>
        <w:pStyle w:val="20"/>
        <w:bidi w:val="0"/>
        <w:rPr>
          <w:rFonts w:hint="default"/>
          <w:color w:val="auto"/>
          <w:u w:val="none" w:color="auto"/>
          <w:lang w:val="en-US" w:eastAsia="zh-CN"/>
        </w:rPr>
      </w:pPr>
      <w:r>
        <w:rPr>
          <w:rFonts w:hint="default"/>
          <w:color w:val="auto"/>
          <w:u w:val="none" w:color="auto"/>
        </w:rPr>
        <w:t>非正常工况或事故情况下</w:t>
      </w:r>
      <w:r>
        <w:rPr>
          <w:rFonts w:hint="eastAsia"/>
          <w:color w:val="auto"/>
          <w:u w:val="none" w:color="auto"/>
          <w:lang w:eastAsia="zh-CN"/>
        </w:rPr>
        <w:t>，</w:t>
      </w:r>
      <w:r>
        <w:rPr>
          <w:rFonts w:hint="default"/>
          <w:color w:val="auto"/>
          <w:u w:val="none" w:color="auto"/>
        </w:rPr>
        <w:t>污染物渗入土壤，会对土壤环境造成一定的影响。根据</w:t>
      </w:r>
      <w:r>
        <w:rPr>
          <w:rFonts w:hint="eastAsia"/>
          <w:color w:val="auto"/>
          <w:u w:val="none" w:color="auto"/>
          <w:lang w:val="en-US" w:eastAsia="zh-CN"/>
        </w:rPr>
        <w:t>现有项目运行</w:t>
      </w:r>
      <w:r>
        <w:rPr>
          <w:rFonts w:hint="default"/>
          <w:color w:val="auto"/>
          <w:u w:val="none" w:color="auto"/>
        </w:rPr>
        <w:t>分析，在采取有效的防渗漏措施的前提下，渗漏发生的概率较小</w:t>
      </w:r>
      <w:r>
        <w:rPr>
          <w:color w:val="auto"/>
          <w:u w:val="none" w:color="auto"/>
        </w:rPr>
        <w:t>。</w:t>
      </w:r>
    </w:p>
    <w:p w14:paraId="633DC9E7">
      <w:pPr>
        <w:pStyle w:val="3"/>
        <w:bidi w:val="0"/>
        <w:rPr>
          <w:rFonts w:hint="default"/>
          <w:color w:val="auto"/>
          <w:u w:val="none" w:color="auto"/>
          <w:lang w:eastAsia="zh-CN"/>
        </w:rPr>
      </w:pPr>
      <w:bookmarkStart w:id="1186" w:name="_Toc20964"/>
      <w:bookmarkStart w:id="1187" w:name="_Toc5693"/>
      <w:bookmarkStart w:id="1188" w:name="_Toc13635"/>
      <w:bookmarkStart w:id="1189" w:name="_Toc15015"/>
      <w:bookmarkStart w:id="1190" w:name="_Toc6401"/>
      <w:bookmarkStart w:id="1191" w:name="_Toc21794"/>
      <w:bookmarkStart w:id="1192" w:name="_Toc22401_WPSOffice_Level1"/>
      <w:bookmarkStart w:id="1193" w:name="_Toc8534_WPSOffice_Level1"/>
      <w:bookmarkStart w:id="1194" w:name="_Toc28466_WPSOffice_Level1"/>
      <w:bookmarkStart w:id="1195" w:name="_Toc6163"/>
      <w:bookmarkStart w:id="1196" w:name="_Toc7599_WPSOffice_Level1"/>
      <w:r>
        <w:rPr>
          <w:rFonts w:hint="eastAsia"/>
          <w:color w:val="auto"/>
          <w:u w:val="none" w:color="auto"/>
          <w:lang w:val="en-US" w:eastAsia="zh-CN"/>
        </w:rPr>
        <w:t>6</w:t>
      </w:r>
      <w:r>
        <w:rPr>
          <w:rFonts w:hint="default"/>
          <w:color w:val="auto"/>
          <w:u w:val="none" w:color="auto"/>
          <w:lang w:val="en-US" w:eastAsia="zh-CN"/>
        </w:rPr>
        <w:t>.3</w:t>
      </w:r>
      <w:r>
        <w:rPr>
          <w:rFonts w:hint="default"/>
          <w:color w:val="auto"/>
          <w:u w:val="none" w:color="auto"/>
          <w:lang w:eastAsia="zh-CN"/>
        </w:rPr>
        <w:t>环境风险评价</w:t>
      </w:r>
      <w:bookmarkEnd w:id="1186"/>
      <w:bookmarkEnd w:id="1187"/>
      <w:bookmarkEnd w:id="1188"/>
      <w:bookmarkEnd w:id="1189"/>
      <w:bookmarkEnd w:id="1190"/>
    </w:p>
    <w:p w14:paraId="1318053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项目在外界因素的破坏下，具有发生火灾、爆炸、有毒有害物料</w:t>
      </w:r>
      <w:r>
        <w:rPr>
          <w:rFonts w:hint="default" w:ascii="Times New Roman" w:hAnsi="Times New Roman" w:cs="Times New Roman"/>
          <w:color w:val="auto"/>
          <w:u w:val="none" w:color="auto"/>
          <w:lang w:eastAsia="zh-CN"/>
        </w:rPr>
        <w:t>泄漏</w:t>
      </w:r>
      <w:r>
        <w:rPr>
          <w:rFonts w:hint="default" w:ascii="Times New Roman" w:hAnsi="Times New Roman" w:cs="Times New Roman"/>
          <w:color w:val="auto"/>
          <w:u w:val="none" w:color="auto"/>
        </w:rPr>
        <w:t>等突发性风险事故的可能性。为避免和控制风险事故的发生，对项目在环境风险方面的可行性论证，为项目审批部门的决策、以及项目运营后的环境风险管理提供技术依据。对项目进行风险评价是必要的。环境风险评价和管理的主要目的是：</w:t>
      </w:r>
    </w:p>
    <w:p w14:paraId="7E4CDF0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（1）根据项目特点，对项目装置和储运设施在生产过程中存在的各种事故风险因素及隐患进行识别，提出技术防范措施；</w:t>
      </w:r>
    </w:p>
    <w:p w14:paraId="349748D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（2）分析和预测建设项目可能发生的突发性事件或事故，引起有毒、有害、易燃和易爆等物质</w:t>
      </w:r>
      <w:r>
        <w:rPr>
          <w:rFonts w:hint="default" w:ascii="Times New Roman" w:hAnsi="Times New Roman" w:cs="Times New Roman"/>
          <w:color w:val="auto"/>
          <w:u w:val="none" w:color="auto"/>
          <w:lang w:eastAsia="zh-CN"/>
        </w:rPr>
        <w:t>泄漏</w:t>
      </w:r>
      <w:r>
        <w:rPr>
          <w:rFonts w:hint="default" w:ascii="Times New Roman" w:hAnsi="Times New Roman" w:cs="Times New Roman"/>
          <w:color w:val="auto"/>
          <w:u w:val="none" w:color="auto"/>
        </w:rPr>
        <w:t>到环境中所导致的后果（包括自然环境和社会环境），预测其对人身安全与环境的影响和损害程度；</w:t>
      </w:r>
    </w:p>
    <w:p w14:paraId="60F45C4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（3）根据风险事件的预测结果，有针对性地提出合理、切实可行的防范减缓措施、应急处理计划和应急预案，以及现场监控报警系统，使得建设项目事故率、损失情况和环境影响达到可接受水平。</w:t>
      </w:r>
    </w:p>
    <w:p w14:paraId="675093B2">
      <w:pPr>
        <w:pStyle w:val="4"/>
        <w:rPr>
          <w:rFonts w:hint="default" w:ascii="Times New Roman" w:hAnsi="Times New Roman" w:cs="Times New Roman"/>
          <w:color w:val="auto"/>
          <w:u w:val="none" w:color="auto"/>
          <w:lang w:val="en-US" w:eastAsia="zh-CN"/>
        </w:rPr>
      </w:pPr>
      <w:bookmarkStart w:id="1197" w:name="_Toc6317"/>
      <w:bookmarkStart w:id="1198" w:name="_Toc7778"/>
      <w:bookmarkStart w:id="1199" w:name="_Toc12483"/>
      <w:bookmarkStart w:id="1200" w:name="_Toc4221"/>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1</w:t>
      </w:r>
      <w:bookmarkEnd w:id="1191"/>
      <w:bookmarkEnd w:id="1197"/>
      <w:bookmarkEnd w:id="1198"/>
      <w:bookmarkEnd w:id="1199"/>
      <w:r>
        <w:rPr>
          <w:rFonts w:hint="eastAsia" w:ascii="Times New Roman" w:hAnsi="Times New Roman" w:cs="Times New Roman"/>
          <w:color w:val="auto"/>
          <w:u w:val="none" w:color="auto"/>
          <w:lang w:val="en-US" w:eastAsia="zh-CN"/>
        </w:rPr>
        <w:t>风险调查</w:t>
      </w:r>
      <w:bookmarkEnd w:id="1200"/>
    </w:p>
    <w:p w14:paraId="13B2021C">
      <w:pPr>
        <w:pStyle w:val="20"/>
        <w:bidi w:val="0"/>
        <w:rPr>
          <w:rFonts w:hint="default"/>
          <w:color w:val="auto"/>
          <w:u w:val="none" w:color="auto"/>
        </w:rPr>
      </w:pPr>
      <w:bookmarkStart w:id="1201" w:name="_Toc9352"/>
      <w:r>
        <w:rPr>
          <w:rFonts w:hint="default"/>
          <w:color w:val="auto"/>
          <w:u w:val="none" w:color="auto"/>
        </w:rPr>
        <w:t>依据《建设项目环境风险评价技术导则》（HJ169-2018）中规定的易燃易爆和有毒物质的临界量限值。</w:t>
      </w:r>
    </w:p>
    <w:p w14:paraId="64978605">
      <w:pPr>
        <w:pStyle w:val="20"/>
        <w:bidi w:val="0"/>
        <w:rPr>
          <w:rFonts w:hint="eastAsia"/>
          <w:color w:val="auto"/>
          <w:u w:val="none" w:color="auto"/>
          <w:lang w:val="en-US" w:eastAsia="zh-CN"/>
        </w:rPr>
      </w:pPr>
      <w:r>
        <w:rPr>
          <w:rFonts w:hint="eastAsia"/>
          <w:color w:val="auto"/>
          <w:u w:val="none" w:color="auto"/>
        </w:rPr>
        <w:t>（</w:t>
      </w:r>
      <w:r>
        <w:rPr>
          <w:rFonts w:hint="eastAsia"/>
          <w:color w:val="auto"/>
          <w:u w:val="none" w:color="auto"/>
          <w:lang w:val="en-US" w:eastAsia="zh-CN"/>
        </w:rPr>
        <w:t>1</w:t>
      </w:r>
      <w:r>
        <w:rPr>
          <w:rFonts w:hint="eastAsia"/>
          <w:color w:val="auto"/>
          <w:u w:val="none" w:color="auto"/>
        </w:rPr>
        <w:t>）</w:t>
      </w:r>
      <w:r>
        <w:rPr>
          <w:rFonts w:hint="eastAsia"/>
          <w:color w:val="auto"/>
          <w:u w:val="none" w:color="auto"/>
          <w:lang w:val="en-US" w:eastAsia="zh-CN"/>
        </w:rPr>
        <w:t>风险源调查</w:t>
      </w:r>
    </w:p>
    <w:p w14:paraId="549BAAF1">
      <w:pPr>
        <w:pStyle w:val="20"/>
        <w:bidi w:val="0"/>
        <w:rPr>
          <w:rFonts w:hint="default"/>
          <w:color w:val="auto"/>
          <w:u w:val="none" w:color="auto"/>
          <w:lang w:val="en-US" w:eastAsia="zh-CN"/>
        </w:rPr>
      </w:pPr>
      <w:r>
        <w:rPr>
          <w:rFonts w:hint="eastAsia"/>
          <w:color w:val="auto"/>
          <w:u w:val="none" w:color="auto"/>
          <w:lang w:val="en-US" w:eastAsia="zh-CN"/>
        </w:rPr>
        <w:t>①风险物质调查</w:t>
      </w:r>
    </w:p>
    <w:p w14:paraId="19A00C4F">
      <w:pPr>
        <w:pStyle w:val="20"/>
        <w:bidi w:val="0"/>
        <w:rPr>
          <w:rFonts w:hint="eastAsia"/>
          <w:color w:val="auto"/>
          <w:u w:val="none" w:color="auto"/>
          <w:lang w:val="en-US" w:eastAsia="zh-CN"/>
        </w:rPr>
      </w:pPr>
      <w:r>
        <w:rPr>
          <w:rFonts w:hint="eastAsia"/>
          <w:color w:val="auto"/>
          <w:u w:val="none" w:color="auto"/>
          <w:lang w:val="en-US" w:eastAsia="zh-CN"/>
        </w:rPr>
        <w:t>根据《建设项目环境风险评价技术导则》（HJ169-2018），对企业生产原料、产品、中间产品、副产品、催化剂、辅助生产物料、燃料、“三废”污染物等是否涉及风险物质进行判定。对比《建设项目环境风险评价技术导则》（HJ169-2018）表 B1 突发环境事件风险物质及临界量，列入该表的风险物质包括矿物油、废矿物油、废活性炭等油类物质和危险废物。项目环境风险物质汇总如下。</w:t>
      </w:r>
    </w:p>
    <w:p w14:paraId="11A5E0EB">
      <w:pPr>
        <w:pStyle w:val="22"/>
        <w:bidi w:val="0"/>
        <w:rPr>
          <w:rFonts w:hint="default"/>
          <w:color w:val="auto"/>
          <w:u w:val="none" w:color="auto"/>
          <w:lang w:val="en-US" w:eastAsia="zh-CN"/>
        </w:rPr>
      </w:pPr>
      <w:r>
        <w:rPr>
          <w:rFonts w:hint="eastAsia"/>
          <w:color w:val="auto"/>
          <w:u w:val="none" w:color="auto"/>
          <w:lang w:val="en-US" w:eastAsia="zh-CN"/>
        </w:rPr>
        <w:t>表6.3-1 项目涉及的环境风险物质汇总表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14:paraId="285B62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63E0C730">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序号</w:t>
            </w:r>
          </w:p>
        </w:tc>
        <w:tc>
          <w:tcPr>
            <w:tcW w:w="1701" w:type="dxa"/>
            <w:tcBorders>
              <w:tl2br w:val="nil"/>
              <w:tr2bl w:val="nil"/>
            </w:tcBorders>
            <w:noWrap w:val="0"/>
            <w:vAlign w:val="center"/>
          </w:tcPr>
          <w:p w14:paraId="6304ADBB">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名称</w:t>
            </w:r>
          </w:p>
        </w:tc>
        <w:tc>
          <w:tcPr>
            <w:tcW w:w="1701" w:type="dxa"/>
            <w:tcBorders>
              <w:tl2br w:val="nil"/>
              <w:tr2bl w:val="nil"/>
            </w:tcBorders>
            <w:noWrap w:val="0"/>
            <w:vAlign w:val="center"/>
          </w:tcPr>
          <w:p w14:paraId="13D1C337">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包装方式</w:t>
            </w:r>
          </w:p>
        </w:tc>
        <w:tc>
          <w:tcPr>
            <w:tcW w:w="1701" w:type="dxa"/>
            <w:tcBorders>
              <w:tl2br w:val="nil"/>
              <w:tr2bl w:val="nil"/>
            </w:tcBorders>
            <w:noWrap w:val="0"/>
            <w:vAlign w:val="center"/>
          </w:tcPr>
          <w:p w14:paraId="29DD9862">
            <w:pPr>
              <w:pStyle w:val="24"/>
              <w:bidi w:val="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最大贮存量</w:t>
            </w:r>
          </w:p>
        </w:tc>
        <w:tc>
          <w:tcPr>
            <w:tcW w:w="1701" w:type="dxa"/>
            <w:tcBorders>
              <w:tl2br w:val="nil"/>
              <w:tr2bl w:val="nil"/>
            </w:tcBorders>
            <w:noWrap w:val="0"/>
            <w:vAlign w:val="center"/>
          </w:tcPr>
          <w:p w14:paraId="2C04FAEB">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分布情况</w:t>
            </w:r>
          </w:p>
        </w:tc>
      </w:tr>
      <w:tr w14:paraId="20FADB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144E2154">
            <w:pPr>
              <w:pStyle w:val="24"/>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1</w:t>
            </w:r>
          </w:p>
        </w:tc>
        <w:tc>
          <w:tcPr>
            <w:tcW w:w="1701" w:type="dxa"/>
            <w:tcBorders>
              <w:tl2br w:val="nil"/>
              <w:tr2bl w:val="nil"/>
            </w:tcBorders>
            <w:noWrap w:val="0"/>
            <w:vAlign w:val="center"/>
          </w:tcPr>
          <w:p w14:paraId="51BC566E">
            <w:pPr>
              <w:pStyle w:val="24"/>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矿物油</w:t>
            </w:r>
          </w:p>
        </w:tc>
        <w:tc>
          <w:tcPr>
            <w:tcW w:w="1701" w:type="dxa"/>
            <w:tcBorders>
              <w:tl2br w:val="nil"/>
              <w:tr2bl w:val="nil"/>
            </w:tcBorders>
            <w:noWrap w:val="0"/>
            <w:vAlign w:val="center"/>
          </w:tcPr>
          <w:p w14:paraId="1C1E43E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耐腐蚀桶</w:t>
            </w:r>
          </w:p>
        </w:tc>
        <w:tc>
          <w:tcPr>
            <w:tcW w:w="1701" w:type="dxa"/>
            <w:tcBorders>
              <w:tl2br w:val="nil"/>
              <w:tr2bl w:val="nil"/>
            </w:tcBorders>
            <w:noWrap w:val="0"/>
            <w:vAlign w:val="center"/>
          </w:tcPr>
          <w:p w14:paraId="57EC4071">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0.1</w:t>
            </w:r>
          </w:p>
        </w:tc>
        <w:tc>
          <w:tcPr>
            <w:tcW w:w="1701" w:type="dxa"/>
            <w:tcBorders>
              <w:tl2br w:val="nil"/>
              <w:tr2bl w:val="nil"/>
            </w:tcBorders>
            <w:noWrap w:val="0"/>
            <w:vAlign w:val="center"/>
          </w:tcPr>
          <w:p w14:paraId="1244AFD1">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仓库</w:t>
            </w:r>
          </w:p>
        </w:tc>
      </w:tr>
      <w:tr w14:paraId="079505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35C8A9D1">
            <w:pPr>
              <w:pStyle w:val="24"/>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2</w:t>
            </w:r>
          </w:p>
        </w:tc>
        <w:tc>
          <w:tcPr>
            <w:tcW w:w="1701" w:type="dxa"/>
            <w:tcBorders>
              <w:tl2br w:val="nil"/>
              <w:tr2bl w:val="nil"/>
            </w:tcBorders>
            <w:noWrap w:val="0"/>
            <w:vAlign w:val="center"/>
          </w:tcPr>
          <w:p w14:paraId="172004CC">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废矿物油</w:t>
            </w:r>
          </w:p>
        </w:tc>
        <w:tc>
          <w:tcPr>
            <w:tcW w:w="1701" w:type="dxa"/>
            <w:tcBorders>
              <w:tl2br w:val="nil"/>
              <w:tr2bl w:val="nil"/>
            </w:tcBorders>
            <w:noWrap w:val="0"/>
            <w:vAlign w:val="center"/>
          </w:tcPr>
          <w:p w14:paraId="482A1D4A">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耐腐蚀桶</w:t>
            </w:r>
          </w:p>
        </w:tc>
        <w:tc>
          <w:tcPr>
            <w:tcW w:w="1701" w:type="dxa"/>
            <w:tcBorders>
              <w:tl2br w:val="nil"/>
              <w:tr2bl w:val="nil"/>
            </w:tcBorders>
            <w:noWrap w:val="0"/>
            <w:vAlign w:val="center"/>
          </w:tcPr>
          <w:p w14:paraId="4088A9D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0.1</w:t>
            </w:r>
          </w:p>
        </w:tc>
        <w:tc>
          <w:tcPr>
            <w:tcW w:w="1701" w:type="dxa"/>
            <w:tcBorders>
              <w:tl2br w:val="nil"/>
              <w:tr2bl w:val="nil"/>
            </w:tcBorders>
            <w:noWrap w:val="0"/>
            <w:vAlign w:val="center"/>
          </w:tcPr>
          <w:p w14:paraId="0E5B0E36">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危废暂存间</w:t>
            </w:r>
          </w:p>
        </w:tc>
      </w:tr>
      <w:tr w14:paraId="0904E9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6E6FFA0F">
            <w:pPr>
              <w:pStyle w:val="24"/>
              <w:bidi w:val="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3</w:t>
            </w:r>
          </w:p>
        </w:tc>
        <w:tc>
          <w:tcPr>
            <w:tcW w:w="1701" w:type="dxa"/>
            <w:tcBorders>
              <w:tl2br w:val="nil"/>
              <w:tr2bl w:val="nil"/>
            </w:tcBorders>
            <w:noWrap w:val="0"/>
            <w:vAlign w:val="center"/>
          </w:tcPr>
          <w:p w14:paraId="0FCC861F">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废活性炭</w:t>
            </w:r>
          </w:p>
        </w:tc>
        <w:tc>
          <w:tcPr>
            <w:tcW w:w="1701" w:type="dxa"/>
            <w:tcBorders>
              <w:tl2br w:val="nil"/>
              <w:tr2bl w:val="nil"/>
            </w:tcBorders>
            <w:noWrap w:val="0"/>
            <w:vAlign w:val="center"/>
          </w:tcPr>
          <w:p w14:paraId="3BF0AD66">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耐腐蚀袋</w:t>
            </w:r>
          </w:p>
        </w:tc>
        <w:tc>
          <w:tcPr>
            <w:tcW w:w="1701" w:type="dxa"/>
            <w:tcBorders>
              <w:tl2br w:val="nil"/>
              <w:tr2bl w:val="nil"/>
            </w:tcBorders>
            <w:noWrap w:val="0"/>
            <w:vAlign w:val="center"/>
          </w:tcPr>
          <w:p w14:paraId="3A1D37E5">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4.3</w:t>
            </w:r>
          </w:p>
        </w:tc>
        <w:tc>
          <w:tcPr>
            <w:tcW w:w="1701" w:type="dxa"/>
            <w:tcBorders>
              <w:tl2br w:val="nil"/>
              <w:tr2bl w:val="nil"/>
            </w:tcBorders>
            <w:noWrap w:val="0"/>
            <w:vAlign w:val="center"/>
          </w:tcPr>
          <w:p w14:paraId="432ACB49">
            <w:pPr>
              <w:pStyle w:val="24"/>
              <w:bidi w:val="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危废暂存间</w:t>
            </w:r>
          </w:p>
        </w:tc>
      </w:tr>
      <w:tr w14:paraId="7490F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07547298">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w:t>
            </w:r>
          </w:p>
        </w:tc>
        <w:tc>
          <w:tcPr>
            <w:tcW w:w="1701" w:type="dxa"/>
            <w:tcBorders>
              <w:tl2br w:val="nil"/>
              <w:tr2bl w:val="nil"/>
            </w:tcBorders>
            <w:noWrap w:val="0"/>
            <w:vAlign w:val="center"/>
          </w:tcPr>
          <w:p w14:paraId="45AA5E2C">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溶剂型</w:t>
            </w:r>
            <w:r>
              <w:rPr>
                <w:rFonts w:hint="default" w:ascii="Times New Roman" w:hAnsi="Times New Roman" w:cs="Times New Roman"/>
                <w:color w:val="auto"/>
                <w:u w:val="none" w:color="auto"/>
              </w:rPr>
              <w:t>胶粘剂包装桶</w:t>
            </w:r>
          </w:p>
        </w:tc>
        <w:tc>
          <w:tcPr>
            <w:tcW w:w="1701" w:type="dxa"/>
            <w:tcBorders>
              <w:tl2br w:val="nil"/>
              <w:tr2bl w:val="nil"/>
            </w:tcBorders>
            <w:noWrap w:val="0"/>
            <w:vAlign w:val="center"/>
          </w:tcPr>
          <w:p w14:paraId="3AC45667">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w:t>
            </w:r>
          </w:p>
        </w:tc>
        <w:tc>
          <w:tcPr>
            <w:tcW w:w="1701" w:type="dxa"/>
            <w:tcBorders>
              <w:tl2br w:val="nil"/>
              <w:tr2bl w:val="nil"/>
            </w:tcBorders>
            <w:noWrap w:val="0"/>
            <w:vAlign w:val="center"/>
          </w:tcPr>
          <w:p w14:paraId="468E5F8C">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0.152</w:t>
            </w:r>
          </w:p>
        </w:tc>
        <w:tc>
          <w:tcPr>
            <w:tcW w:w="1701" w:type="dxa"/>
            <w:tcBorders>
              <w:tl2br w:val="nil"/>
              <w:tr2bl w:val="nil"/>
            </w:tcBorders>
            <w:noWrap w:val="0"/>
            <w:vAlign w:val="center"/>
          </w:tcPr>
          <w:p w14:paraId="0E7A795E">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危废暂存间</w:t>
            </w:r>
          </w:p>
        </w:tc>
      </w:tr>
      <w:tr w14:paraId="5E0BF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64315497">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5</w:t>
            </w:r>
          </w:p>
        </w:tc>
        <w:tc>
          <w:tcPr>
            <w:tcW w:w="1701" w:type="dxa"/>
            <w:tcBorders>
              <w:tl2br w:val="nil"/>
              <w:tr2bl w:val="nil"/>
            </w:tcBorders>
            <w:noWrap w:val="0"/>
            <w:vAlign w:val="center"/>
          </w:tcPr>
          <w:p w14:paraId="06BAE599">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二甲苯</w:t>
            </w:r>
          </w:p>
        </w:tc>
        <w:tc>
          <w:tcPr>
            <w:tcW w:w="1701" w:type="dxa"/>
            <w:tcBorders>
              <w:tl2br w:val="nil"/>
              <w:tr2bl w:val="nil"/>
            </w:tcBorders>
            <w:noWrap w:val="0"/>
            <w:vAlign w:val="center"/>
          </w:tcPr>
          <w:p w14:paraId="66450F79">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w:t>
            </w:r>
          </w:p>
        </w:tc>
        <w:tc>
          <w:tcPr>
            <w:tcW w:w="1701" w:type="dxa"/>
            <w:tcBorders>
              <w:tl2br w:val="nil"/>
              <w:tr2bl w:val="nil"/>
            </w:tcBorders>
            <w:noWrap w:val="0"/>
            <w:vAlign w:val="center"/>
          </w:tcPr>
          <w:p w14:paraId="0ABCB100">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w:t>
            </w:r>
          </w:p>
        </w:tc>
        <w:tc>
          <w:tcPr>
            <w:tcW w:w="1701" w:type="dxa"/>
            <w:tcBorders>
              <w:tl2br w:val="nil"/>
              <w:tr2bl w:val="nil"/>
            </w:tcBorders>
            <w:noWrap w:val="0"/>
            <w:vAlign w:val="center"/>
          </w:tcPr>
          <w:p w14:paraId="734015C8">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仓库</w:t>
            </w:r>
          </w:p>
        </w:tc>
      </w:tr>
      <w:tr w14:paraId="7A48EB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1A0D8BA9">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6</w:t>
            </w:r>
          </w:p>
        </w:tc>
        <w:tc>
          <w:tcPr>
            <w:tcW w:w="1701" w:type="dxa"/>
            <w:tcBorders>
              <w:tl2br w:val="nil"/>
              <w:tr2bl w:val="nil"/>
            </w:tcBorders>
            <w:noWrap w:val="0"/>
            <w:vAlign w:val="center"/>
          </w:tcPr>
          <w:p w14:paraId="7081FF00">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乙酸乙酯</w:t>
            </w:r>
          </w:p>
        </w:tc>
        <w:tc>
          <w:tcPr>
            <w:tcW w:w="1701" w:type="dxa"/>
            <w:tcBorders>
              <w:tl2br w:val="nil"/>
              <w:tr2bl w:val="nil"/>
            </w:tcBorders>
            <w:noWrap w:val="0"/>
            <w:vAlign w:val="center"/>
          </w:tcPr>
          <w:p w14:paraId="6B9E2E1A">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w:t>
            </w:r>
          </w:p>
        </w:tc>
        <w:tc>
          <w:tcPr>
            <w:tcW w:w="1701" w:type="dxa"/>
            <w:tcBorders>
              <w:tl2br w:val="nil"/>
              <w:tr2bl w:val="nil"/>
            </w:tcBorders>
            <w:noWrap w:val="0"/>
            <w:vAlign w:val="center"/>
          </w:tcPr>
          <w:p w14:paraId="4EC5CA4D">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w:t>
            </w:r>
          </w:p>
        </w:tc>
        <w:tc>
          <w:tcPr>
            <w:tcW w:w="1701" w:type="dxa"/>
            <w:tcBorders>
              <w:tl2br w:val="nil"/>
              <w:tr2bl w:val="nil"/>
            </w:tcBorders>
            <w:noWrap w:val="0"/>
            <w:vAlign w:val="center"/>
          </w:tcPr>
          <w:p w14:paraId="52C9B3EF">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仓库</w:t>
            </w:r>
          </w:p>
        </w:tc>
      </w:tr>
    </w:tbl>
    <w:p w14:paraId="5E400084">
      <w:pPr>
        <w:pStyle w:val="20"/>
        <w:bidi w:val="0"/>
        <w:rPr>
          <w:rFonts w:hint="eastAsia"/>
          <w:color w:val="auto"/>
          <w:u w:val="none" w:color="auto"/>
          <w:lang w:val="en-US" w:eastAsia="zh-CN"/>
        </w:rPr>
      </w:pPr>
      <w:r>
        <w:rPr>
          <w:rFonts w:hint="eastAsia"/>
          <w:color w:val="auto"/>
          <w:u w:val="none" w:color="auto"/>
          <w:lang w:val="en-US" w:eastAsia="zh-CN"/>
        </w:rPr>
        <w:t>②行业及生产工艺调查</w:t>
      </w:r>
    </w:p>
    <w:p w14:paraId="33B721E1">
      <w:pPr>
        <w:pStyle w:val="20"/>
        <w:bidi w:val="0"/>
        <w:rPr>
          <w:rFonts w:hint="default"/>
          <w:color w:val="auto"/>
          <w:u w:val="none" w:color="auto"/>
          <w:lang w:val="en-US" w:eastAsia="zh-CN"/>
        </w:rPr>
      </w:pPr>
      <w:r>
        <w:rPr>
          <w:rFonts w:hint="default"/>
          <w:color w:val="auto"/>
          <w:u w:val="none" w:color="auto"/>
          <w:lang w:val="en-US" w:eastAsia="zh-CN"/>
        </w:rPr>
        <w:t>根据《建设项目环境风险评价技术导则 HJ169-2018》附录C.1表，针对项目所属行业及生产工艺特点对项目生产工艺情况进行调查如下。</w:t>
      </w:r>
    </w:p>
    <w:p w14:paraId="69CA96BA">
      <w:pPr>
        <w:pStyle w:val="22"/>
        <w:bidi w:val="0"/>
        <w:rPr>
          <w:rFonts w:hint="eastAsia"/>
          <w:color w:val="auto"/>
          <w:u w:val="none" w:color="auto"/>
          <w:lang w:val="en-US" w:eastAsia="zh-CN"/>
        </w:rPr>
      </w:pPr>
      <w:r>
        <w:rPr>
          <w:rFonts w:hint="eastAsia"/>
          <w:color w:val="auto"/>
          <w:u w:val="none" w:color="auto"/>
          <w:lang w:val="en-US" w:eastAsia="zh-CN"/>
        </w:rPr>
        <w:t>表6.3-2 行业及生产工艺调查表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4710"/>
        <w:gridCol w:w="1799"/>
      </w:tblGrid>
      <w:tr w14:paraId="78DF1F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tcBorders>
              <w:tl2br w:val="nil"/>
              <w:tr2bl w:val="nil"/>
            </w:tcBorders>
            <w:noWrap w:val="0"/>
            <w:vAlign w:val="center"/>
          </w:tcPr>
          <w:p w14:paraId="00265896">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行业</w:t>
            </w:r>
          </w:p>
        </w:tc>
        <w:tc>
          <w:tcPr>
            <w:tcW w:w="4710" w:type="dxa"/>
            <w:tcBorders>
              <w:tl2br w:val="nil"/>
              <w:tr2bl w:val="nil"/>
            </w:tcBorders>
            <w:noWrap w:val="0"/>
            <w:vAlign w:val="center"/>
          </w:tcPr>
          <w:p w14:paraId="61829655">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评估依据</w:t>
            </w:r>
          </w:p>
        </w:tc>
        <w:tc>
          <w:tcPr>
            <w:tcW w:w="1799" w:type="dxa"/>
            <w:tcBorders>
              <w:tl2br w:val="nil"/>
              <w:tr2bl w:val="nil"/>
            </w:tcBorders>
            <w:noWrap w:val="0"/>
            <w:vAlign w:val="center"/>
          </w:tcPr>
          <w:p w14:paraId="5FD726AB">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企业情况</w:t>
            </w:r>
          </w:p>
        </w:tc>
      </w:tr>
      <w:tr w14:paraId="248E2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vMerge w:val="restart"/>
            <w:tcBorders>
              <w:tl2br w:val="nil"/>
              <w:tr2bl w:val="nil"/>
            </w:tcBorders>
            <w:noWrap w:val="0"/>
            <w:vAlign w:val="center"/>
          </w:tcPr>
          <w:p w14:paraId="57AED2DA">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石化、化工、医药、轻工、化纤、有色冶炼等</w:t>
            </w:r>
          </w:p>
        </w:tc>
        <w:tc>
          <w:tcPr>
            <w:tcW w:w="4710" w:type="dxa"/>
            <w:tcBorders>
              <w:tl2br w:val="nil"/>
              <w:tr2bl w:val="nil"/>
            </w:tcBorders>
            <w:noWrap w:val="0"/>
            <w:vAlign w:val="center"/>
          </w:tcPr>
          <w:p w14:paraId="64F95020">
            <w:pPr>
              <w:pStyle w:val="24"/>
              <w:bidi w:val="0"/>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涉及光气及光气化工艺、电解工艺（氯碱）、氯化工艺、硝化工艺、合成氨工艺、裂解（裂化）工艺、氟化工艺、加氢工艺、重氮化工艺、氧化工艺、过氧化工艺、胺基化工艺、磺化工艺、聚合工艺、烷基化工艺、新型煤化工工艺、电石生产工艺、偶氮化工艺</w:t>
            </w:r>
          </w:p>
        </w:tc>
        <w:tc>
          <w:tcPr>
            <w:tcW w:w="1799" w:type="dxa"/>
            <w:tcBorders>
              <w:tl2br w:val="nil"/>
              <w:tr2bl w:val="nil"/>
            </w:tcBorders>
            <w:noWrap w:val="0"/>
            <w:vAlign w:val="center"/>
          </w:tcPr>
          <w:p w14:paraId="2B19CC58">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不涉及</w:t>
            </w:r>
          </w:p>
        </w:tc>
      </w:tr>
      <w:tr w14:paraId="6807DD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vMerge w:val="continue"/>
            <w:tcBorders>
              <w:tl2br w:val="nil"/>
              <w:tr2bl w:val="nil"/>
            </w:tcBorders>
            <w:noWrap w:val="0"/>
            <w:vAlign w:val="center"/>
          </w:tcPr>
          <w:p w14:paraId="71488582">
            <w:pPr>
              <w:pStyle w:val="24"/>
              <w:bidi w:val="0"/>
              <w:rPr>
                <w:rFonts w:hint="eastAsia" w:ascii="Times New Roman" w:hAnsi="Times New Roman" w:eastAsia="宋体" w:cs="Times New Roman"/>
                <w:color w:val="auto"/>
                <w:u w:val="none" w:color="auto"/>
                <w:lang w:eastAsia="zh-CN"/>
              </w:rPr>
            </w:pPr>
          </w:p>
        </w:tc>
        <w:tc>
          <w:tcPr>
            <w:tcW w:w="4710" w:type="dxa"/>
            <w:tcBorders>
              <w:tl2br w:val="nil"/>
              <w:tr2bl w:val="nil"/>
            </w:tcBorders>
            <w:noWrap w:val="0"/>
            <w:vAlign w:val="center"/>
          </w:tcPr>
          <w:p w14:paraId="247C781D">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无机酸制酸工艺、焦化工艺</w:t>
            </w:r>
          </w:p>
        </w:tc>
        <w:tc>
          <w:tcPr>
            <w:tcW w:w="1799" w:type="dxa"/>
            <w:tcBorders>
              <w:tl2br w:val="nil"/>
              <w:tr2bl w:val="nil"/>
            </w:tcBorders>
            <w:noWrap w:val="0"/>
            <w:vAlign w:val="center"/>
          </w:tcPr>
          <w:p w14:paraId="2BB387DE">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不涉及</w:t>
            </w:r>
          </w:p>
        </w:tc>
      </w:tr>
      <w:tr w14:paraId="4D4EDF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vMerge w:val="continue"/>
            <w:tcBorders>
              <w:tl2br w:val="nil"/>
              <w:tr2bl w:val="nil"/>
            </w:tcBorders>
            <w:noWrap w:val="0"/>
            <w:vAlign w:val="center"/>
          </w:tcPr>
          <w:p w14:paraId="222158FD">
            <w:pPr>
              <w:pStyle w:val="24"/>
              <w:bidi w:val="0"/>
              <w:rPr>
                <w:rFonts w:hint="eastAsia" w:ascii="Times New Roman" w:hAnsi="Times New Roman" w:eastAsia="宋体" w:cs="Times New Roman"/>
                <w:color w:val="auto"/>
                <w:u w:val="none" w:color="auto"/>
                <w:lang w:eastAsia="zh-CN"/>
              </w:rPr>
            </w:pPr>
          </w:p>
        </w:tc>
        <w:tc>
          <w:tcPr>
            <w:tcW w:w="4710" w:type="dxa"/>
            <w:tcBorders>
              <w:tl2br w:val="nil"/>
              <w:tr2bl w:val="nil"/>
            </w:tcBorders>
            <w:noWrap w:val="0"/>
            <w:vAlign w:val="center"/>
          </w:tcPr>
          <w:p w14:paraId="63028923">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其他高温或高压、且涉及危险物质的工艺过程</w:t>
            </w:r>
            <w:r>
              <w:rPr>
                <w:rFonts w:hint="eastAsia" w:ascii="Times New Roman" w:hAnsi="Times New Roman" w:eastAsia="宋体" w:cs="Times New Roman"/>
                <w:color w:val="auto"/>
                <w:u w:val="none" w:color="auto"/>
                <w:vertAlign w:val="superscript"/>
                <w:lang w:val="en-US" w:eastAsia="zh-CN"/>
              </w:rPr>
              <w:t>a</w:t>
            </w:r>
            <w:r>
              <w:rPr>
                <w:rFonts w:hint="eastAsia" w:ascii="Times New Roman" w:hAnsi="Times New Roman" w:eastAsia="宋体" w:cs="Times New Roman"/>
                <w:color w:val="auto"/>
                <w:u w:val="none" w:color="auto"/>
                <w:lang w:val="en-US" w:eastAsia="zh-CN"/>
              </w:rPr>
              <w:t>、危险物质储存罐区</w:t>
            </w:r>
          </w:p>
        </w:tc>
        <w:tc>
          <w:tcPr>
            <w:tcW w:w="1799" w:type="dxa"/>
            <w:tcBorders>
              <w:tl2br w:val="nil"/>
              <w:tr2bl w:val="nil"/>
            </w:tcBorders>
            <w:noWrap w:val="0"/>
            <w:vAlign w:val="center"/>
          </w:tcPr>
          <w:p w14:paraId="7B668CDF">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不涉及</w:t>
            </w:r>
          </w:p>
        </w:tc>
      </w:tr>
      <w:tr w14:paraId="5425C5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tcBorders>
              <w:tl2br w:val="nil"/>
              <w:tr2bl w:val="nil"/>
            </w:tcBorders>
            <w:noWrap w:val="0"/>
            <w:vAlign w:val="center"/>
          </w:tcPr>
          <w:p w14:paraId="079DB4FB">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管道、港口/码头等</w:t>
            </w:r>
          </w:p>
        </w:tc>
        <w:tc>
          <w:tcPr>
            <w:tcW w:w="4710" w:type="dxa"/>
            <w:tcBorders>
              <w:tl2br w:val="nil"/>
              <w:tr2bl w:val="nil"/>
            </w:tcBorders>
            <w:noWrap w:val="0"/>
            <w:vAlign w:val="center"/>
          </w:tcPr>
          <w:p w14:paraId="35E04AD7">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涉及危险物质管道运输项目、港口/码头等</w:t>
            </w:r>
          </w:p>
        </w:tc>
        <w:tc>
          <w:tcPr>
            <w:tcW w:w="1799" w:type="dxa"/>
            <w:tcBorders>
              <w:tl2br w:val="nil"/>
              <w:tr2bl w:val="nil"/>
            </w:tcBorders>
            <w:noWrap w:val="0"/>
            <w:vAlign w:val="center"/>
          </w:tcPr>
          <w:p w14:paraId="08FC0772">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不涉及</w:t>
            </w:r>
          </w:p>
        </w:tc>
      </w:tr>
      <w:tr w14:paraId="220728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tcBorders>
              <w:tl2br w:val="nil"/>
              <w:tr2bl w:val="nil"/>
            </w:tcBorders>
            <w:noWrap w:val="0"/>
            <w:vAlign w:val="center"/>
          </w:tcPr>
          <w:p w14:paraId="3B6D762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石油天然气</w:t>
            </w:r>
          </w:p>
        </w:tc>
        <w:tc>
          <w:tcPr>
            <w:tcW w:w="4710" w:type="dxa"/>
            <w:tcBorders>
              <w:tl2br w:val="nil"/>
              <w:tr2bl w:val="nil"/>
            </w:tcBorders>
            <w:noWrap w:val="0"/>
            <w:vAlign w:val="center"/>
          </w:tcPr>
          <w:p w14:paraId="1BB6E98F">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石油、天然气、页岩气开采（含净化）、气库（不含加气站的气库）、油库（不含加气站的油库）、油气管线</w:t>
            </w:r>
            <w:r>
              <w:rPr>
                <w:rFonts w:hint="eastAsia" w:ascii="Times New Roman" w:hAnsi="Times New Roman" w:eastAsia="宋体" w:cs="Times New Roman"/>
                <w:color w:val="auto"/>
                <w:u w:val="none" w:color="auto"/>
                <w:vertAlign w:val="superscript"/>
                <w:lang w:val="en-US" w:eastAsia="zh-CN"/>
              </w:rPr>
              <w:t>b</w:t>
            </w:r>
            <w:r>
              <w:rPr>
                <w:rFonts w:hint="eastAsia" w:ascii="Times New Roman" w:hAnsi="Times New Roman" w:eastAsia="宋体" w:cs="Times New Roman"/>
                <w:color w:val="auto"/>
                <w:u w:val="none" w:color="auto"/>
                <w:lang w:val="en-US" w:eastAsia="zh-CN"/>
              </w:rPr>
              <w:t>（不含城镇燃气管线）</w:t>
            </w:r>
          </w:p>
        </w:tc>
        <w:tc>
          <w:tcPr>
            <w:tcW w:w="1799" w:type="dxa"/>
            <w:tcBorders>
              <w:tl2br w:val="nil"/>
              <w:tr2bl w:val="nil"/>
            </w:tcBorders>
            <w:noWrap w:val="0"/>
            <w:vAlign w:val="center"/>
          </w:tcPr>
          <w:p w14:paraId="1230F9CF">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不涉及</w:t>
            </w:r>
          </w:p>
        </w:tc>
      </w:tr>
      <w:tr w14:paraId="2EBEE0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95" w:type="dxa"/>
            <w:tcBorders>
              <w:tl2br w:val="nil"/>
              <w:tr2bl w:val="nil"/>
            </w:tcBorders>
            <w:noWrap w:val="0"/>
            <w:vAlign w:val="center"/>
          </w:tcPr>
          <w:p w14:paraId="684F0EA7">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其他</w:t>
            </w:r>
          </w:p>
        </w:tc>
        <w:tc>
          <w:tcPr>
            <w:tcW w:w="4710" w:type="dxa"/>
            <w:tcBorders>
              <w:tl2br w:val="nil"/>
              <w:tr2bl w:val="nil"/>
            </w:tcBorders>
            <w:noWrap w:val="0"/>
            <w:vAlign w:val="center"/>
          </w:tcPr>
          <w:p w14:paraId="0C1FFE30">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涉及危险物质使用、贮存的项目</w:t>
            </w:r>
          </w:p>
        </w:tc>
        <w:tc>
          <w:tcPr>
            <w:tcW w:w="1799" w:type="dxa"/>
            <w:tcBorders>
              <w:tl2br w:val="nil"/>
              <w:tr2bl w:val="nil"/>
            </w:tcBorders>
            <w:noWrap w:val="0"/>
            <w:vAlign w:val="center"/>
          </w:tcPr>
          <w:p w14:paraId="1608A6C3">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涉及危险废物</w:t>
            </w:r>
          </w:p>
        </w:tc>
      </w:tr>
      <w:tr w14:paraId="21220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3"/>
            <w:tcBorders>
              <w:tl2br w:val="nil"/>
              <w:tr2bl w:val="nil"/>
            </w:tcBorders>
            <w:noWrap w:val="0"/>
            <w:vAlign w:val="center"/>
          </w:tcPr>
          <w:p w14:paraId="6AC2125A">
            <w:pPr>
              <w:pStyle w:val="24"/>
              <w:bidi w:val="0"/>
              <w:jc w:val="both"/>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注a：高温指工艺温度≥300℃，高压指压力容器的设计压力（p）≥10.0MPa；</w:t>
            </w:r>
          </w:p>
          <w:p w14:paraId="477971CC">
            <w:pPr>
              <w:pStyle w:val="24"/>
              <w:bidi w:val="0"/>
              <w:jc w:val="both"/>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注b：长输管道运输项目应按站场、管线分段进行评价。</w:t>
            </w:r>
          </w:p>
        </w:tc>
      </w:tr>
    </w:tbl>
    <w:p w14:paraId="380AB380">
      <w:pPr>
        <w:pStyle w:val="20"/>
        <w:bidi w:val="0"/>
        <w:rPr>
          <w:rFonts w:hint="eastAsia"/>
          <w:color w:val="auto"/>
          <w:u w:val="none" w:color="auto"/>
          <w:lang w:val="en-US" w:eastAsia="zh-CN"/>
        </w:rPr>
      </w:pPr>
      <w:r>
        <w:rPr>
          <w:rFonts w:hint="eastAsia"/>
          <w:color w:val="auto"/>
          <w:u w:val="none" w:color="auto"/>
          <w:lang w:val="en-US" w:eastAsia="zh-CN"/>
        </w:rPr>
        <w:t>（2）环境敏感目标调查</w:t>
      </w:r>
    </w:p>
    <w:p w14:paraId="74E7A7C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依据确定的项目环境风险评价等级和评价范围，对风险评价范围内的环境敏感点进行现状调查，评价范围内的环境敏感目标情况见表</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rPr>
        <w:t>。</w:t>
      </w:r>
    </w:p>
    <w:p w14:paraId="14007924">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3</w:t>
      </w:r>
      <w:r>
        <w:rPr>
          <w:rFonts w:hint="default"/>
          <w:color w:val="auto"/>
          <w:u w:val="none" w:color="auto"/>
        </w:rPr>
        <w:t xml:space="preserve"> 项目环境风险评价范围内敏感点调查情况统计</w:t>
      </w:r>
    </w:p>
    <w:tbl>
      <w:tblPr>
        <w:tblStyle w:val="16"/>
        <w:tblW w:w="864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66"/>
        <w:gridCol w:w="665"/>
        <w:gridCol w:w="2163"/>
        <w:gridCol w:w="987"/>
        <w:gridCol w:w="913"/>
        <w:gridCol w:w="150"/>
        <w:gridCol w:w="124"/>
        <w:gridCol w:w="176"/>
        <w:gridCol w:w="912"/>
        <w:gridCol w:w="821"/>
        <w:gridCol w:w="1263"/>
      </w:tblGrid>
      <w:tr w14:paraId="5F2CE2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tcBorders>
              <w:tl2br w:val="nil"/>
              <w:tr2bl w:val="nil"/>
            </w:tcBorders>
            <w:noWrap w:val="0"/>
            <w:vAlign w:val="center"/>
          </w:tcPr>
          <w:p w14:paraId="68E50353">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类别</w:t>
            </w:r>
          </w:p>
        </w:tc>
        <w:tc>
          <w:tcPr>
            <w:tcW w:w="665" w:type="dxa"/>
            <w:tcBorders>
              <w:tl2br w:val="nil"/>
              <w:tr2bl w:val="nil"/>
            </w:tcBorders>
            <w:noWrap w:val="0"/>
            <w:vAlign w:val="center"/>
          </w:tcPr>
          <w:p w14:paraId="0095DB4A">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序号</w:t>
            </w:r>
          </w:p>
        </w:tc>
        <w:tc>
          <w:tcPr>
            <w:tcW w:w="2163" w:type="dxa"/>
            <w:tcBorders>
              <w:tl2br w:val="nil"/>
              <w:tr2bl w:val="nil"/>
            </w:tcBorders>
            <w:noWrap w:val="0"/>
            <w:vAlign w:val="center"/>
          </w:tcPr>
          <w:p w14:paraId="05EF820E">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敏感目标名称</w:t>
            </w:r>
          </w:p>
        </w:tc>
        <w:tc>
          <w:tcPr>
            <w:tcW w:w="987" w:type="dxa"/>
            <w:tcBorders>
              <w:tl2br w:val="nil"/>
              <w:tr2bl w:val="nil"/>
            </w:tcBorders>
            <w:noWrap w:val="0"/>
            <w:vAlign w:val="center"/>
          </w:tcPr>
          <w:p w14:paraId="2B85D0F9">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相对厂址方位</w:t>
            </w:r>
          </w:p>
        </w:tc>
        <w:tc>
          <w:tcPr>
            <w:tcW w:w="1187" w:type="dxa"/>
            <w:gridSpan w:val="3"/>
            <w:tcBorders>
              <w:tl2br w:val="nil"/>
              <w:tr2bl w:val="nil"/>
            </w:tcBorders>
            <w:noWrap w:val="0"/>
            <w:vAlign w:val="center"/>
          </w:tcPr>
          <w:p w14:paraId="52E006FC">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相对厂界距离/m</w:t>
            </w:r>
          </w:p>
        </w:tc>
        <w:tc>
          <w:tcPr>
            <w:tcW w:w="1088" w:type="dxa"/>
            <w:gridSpan w:val="2"/>
            <w:tcBorders>
              <w:tl2br w:val="nil"/>
              <w:tr2bl w:val="nil"/>
            </w:tcBorders>
            <w:noWrap w:val="0"/>
            <w:vAlign w:val="center"/>
          </w:tcPr>
          <w:p w14:paraId="6605AE4E">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保护对象属性</w:t>
            </w:r>
          </w:p>
        </w:tc>
        <w:tc>
          <w:tcPr>
            <w:tcW w:w="821" w:type="dxa"/>
            <w:tcBorders>
              <w:tl2br w:val="nil"/>
              <w:tr2bl w:val="nil"/>
            </w:tcBorders>
            <w:noWrap w:val="0"/>
            <w:vAlign w:val="center"/>
          </w:tcPr>
          <w:p w14:paraId="4C5CE19C">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保护功能区</w:t>
            </w:r>
          </w:p>
        </w:tc>
        <w:tc>
          <w:tcPr>
            <w:tcW w:w="1263" w:type="dxa"/>
            <w:tcBorders>
              <w:tl2br w:val="nil"/>
              <w:tr2bl w:val="nil"/>
            </w:tcBorders>
            <w:noWrap w:val="0"/>
            <w:vAlign w:val="center"/>
          </w:tcPr>
          <w:p w14:paraId="71220BB4">
            <w:pPr>
              <w:keepNext w:val="0"/>
              <w:keepLines w:val="0"/>
              <w:widowControl/>
              <w:suppressLineNumbers w:val="0"/>
              <w:shd w:val="clear" w:color="auto" w:fill="auto"/>
              <w:jc w:val="center"/>
              <w:textAlignment w:val="center"/>
              <w:rPr>
                <w:rFonts w:hint="default" w:ascii="Times New Roman" w:hAnsi="Times New Roman" w:eastAsia="宋体" w:cs="Times New Roman"/>
                <w:b/>
                <w:bCs/>
                <w:i w:val="0"/>
                <w:iCs w:val="0"/>
                <w:color w:val="auto"/>
                <w:sz w:val="21"/>
                <w:szCs w:val="21"/>
                <w:highlight w:val="none"/>
                <w:u w:val="none" w:color="auto"/>
              </w:rPr>
            </w:pPr>
            <w:r>
              <w:rPr>
                <w:rFonts w:hint="default" w:ascii="Times New Roman" w:hAnsi="Times New Roman" w:eastAsia="宋体" w:cs="Times New Roman"/>
                <w:b/>
                <w:bCs/>
                <w:i w:val="0"/>
                <w:iCs w:val="0"/>
                <w:color w:val="auto"/>
                <w:kern w:val="0"/>
                <w:sz w:val="21"/>
                <w:szCs w:val="21"/>
                <w:highlight w:val="none"/>
                <w:u w:val="none" w:color="auto"/>
                <w:lang w:val="en-US" w:eastAsia="zh-CN" w:bidi="ar"/>
              </w:rPr>
              <w:t>人口数</w:t>
            </w:r>
          </w:p>
        </w:tc>
      </w:tr>
      <w:tr w14:paraId="23DA3F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restart"/>
            <w:tcBorders>
              <w:tl2br w:val="nil"/>
              <w:tr2bl w:val="nil"/>
            </w:tcBorders>
            <w:noWrap w:val="0"/>
            <w:vAlign w:val="center"/>
          </w:tcPr>
          <w:p w14:paraId="10193F3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环境空气</w:t>
            </w:r>
          </w:p>
        </w:tc>
        <w:tc>
          <w:tcPr>
            <w:tcW w:w="665" w:type="dxa"/>
            <w:tcBorders>
              <w:tl2br w:val="nil"/>
              <w:tr2bl w:val="nil"/>
            </w:tcBorders>
            <w:noWrap w:val="0"/>
            <w:vAlign w:val="center"/>
          </w:tcPr>
          <w:p w14:paraId="440D8BC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2163" w:type="dxa"/>
            <w:tcBorders>
              <w:tl2br w:val="nil"/>
              <w:tr2bl w:val="nil"/>
            </w:tcBorders>
            <w:noWrap w:val="0"/>
            <w:vAlign w:val="center"/>
          </w:tcPr>
          <w:p w14:paraId="3F721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周家垄</w:t>
            </w:r>
          </w:p>
        </w:tc>
        <w:tc>
          <w:tcPr>
            <w:tcW w:w="987" w:type="dxa"/>
            <w:tcBorders>
              <w:tl2br w:val="nil"/>
              <w:tr2bl w:val="nil"/>
            </w:tcBorders>
            <w:noWrap w:val="0"/>
            <w:vAlign w:val="center"/>
          </w:tcPr>
          <w:p w14:paraId="2D168974">
            <w:pPr>
              <w:pStyle w:val="31"/>
              <w:bidi w:val="0"/>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西北</w:t>
            </w:r>
          </w:p>
        </w:tc>
        <w:tc>
          <w:tcPr>
            <w:tcW w:w="1187" w:type="dxa"/>
            <w:gridSpan w:val="3"/>
            <w:tcBorders>
              <w:tl2br w:val="nil"/>
              <w:tr2bl w:val="nil"/>
            </w:tcBorders>
            <w:noWrap w:val="0"/>
            <w:vAlign w:val="center"/>
          </w:tcPr>
          <w:p w14:paraId="6F6EBF2B">
            <w:pPr>
              <w:pStyle w:val="31"/>
              <w:bidi w:val="0"/>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3520-4070</w:t>
            </w:r>
          </w:p>
        </w:tc>
        <w:tc>
          <w:tcPr>
            <w:tcW w:w="1088" w:type="dxa"/>
            <w:gridSpan w:val="2"/>
            <w:tcBorders>
              <w:tl2br w:val="nil"/>
              <w:tr2bl w:val="nil"/>
            </w:tcBorders>
            <w:noWrap w:val="0"/>
            <w:vAlign w:val="center"/>
          </w:tcPr>
          <w:p w14:paraId="38D963D2">
            <w:pPr>
              <w:pStyle w:val="31"/>
              <w:bidi w:val="0"/>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居民</w:t>
            </w:r>
          </w:p>
        </w:tc>
        <w:tc>
          <w:tcPr>
            <w:tcW w:w="821" w:type="dxa"/>
            <w:vMerge w:val="restart"/>
            <w:tcBorders>
              <w:tl2br w:val="nil"/>
              <w:tr2bl w:val="nil"/>
            </w:tcBorders>
            <w:noWrap w:val="0"/>
            <w:vAlign w:val="center"/>
          </w:tcPr>
          <w:p w14:paraId="5C89CE4D">
            <w:pPr>
              <w:shd w:val="clear" w:color="auto" w:fill="auto"/>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大气环境二类区</w:t>
            </w:r>
          </w:p>
          <w:p w14:paraId="76A208F5">
            <w:pPr>
              <w:shd w:val="clear" w:color="auto" w:fill="auto"/>
              <w:jc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p>
          <w:p w14:paraId="59D03FE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F2C91D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800</w:t>
            </w:r>
          </w:p>
        </w:tc>
      </w:tr>
      <w:tr w14:paraId="093D7C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CC7AD3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67D4AB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w:t>
            </w:r>
          </w:p>
        </w:tc>
        <w:tc>
          <w:tcPr>
            <w:tcW w:w="2163" w:type="dxa"/>
            <w:tcBorders>
              <w:tl2br w:val="nil"/>
              <w:tr2bl w:val="nil"/>
            </w:tcBorders>
            <w:noWrap w:val="0"/>
            <w:vAlign w:val="center"/>
          </w:tcPr>
          <w:p w14:paraId="73B460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下马桥</w:t>
            </w:r>
          </w:p>
        </w:tc>
        <w:tc>
          <w:tcPr>
            <w:tcW w:w="987" w:type="dxa"/>
            <w:tcBorders>
              <w:tl2br w:val="nil"/>
              <w:tr2bl w:val="nil"/>
            </w:tcBorders>
            <w:noWrap w:val="0"/>
            <w:vAlign w:val="center"/>
          </w:tcPr>
          <w:p w14:paraId="08C44D9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62E71820">
            <w:pPr>
              <w:pStyle w:val="31"/>
              <w:bidi w:val="0"/>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2910-3610</w:t>
            </w:r>
          </w:p>
        </w:tc>
        <w:tc>
          <w:tcPr>
            <w:tcW w:w="1088" w:type="dxa"/>
            <w:gridSpan w:val="2"/>
            <w:tcBorders>
              <w:tl2br w:val="nil"/>
              <w:tr2bl w:val="nil"/>
            </w:tcBorders>
            <w:noWrap w:val="0"/>
            <w:vAlign w:val="center"/>
          </w:tcPr>
          <w:p w14:paraId="5A07B0D9">
            <w:pPr>
              <w:pStyle w:val="31"/>
              <w:bidi w:val="0"/>
              <w:rPr>
                <w:rFonts w:hint="eastAsia"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居民</w:t>
            </w:r>
          </w:p>
        </w:tc>
        <w:tc>
          <w:tcPr>
            <w:tcW w:w="821" w:type="dxa"/>
            <w:vMerge w:val="continue"/>
            <w:tcBorders>
              <w:tl2br w:val="nil"/>
              <w:tr2bl w:val="nil"/>
            </w:tcBorders>
            <w:noWrap w:val="0"/>
            <w:vAlign w:val="center"/>
          </w:tcPr>
          <w:p w14:paraId="46EB1D7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D22DD8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lang w:val="en-US" w:eastAsia="zh-CN"/>
              </w:rPr>
            </w:pPr>
            <w:r>
              <w:rPr>
                <w:rFonts w:hint="eastAsia" w:ascii="Times New Roman" w:hAnsi="Times New Roman" w:eastAsia="宋体" w:cs="Times New Roman"/>
                <w:i w:val="0"/>
                <w:iCs w:val="0"/>
                <w:color w:val="auto"/>
                <w:sz w:val="21"/>
                <w:szCs w:val="21"/>
                <w:highlight w:val="none"/>
                <w:u w:val="none" w:color="auto"/>
                <w:lang w:val="en-US" w:eastAsia="zh-CN"/>
              </w:rPr>
              <w:t>1500</w:t>
            </w:r>
          </w:p>
        </w:tc>
      </w:tr>
      <w:tr w14:paraId="4B9EDE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C05429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87A26A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3</w:t>
            </w:r>
          </w:p>
        </w:tc>
        <w:tc>
          <w:tcPr>
            <w:tcW w:w="2163" w:type="dxa"/>
            <w:tcBorders>
              <w:tl2br w:val="nil"/>
              <w:tr2bl w:val="nil"/>
            </w:tcBorders>
            <w:noWrap w:val="0"/>
            <w:vAlign w:val="center"/>
          </w:tcPr>
          <w:p w14:paraId="1DA413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上马社区</w:t>
            </w:r>
          </w:p>
        </w:tc>
        <w:tc>
          <w:tcPr>
            <w:tcW w:w="987" w:type="dxa"/>
            <w:tcBorders>
              <w:tl2br w:val="nil"/>
              <w:tr2bl w:val="nil"/>
            </w:tcBorders>
            <w:noWrap w:val="0"/>
            <w:vAlign w:val="center"/>
          </w:tcPr>
          <w:p w14:paraId="761FE91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7D85D06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2765-3240</w:t>
            </w:r>
          </w:p>
        </w:tc>
        <w:tc>
          <w:tcPr>
            <w:tcW w:w="1088" w:type="dxa"/>
            <w:gridSpan w:val="2"/>
            <w:tcBorders>
              <w:tl2br w:val="nil"/>
              <w:tr2bl w:val="nil"/>
            </w:tcBorders>
            <w:noWrap w:val="0"/>
            <w:vAlign w:val="center"/>
          </w:tcPr>
          <w:p w14:paraId="682B746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居民</w:t>
            </w:r>
          </w:p>
        </w:tc>
        <w:tc>
          <w:tcPr>
            <w:tcW w:w="821" w:type="dxa"/>
            <w:vMerge w:val="continue"/>
            <w:tcBorders>
              <w:tl2br w:val="nil"/>
              <w:tr2bl w:val="nil"/>
            </w:tcBorders>
            <w:noWrap w:val="0"/>
            <w:vAlign w:val="center"/>
          </w:tcPr>
          <w:p w14:paraId="53ED78C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692AC6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1500</w:t>
            </w:r>
          </w:p>
        </w:tc>
      </w:tr>
      <w:tr w14:paraId="07DE83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0E0F68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763245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4</w:t>
            </w:r>
          </w:p>
        </w:tc>
        <w:tc>
          <w:tcPr>
            <w:tcW w:w="2163" w:type="dxa"/>
            <w:tcBorders>
              <w:tl2br w:val="nil"/>
              <w:tr2bl w:val="nil"/>
            </w:tcBorders>
            <w:noWrap w:val="0"/>
            <w:vAlign w:val="center"/>
          </w:tcPr>
          <w:p w14:paraId="7A60E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上马学校</w:t>
            </w:r>
          </w:p>
        </w:tc>
        <w:tc>
          <w:tcPr>
            <w:tcW w:w="987" w:type="dxa"/>
            <w:tcBorders>
              <w:tl2br w:val="nil"/>
              <w:tr2bl w:val="nil"/>
            </w:tcBorders>
            <w:noWrap w:val="0"/>
            <w:vAlign w:val="center"/>
          </w:tcPr>
          <w:p w14:paraId="790F799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12893F2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2980-3080</w:t>
            </w:r>
          </w:p>
        </w:tc>
        <w:tc>
          <w:tcPr>
            <w:tcW w:w="1088" w:type="dxa"/>
            <w:gridSpan w:val="2"/>
            <w:tcBorders>
              <w:tl2br w:val="nil"/>
              <w:tr2bl w:val="nil"/>
            </w:tcBorders>
            <w:noWrap w:val="0"/>
            <w:vAlign w:val="center"/>
          </w:tcPr>
          <w:p w14:paraId="51D42DD2">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学校</w:t>
            </w:r>
          </w:p>
        </w:tc>
        <w:tc>
          <w:tcPr>
            <w:tcW w:w="821" w:type="dxa"/>
            <w:vMerge w:val="continue"/>
            <w:tcBorders>
              <w:tl2br w:val="nil"/>
              <w:tr2bl w:val="nil"/>
            </w:tcBorders>
            <w:noWrap w:val="0"/>
            <w:vAlign w:val="center"/>
          </w:tcPr>
          <w:p w14:paraId="4A8F848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1B6F9C1">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0"/>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500</w:t>
            </w:r>
          </w:p>
        </w:tc>
      </w:tr>
      <w:tr w14:paraId="3F6979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D37032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BB1490D">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5</w:t>
            </w:r>
          </w:p>
        </w:tc>
        <w:tc>
          <w:tcPr>
            <w:tcW w:w="2163" w:type="dxa"/>
            <w:tcBorders>
              <w:tl2br w:val="nil"/>
              <w:tr2bl w:val="nil"/>
            </w:tcBorders>
            <w:noWrap w:val="0"/>
            <w:vAlign w:val="center"/>
          </w:tcPr>
          <w:p w14:paraId="61FEAB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咀背骆</w:t>
            </w:r>
          </w:p>
        </w:tc>
        <w:tc>
          <w:tcPr>
            <w:tcW w:w="987" w:type="dxa"/>
            <w:tcBorders>
              <w:tl2br w:val="nil"/>
              <w:tr2bl w:val="nil"/>
            </w:tcBorders>
            <w:noWrap w:val="0"/>
            <w:vAlign w:val="center"/>
          </w:tcPr>
          <w:p w14:paraId="32DFE35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2E57ADC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1815-2615</w:t>
            </w:r>
          </w:p>
        </w:tc>
        <w:tc>
          <w:tcPr>
            <w:tcW w:w="1088" w:type="dxa"/>
            <w:gridSpan w:val="2"/>
            <w:tcBorders>
              <w:tl2br w:val="nil"/>
              <w:tr2bl w:val="nil"/>
            </w:tcBorders>
            <w:noWrap w:val="0"/>
            <w:vAlign w:val="center"/>
          </w:tcPr>
          <w:p w14:paraId="5747794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居民</w:t>
            </w:r>
          </w:p>
        </w:tc>
        <w:tc>
          <w:tcPr>
            <w:tcW w:w="821" w:type="dxa"/>
            <w:vMerge w:val="continue"/>
            <w:tcBorders>
              <w:tl2br w:val="nil"/>
              <w:tr2bl w:val="nil"/>
            </w:tcBorders>
            <w:noWrap w:val="0"/>
            <w:vAlign w:val="center"/>
          </w:tcPr>
          <w:p w14:paraId="2DFF481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7619F1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w:t>
            </w:r>
          </w:p>
        </w:tc>
      </w:tr>
      <w:tr w14:paraId="02FEAE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060C76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FEA410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6</w:t>
            </w:r>
          </w:p>
        </w:tc>
        <w:tc>
          <w:tcPr>
            <w:tcW w:w="2163" w:type="dxa"/>
            <w:tcBorders>
              <w:tl2br w:val="nil"/>
              <w:tr2bl w:val="nil"/>
            </w:tcBorders>
            <w:noWrap w:val="0"/>
            <w:vAlign w:val="center"/>
          </w:tcPr>
          <w:p w14:paraId="4D4E4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四方屋</w:t>
            </w:r>
          </w:p>
        </w:tc>
        <w:tc>
          <w:tcPr>
            <w:tcW w:w="987" w:type="dxa"/>
            <w:tcBorders>
              <w:tl2br w:val="nil"/>
              <w:tr2bl w:val="nil"/>
            </w:tcBorders>
            <w:noWrap w:val="0"/>
            <w:vAlign w:val="center"/>
          </w:tcPr>
          <w:p w14:paraId="03BE17C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2F4D2F4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2078-2770</w:t>
            </w:r>
          </w:p>
        </w:tc>
        <w:tc>
          <w:tcPr>
            <w:tcW w:w="1088" w:type="dxa"/>
            <w:gridSpan w:val="2"/>
            <w:tcBorders>
              <w:tl2br w:val="nil"/>
              <w:tr2bl w:val="nil"/>
            </w:tcBorders>
            <w:noWrap w:val="0"/>
            <w:vAlign w:val="center"/>
          </w:tcPr>
          <w:p w14:paraId="5C474C7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居民</w:t>
            </w:r>
          </w:p>
        </w:tc>
        <w:tc>
          <w:tcPr>
            <w:tcW w:w="821" w:type="dxa"/>
            <w:vMerge w:val="continue"/>
            <w:tcBorders>
              <w:tl2br w:val="nil"/>
              <w:tr2bl w:val="nil"/>
            </w:tcBorders>
            <w:noWrap w:val="0"/>
            <w:vAlign w:val="center"/>
          </w:tcPr>
          <w:p w14:paraId="1BA9841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543CDC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olor w:val="auto"/>
                <w:highlight w:val="none"/>
                <w:u w:val="none" w:color="auto"/>
                <w:lang w:val="en-US" w:eastAsia="zh-CN"/>
              </w:rPr>
              <w:t>200</w:t>
            </w:r>
          </w:p>
        </w:tc>
      </w:tr>
      <w:tr w14:paraId="640F50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BBDC5C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3D32E8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7</w:t>
            </w:r>
          </w:p>
        </w:tc>
        <w:tc>
          <w:tcPr>
            <w:tcW w:w="2163" w:type="dxa"/>
            <w:tcBorders>
              <w:tl2br w:val="nil"/>
              <w:tr2bl w:val="nil"/>
            </w:tcBorders>
            <w:noWrap w:val="0"/>
            <w:vAlign w:val="center"/>
          </w:tcPr>
          <w:p w14:paraId="43469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团山花园</w:t>
            </w:r>
          </w:p>
        </w:tc>
        <w:tc>
          <w:tcPr>
            <w:tcW w:w="987" w:type="dxa"/>
            <w:tcBorders>
              <w:tl2br w:val="nil"/>
              <w:tr2bl w:val="nil"/>
            </w:tcBorders>
            <w:noWrap w:val="0"/>
            <w:vAlign w:val="center"/>
          </w:tcPr>
          <w:p w14:paraId="7B68D07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008C45B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1600-2630</w:t>
            </w:r>
          </w:p>
        </w:tc>
        <w:tc>
          <w:tcPr>
            <w:tcW w:w="1088" w:type="dxa"/>
            <w:gridSpan w:val="2"/>
            <w:tcBorders>
              <w:tl2br w:val="nil"/>
              <w:tr2bl w:val="nil"/>
            </w:tcBorders>
            <w:noWrap w:val="0"/>
            <w:vAlign w:val="center"/>
          </w:tcPr>
          <w:p w14:paraId="48C0D75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居民</w:t>
            </w:r>
          </w:p>
        </w:tc>
        <w:tc>
          <w:tcPr>
            <w:tcW w:w="821" w:type="dxa"/>
            <w:vMerge w:val="continue"/>
            <w:tcBorders>
              <w:tl2br w:val="nil"/>
              <w:tr2bl w:val="nil"/>
            </w:tcBorders>
            <w:noWrap w:val="0"/>
            <w:vAlign w:val="center"/>
          </w:tcPr>
          <w:p w14:paraId="6AB1BA7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40DE92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1000</w:t>
            </w:r>
          </w:p>
        </w:tc>
      </w:tr>
      <w:tr w14:paraId="5BB649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1BE291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B8F8A9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8</w:t>
            </w:r>
          </w:p>
        </w:tc>
        <w:tc>
          <w:tcPr>
            <w:tcW w:w="2163" w:type="dxa"/>
            <w:tcBorders>
              <w:tl2br w:val="nil"/>
              <w:tr2bl w:val="nil"/>
            </w:tcBorders>
            <w:noWrap w:val="0"/>
            <w:vAlign w:val="center"/>
          </w:tcPr>
          <w:p w14:paraId="4F4643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团山学校</w:t>
            </w:r>
          </w:p>
        </w:tc>
        <w:tc>
          <w:tcPr>
            <w:tcW w:w="987" w:type="dxa"/>
            <w:tcBorders>
              <w:tl2br w:val="nil"/>
              <w:tr2bl w:val="nil"/>
            </w:tcBorders>
            <w:noWrap w:val="0"/>
            <w:vAlign w:val="center"/>
          </w:tcPr>
          <w:p w14:paraId="0287643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5779B40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2210-2338</w:t>
            </w:r>
          </w:p>
        </w:tc>
        <w:tc>
          <w:tcPr>
            <w:tcW w:w="1088" w:type="dxa"/>
            <w:gridSpan w:val="2"/>
            <w:tcBorders>
              <w:tl2br w:val="nil"/>
              <w:tr2bl w:val="nil"/>
            </w:tcBorders>
            <w:noWrap w:val="0"/>
            <w:vAlign w:val="center"/>
          </w:tcPr>
          <w:p w14:paraId="24050FF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学校</w:t>
            </w:r>
          </w:p>
        </w:tc>
        <w:tc>
          <w:tcPr>
            <w:tcW w:w="821" w:type="dxa"/>
            <w:vMerge w:val="continue"/>
            <w:tcBorders>
              <w:tl2br w:val="nil"/>
              <w:tr2bl w:val="nil"/>
            </w:tcBorders>
            <w:noWrap w:val="0"/>
            <w:vAlign w:val="center"/>
          </w:tcPr>
          <w:p w14:paraId="5C6B681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DF75C2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500</w:t>
            </w:r>
          </w:p>
        </w:tc>
      </w:tr>
      <w:tr w14:paraId="1CC0BA8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352AD3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969F09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9</w:t>
            </w:r>
          </w:p>
        </w:tc>
        <w:tc>
          <w:tcPr>
            <w:tcW w:w="2163" w:type="dxa"/>
            <w:tcBorders>
              <w:tl2br w:val="nil"/>
              <w:tr2bl w:val="nil"/>
            </w:tcBorders>
            <w:noWrap w:val="0"/>
            <w:vAlign w:val="center"/>
          </w:tcPr>
          <w:p w14:paraId="5D7ABD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汨罗市职业中专学校工业园分校</w:t>
            </w:r>
          </w:p>
        </w:tc>
        <w:tc>
          <w:tcPr>
            <w:tcW w:w="987" w:type="dxa"/>
            <w:tcBorders>
              <w:tl2br w:val="nil"/>
              <w:tr2bl w:val="nil"/>
            </w:tcBorders>
            <w:noWrap w:val="0"/>
            <w:vAlign w:val="center"/>
          </w:tcPr>
          <w:p w14:paraId="2AD2A8F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北</w:t>
            </w:r>
          </w:p>
        </w:tc>
        <w:tc>
          <w:tcPr>
            <w:tcW w:w="1187" w:type="dxa"/>
            <w:gridSpan w:val="3"/>
            <w:tcBorders>
              <w:tl2br w:val="nil"/>
              <w:tr2bl w:val="nil"/>
            </w:tcBorders>
            <w:noWrap w:val="0"/>
            <w:vAlign w:val="center"/>
          </w:tcPr>
          <w:p w14:paraId="208810C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1495-1755</w:t>
            </w:r>
          </w:p>
        </w:tc>
        <w:tc>
          <w:tcPr>
            <w:tcW w:w="1088" w:type="dxa"/>
            <w:gridSpan w:val="2"/>
            <w:tcBorders>
              <w:tl2br w:val="nil"/>
              <w:tr2bl w:val="nil"/>
            </w:tcBorders>
            <w:noWrap w:val="0"/>
            <w:vAlign w:val="center"/>
          </w:tcPr>
          <w:p w14:paraId="14E4A595">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学校</w:t>
            </w:r>
          </w:p>
        </w:tc>
        <w:tc>
          <w:tcPr>
            <w:tcW w:w="821" w:type="dxa"/>
            <w:vMerge w:val="continue"/>
            <w:tcBorders>
              <w:tl2br w:val="nil"/>
              <w:tr2bl w:val="nil"/>
            </w:tcBorders>
            <w:noWrap w:val="0"/>
            <w:vAlign w:val="center"/>
          </w:tcPr>
          <w:p w14:paraId="2B49E8B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48DA002">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800</w:t>
            </w:r>
          </w:p>
        </w:tc>
      </w:tr>
      <w:tr w14:paraId="0091BE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A649C7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BDB0FB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10</w:t>
            </w:r>
          </w:p>
        </w:tc>
        <w:tc>
          <w:tcPr>
            <w:tcW w:w="2163" w:type="dxa"/>
            <w:tcBorders>
              <w:tl2br w:val="nil"/>
              <w:tr2bl w:val="nil"/>
            </w:tcBorders>
            <w:noWrap w:val="0"/>
            <w:vAlign w:val="center"/>
          </w:tcPr>
          <w:p w14:paraId="6DBF01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汨罗市政务中心</w:t>
            </w:r>
          </w:p>
        </w:tc>
        <w:tc>
          <w:tcPr>
            <w:tcW w:w="987" w:type="dxa"/>
            <w:tcBorders>
              <w:tl2br w:val="nil"/>
              <w:tr2bl w:val="nil"/>
            </w:tcBorders>
            <w:noWrap w:val="0"/>
            <w:vAlign w:val="center"/>
          </w:tcPr>
          <w:p w14:paraId="2143BC3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3C16DC5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1455-1560</w:t>
            </w:r>
          </w:p>
        </w:tc>
        <w:tc>
          <w:tcPr>
            <w:tcW w:w="1088" w:type="dxa"/>
            <w:gridSpan w:val="2"/>
            <w:tcBorders>
              <w:tl2br w:val="nil"/>
              <w:tr2bl w:val="nil"/>
            </w:tcBorders>
            <w:noWrap w:val="0"/>
            <w:vAlign w:val="center"/>
          </w:tcPr>
          <w:p w14:paraId="48014E4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政府单位</w:t>
            </w:r>
          </w:p>
        </w:tc>
        <w:tc>
          <w:tcPr>
            <w:tcW w:w="821" w:type="dxa"/>
            <w:vMerge w:val="continue"/>
            <w:tcBorders>
              <w:tl2br w:val="nil"/>
              <w:tr2bl w:val="nil"/>
            </w:tcBorders>
            <w:noWrap w:val="0"/>
            <w:vAlign w:val="center"/>
          </w:tcPr>
          <w:p w14:paraId="572426E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304C1A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300</w:t>
            </w:r>
          </w:p>
        </w:tc>
      </w:tr>
      <w:tr w14:paraId="3B5256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BF698B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40A6DC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11</w:t>
            </w:r>
          </w:p>
        </w:tc>
        <w:tc>
          <w:tcPr>
            <w:tcW w:w="2163" w:type="dxa"/>
            <w:tcBorders>
              <w:tl2br w:val="nil"/>
              <w:tr2bl w:val="nil"/>
            </w:tcBorders>
            <w:noWrap w:val="0"/>
            <w:vAlign w:val="center"/>
          </w:tcPr>
          <w:p w14:paraId="0A3F7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汨罗高新技术产业开发区管委会</w:t>
            </w:r>
          </w:p>
        </w:tc>
        <w:tc>
          <w:tcPr>
            <w:tcW w:w="987" w:type="dxa"/>
            <w:tcBorders>
              <w:tl2br w:val="nil"/>
              <w:tr2bl w:val="nil"/>
            </w:tcBorders>
            <w:noWrap w:val="0"/>
            <w:vAlign w:val="center"/>
          </w:tcPr>
          <w:p w14:paraId="6F0F227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北</w:t>
            </w:r>
          </w:p>
        </w:tc>
        <w:tc>
          <w:tcPr>
            <w:tcW w:w="1187" w:type="dxa"/>
            <w:gridSpan w:val="3"/>
            <w:tcBorders>
              <w:tl2br w:val="nil"/>
              <w:tr2bl w:val="nil"/>
            </w:tcBorders>
            <w:noWrap w:val="0"/>
            <w:vAlign w:val="center"/>
          </w:tcPr>
          <w:p w14:paraId="3538486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1365</w:t>
            </w:r>
          </w:p>
        </w:tc>
        <w:tc>
          <w:tcPr>
            <w:tcW w:w="1088" w:type="dxa"/>
            <w:gridSpan w:val="2"/>
            <w:tcBorders>
              <w:tl2br w:val="nil"/>
              <w:tr2bl w:val="nil"/>
            </w:tcBorders>
            <w:noWrap w:val="0"/>
            <w:vAlign w:val="center"/>
          </w:tcPr>
          <w:p w14:paraId="2114B9E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政府单位</w:t>
            </w:r>
          </w:p>
        </w:tc>
        <w:tc>
          <w:tcPr>
            <w:tcW w:w="821" w:type="dxa"/>
            <w:vMerge w:val="continue"/>
            <w:tcBorders>
              <w:tl2br w:val="nil"/>
              <w:tr2bl w:val="nil"/>
            </w:tcBorders>
            <w:noWrap w:val="0"/>
            <w:vAlign w:val="center"/>
          </w:tcPr>
          <w:p w14:paraId="6BCFD88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CE0F10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100</w:t>
            </w:r>
          </w:p>
        </w:tc>
      </w:tr>
      <w:tr w14:paraId="00A405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718B43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924475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12</w:t>
            </w:r>
          </w:p>
        </w:tc>
        <w:tc>
          <w:tcPr>
            <w:tcW w:w="2163" w:type="dxa"/>
            <w:tcBorders>
              <w:tl2br w:val="nil"/>
              <w:tr2bl w:val="nil"/>
            </w:tcBorders>
            <w:noWrap w:val="0"/>
            <w:vAlign w:val="center"/>
          </w:tcPr>
          <w:p w14:paraId="1A0341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安置小区</w:t>
            </w:r>
          </w:p>
        </w:tc>
        <w:tc>
          <w:tcPr>
            <w:tcW w:w="987" w:type="dxa"/>
            <w:tcBorders>
              <w:tl2br w:val="nil"/>
              <w:tr2bl w:val="nil"/>
            </w:tcBorders>
            <w:noWrap w:val="0"/>
            <w:vAlign w:val="center"/>
          </w:tcPr>
          <w:p w14:paraId="63210CE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东北</w:t>
            </w:r>
          </w:p>
        </w:tc>
        <w:tc>
          <w:tcPr>
            <w:tcW w:w="1187" w:type="dxa"/>
            <w:gridSpan w:val="3"/>
            <w:tcBorders>
              <w:tl2br w:val="nil"/>
              <w:tr2bl w:val="nil"/>
            </w:tcBorders>
            <w:noWrap w:val="0"/>
            <w:vAlign w:val="center"/>
          </w:tcPr>
          <w:p w14:paraId="158F403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1700-1970</w:t>
            </w:r>
          </w:p>
        </w:tc>
        <w:tc>
          <w:tcPr>
            <w:tcW w:w="1088" w:type="dxa"/>
            <w:gridSpan w:val="2"/>
            <w:tcBorders>
              <w:tl2br w:val="nil"/>
              <w:tr2bl w:val="nil"/>
            </w:tcBorders>
            <w:noWrap w:val="0"/>
            <w:vAlign w:val="center"/>
          </w:tcPr>
          <w:p w14:paraId="34BB58D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0A64934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BE9C5E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lang w:val="en-US" w:eastAsia="zh-CN"/>
              </w:rPr>
              <w:t>500</w:t>
            </w:r>
          </w:p>
        </w:tc>
      </w:tr>
      <w:tr w14:paraId="714254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84DCB7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BF91FED">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13</w:t>
            </w:r>
          </w:p>
        </w:tc>
        <w:tc>
          <w:tcPr>
            <w:tcW w:w="2163" w:type="dxa"/>
            <w:tcBorders>
              <w:tl2br w:val="nil"/>
              <w:tr2bl w:val="nil"/>
            </w:tcBorders>
            <w:noWrap w:val="0"/>
            <w:vAlign w:val="center"/>
          </w:tcPr>
          <w:p w14:paraId="3C2A6E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龙舟安置小区</w:t>
            </w:r>
          </w:p>
        </w:tc>
        <w:tc>
          <w:tcPr>
            <w:tcW w:w="987" w:type="dxa"/>
            <w:tcBorders>
              <w:tl2br w:val="nil"/>
              <w:tr2bl w:val="nil"/>
            </w:tcBorders>
            <w:noWrap w:val="0"/>
            <w:vAlign w:val="center"/>
          </w:tcPr>
          <w:p w14:paraId="07B63EB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5FD8172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2370-2485</w:t>
            </w:r>
          </w:p>
        </w:tc>
        <w:tc>
          <w:tcPr>
            <w:tcW w:w="1088" w:type="dxa"/>
            <w:gridSpan w:val="2"/>
            <w:tcBorders>
              <w:tl2br w:val="nil"/>
              <w:tr2bl w:val="nil"/>
            </w:tcBorders>
            <w:noWrap w:val="0"/>
            <w:vAlign w:val="center"/>
          </w:tcPr>
          <w:p w14:paraId="714D9BB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居民</w:t>
            </w:r>
          </w:p>
        </w:tc>
        <w:tc>
          <w:tcPr>
            <w:tcW w:w="821" w:type="dxa"/>
            <w:vMerge w:val="continue"/>
            <w:tcBorders>
              <w:tl2br w:val="nil"/>
              <w:tr2bl w:val="nil"/>
            </w:tcBorders>
            <w:noWrap w:val="0"/>
            <w:vAlign w:val="center"/>
          </w:tcPr>
          <w:p w14:paraId="6BF0B13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5D1B36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75</w:t>
            </w:r>
          </w:p>
        </w:tc>
      </w:tr>
      <w:tr w14:paraId="02991F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6CAF9C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A93D45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14</w:t>
            </w:r>
          </w:p>
        </w:tc>
        <w:tc>
          <w:tcPr>
            <w:tcW w:w="2163" w:type="dxa"/>
            <w:tcBorders>
              <w:tl2br w:val="nil"/>
              <w:tr2bl w:val="nil"/>
            </w:tcBorders>
            <w:noWrap w:val="0"/>
            <w:vAlign w:val="center"/>
          </w:tcPr>
          <w:p w14:paraId="3702C2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晏家冲</w:t>
            </w:r>
          </w:p>
        </w:tc>
        <w:tc>
          <w:tcPr>
            <w:tcW w:w="987" w:type="dxa"/>
            <w:tcBorders>
              <w:tl2br w:val="nil"/>
              <w:tr2bl w:val="nil"/>
            </w:tcBorders>
            <w:noWrap w:val="0"/>
            <w:vAlign w:val="center"/>
          </w:tcPr>
          <w:p w14:paraId="6516CAE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2F76878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1845-2535</w:t>
            </w:r>
          </w:p>
        </w:tc>
        <w:tc>
          <w:tcPr>
            <w:tcW w:w="1088" w:type="dxa"/>
            <w:gridSpan w:val="2"/>
            <w:tcBorders>
              <w:tl2br w:val="nil"/>
              <w:tr2bl w:val="nil"/>
            </w:tcBorders>
            <w:noWrap w:val="0"/>
            <w:vAlign w:val="center"/>
          </w:tcPr>
          <w:p w14:paraId="6FF8605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居民</w:t>
            </w:r>
          </w:p>
        </w:tc>
        <w:tc>
          <w:tcPr>
            <w:tcW w:w="821" w:type="dxa"/>
            <w:vMerge w:val="continue"/>
            <w:tcBorders>
              <w:tl2br w:val="nil"/>
              <w:tr2bl w:val="nil"/>
            </w:tcBorders>
            <w:noWrap w:val="0"/>
            <w:vAlign w:val="center"/>
          </w:tcPr>
          <w:p w14:paraId="6C656DE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E5FA02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150</w:t>
            </w:r>
          </w:p>
        </w:tc>
      </w:tr>
      <w:tr w14:paraId="3E3EDC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B5106B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EA7B2F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15</w:t>
            </w:r>
          </w:p>
        </w:tc>
        <w:tc>
          <w:tcPr>
            <w:tcW w:w="2163" w:type="dxa"/>
            <w:tcBorders>
              <w:tl2br w:val="nil"/>
              <w:tr2bl w:val="nil"/>
            </w:tcBorders>
            <w:noWrap w:val="0"/>
            <w:vAlign w:val="center"/>
          </w:tcPr>
          <w:p w14:paraId="5CE70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石仑山村</w:t>
            </w:r>
          </w:p>
        </w:tc>
        <w:tc>
          <w:tcPr>
            <w:tcW w:w="987" w:type="dxa"/>
            <w:tcBorders>
              <w:tl2br w:val="nil"/>
              <w:tr2bl w:val="nil"/>
            </w:tcBorders>
            <w:noWrap w:val="0"/>
            <w:vAlign w:val="center"/>
          </w:tcPr>
          <w:p w14:paraId="1E2406A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ascii="Times New Roman" w:hAnsi="Times New Roman"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5C1FDEC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3040-3738</w:t>
            </w:r>
          </w:p>
        </w:tc>
        <w:tc>
          <w:tcPr>
            <w:tcW w:w="1088" w:type="dxa"/>
            <w:gridSpan w:val="2"/>
            <w:tcBorders>
              <w:tl2br w:val="nil"/>
              <w:tr2bl w:val="nil"/>
            </w:tcBorders>
            <w:noWrap w:val="0"/>
            <w:vAlign w:val="center"/>
          </w:tcPr>
          <w:p w14:paraId="1EAD7D8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629A3C6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FBCFF4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600</w:t>
            </w:r>
          </w:p>
        </w:tc>
      </w:tr>
      <w:tr w14:paraId="41FAFB6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A37F55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A27105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16</w:t>
            </w:r>
          </w:p>
        </w:tc>
        <w:tc>
          <w:tcPr>
            <w:tcW w:w="2163" w:type="dxa"/>
            <w:tcBorders>
              <w:tl2br w:val="nil"/>
              <w:tr2bl w:val="nil"/>
            </w:tcBorders>
            <w:noWrap w:val="0"/>
            <w:vAlign w:val="center"/>
          </w:tcPr>
          <w:p w14:paraId="2AA30B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枫家岭</w:t>
            </w:r>
          </w:p>
        </w:tc>
        <w:tc>
          <w:tcPr>
            <w:tcW w:w="987" w:type="dxa"/>
            <w:tcBorders>
              <w:tl2br w:val="nil"/>
              <w:tr2bl w:val="nil"/>
            </w:tcBorders>
            <w:noWrap w:val="0"/>
            <w:vAlign w:val="center"/>
          </w:tcPr>
          <w:p w14:paraId="6DC5F1D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6D223B4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2685-3225</w:t>
            </w:r>
          </w:p>
        </w:tc>
        <w:tc>
          <w:tcPr>
            <w:tcW w:w="1088" w:type="dxa"/>
            <w:gridSpan w:val="2"/>
            <w:tcBorders>
              <w:tl2br w:val="nil"/>
              <w:tr2bl w:val="nil"/>
            </w:tcBorders>
            <w:noWrap w:val="0"/>
            <w:vAlign w:val="center"/>
          </w:tcPr>
          <w:p w14:paraId="21A9479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0A7623B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D080EF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lang w:val="en-US" w:eastAsia="zh-CN"/>
              </w:rPr>
              <w:t>800</w:t>
            </w:r>
          </w:p>
        </w:tc>
      </w:tr>
      <w:tr w14:paraId="3BCC888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15CD1A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74FC45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17</w:t>
            </w:r>
          </w:p>
        </w:tc>
        <w:tc>
          <w:tcPr>
            <w:tcW w:w="2163" w:type="dxa"/>
            <w:tcBorders>
              <w:tl2br w:val="nil"/>
              <w:tr2bl w:val="nil"/>
            </w:tcBorders>
            <w:noWrap w:val="0"/>
            <w:vAlign w:val="center"/>
          </w:tcPr>
          <w:p w14:paraId="0D707A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新市中学</w:t>
            </w:r>
          </w:p>
        </w:tc>
        <w:tc>
          <w:tcPr>
            <w:tcW w:w="987" w:type="dxa"/>
            <w:tcBorders>
              <w:tl2br w:val="nil"/>
              <w:tr2bl w:val="nil"/>
            </w:tcBorders>
            <w:noWrap w:val="0"/>
            <w:vAlign w:val="center"/>
          </w:tcPr>
          <w:p w14:paraId="3B082E8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0C31373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1275-1650</w:t>
            </w:r>
          </w:p>
        </w:tc>
        <w:tc>
          <w:tcPr>
            <w:tcW w:w="1088" w:type="dxa"/>
            <w:gridSpan w:val="2"/>
            <w:tcBorders>
              <w:tl2br w:val="nil"/>
              <w:tr2bl w:val="nil"/>
            </w:tcBorders>
            <w:noWrap w:val="0"/>
            <w:vAlign w:val="center"/>
          </w:tcPr>
          <w:p w14:paraId="305A376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师生</w:t>
            </w:r>
          </w:p>
        </w:tc>
        <w:tc>
          <w:tcPr>
            <w:tcW w:w="821" w:type="dxa"/>
            <w:vMerge w:val="continue"/>
            <w:tcBorders>
              <w:tl2br w:val="nil"/>
              <w:tr2bl w:val="nil"/>
            </w:tcBorders>
            <w:noWrap w:val="0"/>
            <w:vAlign w:val="center"/>
          </w:tcPr>
          <w:p w14:paraId="3C6294F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47692F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2000</w:t>
            </w:r>
          </w:p>
        </w:tc>
      </w:tr>
      <w:tr w14:paraId="6DF620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AA398B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B12725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18</w:t>
            </w:r>
          </w:p>
        </w:tc>
        <w:tc>
          <w:tcPr>
            <w:tcW w:w="2163" w:type="dxa"/>
            <w:tcBorders>
              <w:tl2br w:val="nil"/>
              <w:tr2bl w:val="nil"/>
            </w:tcBorders>
            <w:noWrap w:val="0"/>
            <w:vAlign w:val="center"/>
          </w:tcPr>
          <w:p w14:paraId="789F0D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新市中心小学</w:t>
            </w:r>
          </w:p>
        </w:tc>
        <w:tc>
          <w:tcPr>
            <w:tcW w:w="987" w:type="dxa"/>
            <w:tcBorders>
              <w:tl2br w:val="nil"/>
              <w:tr2bl w:val="nil"/>
            </w:tcBorders>
            <w:noWrap w:val="0"/>
            <w:vAlign w:val="center"/>
          </w:tcPr>
          <w:p w14:paraId="3080160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1F12ED4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1705-1795</w:t>
            </w:r>
          </w:p>
        </w:tc>
        <w:tc>
          <w:tcPr>
            <w:tcW w:w="1088" w:type="dxa"/>
            <w:gridSpan w:val="2"/>
            <w:tcBorders>
              <w:tl2br w:val="nil"/>
              <w:tr2bl w:val="nil"/>
            </w:tcBorders>
            <w:noWrap w:val="0"/>
            <w:vAlign w:val="center"/>
          </w:tcPr>
          <w:p w14:paraId="5A793A4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学校</w:t>
            </w:r>
          </w:p>
        </w:tc>
        <w:tc>
          <w:tcPr>
            <w:tcW w:w="821" w:type="dxa"/>
            <w:vMerge w:val="continue"/>
            <w:tcBorders>
              <w:tl2br w:val="nil"/>
              <w:tr2bl w:val="nil"/>
            </w:tcBorders>
            <w:noWrap w:val="0"/>
            <w:vAlign w:val="center"/>
          </w:tcPr>
          <w:p w14:paraId="3C6D669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D7B842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rPr>
              <w:t>800</w:t>
            </w:r>
          </w:p>
        </w:tc>
      </w:tr>
      <w:tr w14:paraId="5379F7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7583A8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2DA409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19</w:t>
            </w:r>
          </w:p>
        </w:tc>
        <w:tc>
          <w:tcPr>
            <w:tcW w:w="2163" w:type="dxa"/>
            <w:tcBorders>
              <w:tl2br w:val="nil"/>
              <w:tr2bl w:val="nil"/>
            </w:tcBorders>
            <w:noWrap w:val="0"/>
            <w:vAlign w:val="center"/>
          </w:tcPr>
          <w:p w14:paraId="34C5B9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新市镇街道</w:t>
            </w:r>
          </w:p>
        </w:tc>
        <w:tc>
          <w:tcPr>
            <w:tcW w:w="987" w:type="dxa"/>
            <w:tcBorders>
              <w:tl2br w:val="nil"/>
              <w:tr2bl w:val="nil"/>
            </w:tcBorders>
            <w:noWrap w:val="0"/>
            <w:vAlign w:val="center"/>
          </w:tcPr>
          <w:p w14:paraId="541BB70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0B7FFB2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698-1580</w:t>
            </w:r>
          </w:p>
        </w:tc>
        <w:tc>
          <w:tcPr>
            <w:tcW w:w="1088" w:type="dxa"/>
            <w:gridSpan w:val="2"/>
            <w:tcBorders>
              <w:tl2br w:val="nil"/>
              <w:tr2bl w:val="nil"/>
            </w:tcBorders>
            <w:noWrap w:val="0"/>
            <w:vAlign w:val="center"/>
          </w:tcPr>
          <w:p w14:paraId="7E72EA0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u w:val="none" w:color="auto"/>
                <w:lang w:val="en-US" w:eastAsia="zh-CN" w:bidi="ar"/>
              </w:rPr>
              <w:t>居住区、学校、医院</w:t>
            </w:r>
          </w:p>
        </w:tc>
        <w:tc>
          <w:tcPr>
            <w:tcW w:w="821" w:type="dxa"/>
            <w:vMerge w:val="continue"/>
            <w:tcBorders>
              <w:tl2br w:val="nil"/>
              <w:tr2bl w:val="nil"/>
            </w:tcBorders>
            <w:noWrap w:val="0"/>
            <w:vAlign w:val="center"/>
          </w:tcPr>
          <w:p w14:paraId="18C29A9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6413D5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lang w:val="en-US" w:eastAsia="zh-CN"/>
              </w:rPr>
              <w:t>10000</w:t>
            </w:r>
          </w:p>
        </w:tc>
      </w:tr>
      <w:tr w14:paraId="755A7E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9F55ED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79D2D7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20</w:t>
            </w:r>
          </w:p>
        </w:tc>
        <w:tc>
          <w:tcPr>
            <w:tcW w:w="2163" w:type="dxa"/>
            <w:tcBorders>
              <w:tl2br w:val="nil"/>
              <w:tr2bl w:val="nil"/>
            </w:tcBorders>
            <w:noWrap w:val="0"/>
            <w:vAlign w:val="center"/>
          </w:tcPr>
          <w:p w14:paraId="3055B0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楠竹山盐包石安置区</w:t>
            </w:r>
          </w:p>
        </w:tc>
        <w:tc>
          <w:tcPr>
            <w:tcW w:w="987" w:type="dxa"/>
            <w:tcBorders>
              <w:tl2br w:val="nil"/>
              <w:tr2bl w:val="nil"/>
            </w:tcBorders>
            <w:noWrap w:val="0"/>
            <w:vAlign w:val="center"/>
          </w:tcPr>
          <w:p w14:paraId="4D8BBFA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东北</w:t>
            </w:r>
          </w:p>
        </w:tc>
        <w:tc>
          <w:tcPr>
            <w:tcW w:w="1187" w:type="dxa"/>
            <w:gridSpan w:val="3"/>
            <w:tcBorders>
              <w:tl2br w:val="nil"/>
              <w:tr2bl w:val="nil"/>
            </w:tcBorders>
            <w:noWrap w:val="0"/>
            <w:vAlign w:val="center"/>
          </w:tcPr>
          <w:p w14:paraId="33D44DC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1960-2210</w:t>
            </w:r>
          </w:p>
        </w:tc>
        <w:tc>
          <w:tcPr>
            <w:tcW w:w="1088" w:type="dxa"/>
            <w:gridSpan w:val="2"/>
            <w:tcBorders>
              <w:tl2br w:val="nil"/>
              <w:tr2bl w:val="nil"/>
            </w:tcBorders>
            <w:noWrap w:val="0"/>
            <w:vAlign w:val="center"/>
          </w:tcPr>
          <w:p w14:paraId="6B2ACBE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46B53C2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41859B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800</w:t>
            </w:r>
          </w:p>
        </w:tc>
      </w:tr>
      <w:tr w14:paraId="78D2DA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72456F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4B14DC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21</w:t>
            </w:r>
          </w:p>
        </w:tc>
        <w:tc>
          <w:tcPr>
            <w:tcW w:w="2163" w:type="dxa"/>
            <w:tcBorders>
              <w:tl2br w:val="nil"/>
              <w:tr2bl w:val="nil"/>
            </w:tcBorders>
            <w:noWrap w:val="0"/>
            <w:vAlign w:val="center"/>
          </w:tcPr>
          <w:p w14:paraId="372982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集中安置区</w:t>
            </w:r>
          </w:p>
        </w:tc>
        <w:tc>
          <w:tcPr>
            <w:tcW w:w="987" w:type="dxa"/>
            <w:tcBorders>
              <w:tl2br w:val="nil"/>
              <w:tr2bl w:val="nil"/>
            </w:tcBorders>
            <w:noWrap w:val="0"/>
            <w:vAlign w:val="center"/>
          </w:tcPr>
          <w:p w14:paraId="75AE6A3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w:t>
            </w:r>
          </w:p>
        </w:tc>
        <w:tc>
          <w:tcPr>
            <w:tcW w:w="1187" w:type="dxa"/>
            <w:gridSpan w:val="3"/>
            <w:tcBorders>
              <w:tl2br w:val="nil"/>
              <w:tr2bl w:val="nil"/>
            </w:tcBorders>
            <w:noWrap w:val="0"/>
            <w:vAlign w:val="center"/>
          </w:tcPr>
          <w:p w14:paraId="1C5BDA0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1710-2225</w:t>
            </w:r>
          </w:p>
        </w:tc>
        <w:tc>
          <w:tcPr>
            <w:tcW w:w="1088" w:type="dxa"/>
            <w:gridSpan w:val="2"/>
            <w:tcBorders>
              <w:tl2br w:val="nil"/>
              <w:tr2bl w:val="nil"/>
            </w:tcBorders>
            <w:noWrap w:val="0"/>
            <w:vAlign w:val="center"/>
          </w:tcPr>
          <w:p w14:paraId="620DCFE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139E7B2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A51BCE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500</w:t>
            </w:r>
          </w:p>
        </w:tc>
      </w:tr>
      <w:tr w14:paraId="630CAE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D279C3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629F64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22</w:t>
            </w:r>
          </w:p>
        </w:tc>
        <w:tc>
          <w:tcPr>
            <w:tcW w:w="2163" w:type="dxa"/>
            <w:tcBorders>
              <w:tl2br w:val="nil"/>
              <w:tr2bl w:val="nil"/>
            </w:tcBorders>
            <w:noWrap w:val="0"/>
            <w:vAlign w:val="center"/>
          </w:tcPr>
          <w:p w14:paraId="55F32C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莲花塘</w:t>
            </w:r>
          </w:p>
        </w:tc>
        <w:tc>
          <w:tcPr>
            <w:tcW w:w="987" w:type="dxa"/>
            <w:tcBorders>
              <w:tl2br w:val="nil"/>
              <w:tr2bl w:val="nil"/>
            </w:tcBorders>
            <w:noWrap w:val="0"/>
            <w:vAlign w:val="center"/>
          </w:tcPr>
          <w:p w14:paraId="3A2A950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w:t>
            </w:r>
          </w:p>
        </w:tc>
        <w:tc>
          <w:tcPr>
            <w:tcW w:w="1187" w:type="dxa"/>
            <w:gridSpan w:val="3"/>
            <w:tcBorders>
              <w:tl2br w:val="nil"/>
              <w:tr2bl w:val="nil"/>
            </w:tcBorders>
            <w:noWrap w:val="0"/>
            <w:vAlign w:val="center"/>
          </w:tcPr>
          <w:p w14:paraId="1D8D910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915-1280</w:t>
            </w:r>
          </w:p>
        </w:tc>
        <w:tc>
          <w:tcPr>
            <w:tcW w:w="1088" w:type="dxa"/>
            <w:gridSpan w:val="2"/>
            <w:tcBorders>
              <w:tl2br w:val="nil"/>
              <w:tr2bl w:val="nil"/>
            </w:tcBorders>
            <w:noWrap w:val="0"/>
            <w:vAlign w:val="center"/>
          </w:tcPr>
          <w:p w14:paraId="1F9D835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居民</w:t>
            </w:r>
          </w:p>
        </w:tc>
        <w:tc>
          <w:tcPr>
            <w:tcW w:w="821" w:type="dxa"/>
            <w:vMerge w:val="continue"/>
            <w:tcBorders>
              <w:tl2br w:val="nil"/>
              <w:tr2bl w:val="nil"/>
            </w:tcBorders>
            <w:noWrap w:val="0"/>
            <w:vAlign w:val="center"/>
          </w:tcPr>
          <w:p w14:paraId="1B915D4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8AD7FB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240</w:t>
            </w:r>
          </w:p>
        </w:tc>
      </w:tr>
      <w:tr w14:paraId="379249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A5AC2D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1C9AEB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23</w:t>
            </w:r>
          </w:p>
        </w:tc>
        <w:tc>
          <w:tcPr>
            <w:tcW w:w="2163" w:type="dxa"/>
            <w:tcBorders>
              <w:tl2br w:val="nil"/>
              <w:tr2bl w:val="nil"/>
            </w:tcBorders>
            <w:noWrap w:val="0"/>
            <w:vAlign w:val="center"/>
          </w:tcPr>
          <w:p w14:paraId="762CDA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大塘湾</w:t>
            </w:r>
          </w:p>
        </w:tc>
        <w:tc>
          <w:tcPr>
            <w:tcW w:w="987" w:type="dxa"/>
            <w:tcBorders>
              <w:tl2br w:val="nil"/>
              <w:tr2bl w:val="nil"/>
            </w:tcBorders>
            <w:noWrap w:val="0"/>
            <w:vAlign w:val="center"/>
          </w:tcPr>
          <w:p w14:paraId="0C02CDA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东</w:t>
            </w:r>
          </w:p>
        </w:tc>
        <w:tc>
          <w:tcPr>
            <w:tcW w:w="1187" w:type="dxa"/>
            <w:gridSpan w:val="3"/>
            <w:tcBorders>
              <w:tl2br w:val="nil"/>
              <w:tr2bl w:val="nil"/>
            </w:tcBorders>
            <w:noWrap w:val="0"/>
            <w:vAlign w:val="center"/>
          </w:tcPr>
          <w:p w14:paraId="06B3CDE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1965-2380</w:t>
            </w:r>
          </w:p>
        </w:tc>
        <w:tc>
          <w:tcPr>
            <w:tcW w:w="1088" w:type="dxa"/>
            <w:gridSpan w:val="2"/>
            <w:tcBorders>
              <w:tl2br w:val="nil"/>
              <w:tr2bl w:val="nil"/>
            </w:tcBorders>
            <w:noWrap w:val="0"/>
            <w:vAlign w:val="center"/>
          </w:tcPr>
          <w:p w14:paraId="1E42207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2936E55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25BB2E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w:t>
            </w:r>
          </w:p>
        </w:tc>
      </w:tr>
      <w:tr w14:paraId="53C6E2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DCCFB5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06F39B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24</w:t>
            </w:r>
          </w:p>
        </w:tc>
        <w:tc>
          <w:tcPr>
            <w:tcW w:w="2163" w:type="dxa"/>
            <w:tcBorders>
              <w:tl2br w:val="nil"/>
              <w:tr2bl w:val="nil"/>
            </w:tcBorders>
            <w:noWrap w:val="0"/>
            <w:vAlign w:val="center"/>
          </w:tcPr>
          <w:p w14:paraId="39220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韩家屋</w:t>
            </w:r>
          </w:p>
        </w:tc>
        <w:tc>
          <w:tcPr>
            <w:tcW w:w="987" w:type="dxa"/>
            <w:tcBorders>
              <w:tl2br w:val="nil"/>
              <w:tr2bl w:val="nil"/>
            </w:tcBorders>
            <w:noWrap w:val="0"/>
            <w:vAlign w:val="center"/>
          </w:tcPr>
          <w:p w14:paraId="16DF1C7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10448AD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1060-1835</w:t>
            </w:r>
          </w:p>
        </w:tc>
        <w:tc>
          <w:tcPr>
            <w:tcW w:w="1088" w:type="dxa"/>
            <w:gridSpan w:val="2"/>
            <w:tcBorders>
              <w:tl2br w:val="nil"/>
              <w:tr2bl w:val="nil"/>
            </w:tcBorders>
            <w:noWrap w:val="0"/>
            <w:vAlign w:val="center"/>
          </w:tcPr>
          <w:p w14:paraId="7B87DFC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BA30D6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E1AF79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olor w:val="auto"/>
                <w:highlight w:val="none"/>
                <w:u w:val="none" w:color="auto"/>
                <w:lang w:val="en-US" w:eastAsia="zh-CN"/>
              </w:rPr>
              <w:t>180</w:t>
            </w:r>
          </w:p>
        </w:tc>
      </w:tr>
      <w:tr w14:paraId="4EFD76B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27C37E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22E30E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25</w:t>
            </w:r>
          </w:p>
        </w:tc>
        <w:tc>
          <w:tcPr>
            <w:tcW w:w="2163" w:type="dxa"/>
            <w:tcBorders>
              <w:tl2br w:val="nil"/>
              <w:tr2bl w:val="nil"/>
            </w:tcBorders>
            <w:noWrap w:val="0"/>
            <w:vAlign w:val="center"/>
          </w:tcPr>
          <w:p w14:paraId="5B033B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黄兴小区</w:t>
            </w:r>
          </w:p>
        </w:tc>
        <w:tc>
          <w:tcPr>
            <w:tcW w:w="987" w:type="dxa"/>
            <w:tcBorders>
              <w:tl2br w:val="nil"/>
              <w:tr2bl w:val="nil"/>
            </w:tcBorders>
            <w:noWrap w:val="0"/>
            <w:vAlign w:val="center"/>
          </w:tcPr>
          <w:p w14:paraId="3A3A18C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北</w:t>
            </w:r>
          </w:p>
        </w:tc>
        <w:tc>
          <w:tcPr>
            <w:tcW w:w="1187" w:type="dxa"/>
            <w:gridSpan w:val="3"/>
            <w:tcBorders>
              <w:tl2br w:val="nil"/>
              <w:tr2bl w:val="nil"/>
            </w:tcBorders>
            <w:noWrap w:val="0"/>
            <w:vAlign w:val="center"/>
          </w:tcPr>
          <w:p w14:paraId="4BC3772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267-675</w:t>
            </w:r>
          </w:p>
        </w:tc>
        <w:tc>
          <w:tcPr>
            <w:tcW w:w="1088" w:type="dxa"/>
            <w:gridSpan w:val="2"/>
            <w:tcBorders>
              <w:tl2br w:val="nil"/>
              <w:tr2bl w:val="nil"/>
            </w:tcBorders>
            <w:noWrap w:val="0"/>
            <w:vAlign w:val="center"/>
          </w:tcPr>
          <w:p w14:paraId="2D02D97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6E70E56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2C3322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800</w:t>
            </w:r>
          </w:p>
        </w:tc>
      </w:tr>
      <w:tr w14:paraId="5971CF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131FC7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95D6A9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26</w:t>
            </w:r>
          </w:p>
        </w:tc>
        <w:tc>
          <w:tcPr>
            <w:tcW w:w="2163" w:type="dxa"/>
            <w:tcBorders>
              <w:tl2br w:val="nil"/>
              <w:tr2bl w:val="nil"/>
            </w:tcBorders>
            <w:noWrap w:val="0"/>
            <w:vAlign w:val="center"/>
          </w:tcPr>
          <w:p w14:paraId="781467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新阳社区居民1</w:t>
            </w:r>
          </w:p>
        </w:tc>
        <w:tc>
          <w:tcPr>
            <w:tcW w:w="987" w:type="dxa"/>
            <w:tcBorders>
              <w:tl2br w:val="nil"/>
              <w:tr2bl w:val="nil"/>
            </w:tcBorders>
            <w:noWrap w:val="0"/>
            <w:vAlign w:val="center"/>
          </w:tcPr>
          <w:p w14:paraId="4C5C6BB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w:t>
            </w:r>
          </w:p>
        </w:tc>
        <w:tc>
          <w:tcPr>
            <w:tcW w:w="1187" w:type="dxa"/>
            <w:gridSpan w:val="3"/>
            <w:tcBorders>
              <w:tl2br w:val="nil"/>
              <w:tr2bl w:val="nil"/>
            </w:tcBorders>
            <w:noWrap w:val="0"/>
            <w:vAlign w:val="center"/>
          </w:tcPr>
          <w:p w14:paraId="788F00F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10-201</w:t>
            </w:r>
          </w:p>
        </w:tc>
        <w:tc>
          <w:tcPr>
            <w:tcW w:w="1088" w:type="dxa"/>
            <w:gridSpan w:val="2"/>
            <w:tcBorders>
              <w:tl2br w:val="nil"/>
              <w:tr2bl w:val="nil"/>
            </w:tcBorders>
            <w:noWrap w:val="0"/>
            <w:vAlign w:val="center"/>
          </w:tcPr>
          <w:p w14:paraId="51C4C90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7B2C3EC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03B3EE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80</w:t>
            </w:r>
          </w:p>
        </w:tc>
      </w:tr>
      <w:tr w14:paraId="537F7B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552C86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D355E6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27</w:t>
            </w:r>
          </w:p>
        </w:tc>
        <w:tc>
          <w:tcPr>
            <w:tcW w:w="2163" w:type="dxa"/>
            <w:tcBorders>
              <w:tl2br w:val="nil"/>
              <w:tr2bl w:val="nil"/>
            </w:tcBorders>
            <w:noWrap w:val="0"/>
            <w:vAlign w:val="center"/>
          </w:tcPr>
          <w:p w14:paraId="353A0D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丛羊村</w:t>
            </w:r>
          </w:p>
        </w:tc>
        <w:tc>
          <w:tcPr>
            <w:tcW w:w="987" w:type="dxa"/>
            <w:tcBorders>
              <w:tl2br w:val="nil"/>
              <w:tr2bl w:val="nil"/>
            </w:tcBorders>
            <w:noWrap w:val="0"/>
            <w:vAlign w:val="center"/>
          </w:tcPr>
          <w:p w14:paraId="3A6C328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2"/>
                <w:sz w:val="21"/>
                <w:szCs w:val="21"/>
                <w:u w:val="none" w:color="auto"/>
                <w:lang w:val="en-US" w:eastAsia="zh-CN" w:bidi="ar-SA"/>
              </w:rPr>
            </w:pPr>
            <w:r>
              <w:rPr>
                <w:rFonts w:hint="eastAsia" w:eastAsia="宋体" w:cs="Times New Roman"/>
                <w:i w:val="0"/>
                <w:iCs w:val="0"/>
                <w:color w:val="auto"/>
                <w:kern w:val="2"/>
                <w:sz w:val="21"/>
                <w:szCs w:val="21"/>
                <w:u w:val="none" w:color="auto"/>
                <w:lang w:val="en-US" w:eastAsia="zh-CN" w:bidi="ar-SA"/>
              </w:rPr>
              <w:t>西北</w:t>
            </w:r>
          </w:p>
        </w:tc>
        <w:tc>
          <w:tcPr>
            <w:tcW w:w="1187" w:type="dxa"/>
            <w:gridSpan w:val="3"/>
            <w:tcBorders>
              <w:tl2br w:val="nil"/>
              <w:tr2bl w:val="nil"/>
            </w:tcBorders>
            <w:noWrap w:val="0"/>
            <w:vAlign w:val="center"/>
          </w:tcPr>
          <w:p w14:paraId="0F678BB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925-1305</w:t>
            </w:r>
          </w:p>
        </w:tc>
        <w:tc>
          <w:tcPr>
            <w:tcW w:w="1088" w:type="dxa"/>
            <w:gridSpan w:val="2"/>
            <w:tcBorders>
              <w:tl2br w:val="nil"/>
              <w:tr2bl w:val="nil"/>
            </w:tcBorders>
            <w:noWrap w:val="0"/>
            <w:vAlign w:val="center"/>
          </w:tcPr>
          <w:p w14:paraId="34AD2BC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72A90B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E675CF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450</w:t>
            </w:r>
          </w:p>
        </w:tc>
      </w:tr>
      <w:tr w14:paraId="0BA8EDC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461F32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E895D6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28</w:t>
            </w:r>
          </w:p>
        </w:tc>
        <w:tc>
          <w:tcPr>
            <w:tcW w:w="2163" w:type="dxa"/>
            <w:tcBorders>
              <w:tl2br w:val="nil"/>
              <w:tr2bl w:val="nil"/>
            </w:tcBorders>
            <w:noWrap w:val="0"/>
            <w:vAlign w:val="center"/>
          </w:tcPr>
          <w:p w14:paraId="67881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塘冲</w:t>
            </w:r>
          </w:p>
        </w:tc>
        <w:tc>
          <w:tcPr>
            <w:tcW w:w="987" w:type="dxa"/>
            <w:tcBorders>
              <w:tl2br w:val="nil"/>
              <w:tr2bl w:val="nil"/>
            </w:tcBorders>
            <w:noWrap w:val="0"/>
            <w:vAlign w:val="center"/>
          </w:tcPr>
          <w:p w14:paraId="41C4ED4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w:t>
            </w:r>
          </w:p>
        </w:tc>
        <w:tc>
          <w:tcPr>
            <w:tcW w:w="1187" w:type="dxa"/>
            <w:gridSpan w:val="3"/>
            <w:tcBorders>
              <w:tl2br w:val="nil"/>
              <w:tr2bl w:val="nil"/>
            </w:tcBorders>
            <w:noWrap w:val="0"/>
            <w:vAlign w:val="center"/>
          </w:tcPr>
          <w:p w14:paraId="46D8FF4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1245-1610</w:t>
            </w:r>
          </w:p>
        </w:tc>
        <w:tc>
          <w:tcPr>
            <w:tcW w:w="1088" w:type="dxa"/>
            <w:gridSpan w:val="2"/>
            <w:tcBorders>
              <w:tl2br w:val="nil"/>
              <w:tr2bl w:val="nil"/>
            </w:tcBorders>
            <w:noWrap w:val="0"/>
            <w:vAlign w:val="center"/>
          </w:tcPr>
          <w:p w14:paraId="740701D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335F9DA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589A42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olor w:val="auto"/>
                <w:highlight w:val="none"/>
                <w:u w:val="none" w:color="auto"/>
                <w:lang w:val="en-US" w:eastAsia="zh-CN"/>
              </w:rPr>
              <w:t>150</w:t>
            </w:r>
          </w:p>
        </w:tc>
      </w:tr>
      <w:tr w14:paraId="19414E9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F2FC3D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F0C358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29</w:t>
            </w:r>
          </w:p>
        </w:tc>
        <w:tc>
          <w:tcPr>
            <w:tcW w:w="2163" w:type="dxa"/>
            <w:tcBorders>
              <w:tl2br w:val="nil"/>
              <w:tr2bl w:val="nil"/>
            </w:tcBorders>
            <w:noWrap w:val="0"/>
            <w:vAlign w:val="center"/>
          </w:tcPr>
          <w:p w14:paraId="5EC2F2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中科春天</w:t>
            </w:r>
          </w:p>
        </w:tc>
        <w:tc>
          <w:tcPr>
            <w:tcW w:w="987" w:type="dxa"/>
            <w:tcBorders>
              <w:tl2br w:val="nil"/>
              <w:tr2bl w:val="nil"/>
            </w:tcBorders>
            <w:noWrap w:val="0"/>
            <w:vAlign w:val="center"/>
          </w:tcPr>
          <w:p w14:paraId="6718D30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1187" w:type="dxa"/>
            <w:gridSpan w:val="3"/>
            <w:tcBorders>
              <w:tl2br w:val="nil"/>
              <w:tr2bl w:val="nil"/>
            </w:tcBorders>
            <w:noWrap w:val="0"/>
            <w:vAlign w:val="center"/>
          </w:tcPr>
          <w:p w14:paraId="6F369FF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205-445</w:t>
            </w:r>
          </w:p>
        </w:tc>
        <w:tc>
          <w:tcPr>
            <w:tcW w:w="1088" w:type="dxa"/>
            <w:gridSpan w:val="2"/>
            <w:tcBorders>
              <w:tl2br w:val="nil"/>
              <w:tr2bl w:val="nil"/>
            </w:tcBorders>
            <w:noWrap w:val="0"/>
            <w:vAlign w:val="center"/>
          </w:tcPr>
          <w:p w14:paraId="39F262F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6C80AE3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B66159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2000</w:t>
            </w:r>
          </w:p>
        </w:tc>
      </w:tr>
      <w:tr w14:paraId="412001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13C6CB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2AE7CD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30</w:t>
            </w:r>
          </w:p>
        </w:tc>
        <w:tc>
          <w:tcPr>
            <w:tcW w:w="2163" w:type="dxa"/>
            <w:tcBorders>
              <w:tl2br w:val="nil"/>
              <w:tr2bl w:val="nil"/>
            </w:tcBorders>
            <w:noWrap w:val="0"/>
            <w:vAlign w:val="center"/>
          </w:tcPr>
          <w:p w14:paraId="440654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中瑞状元府</w:t>
            </w:r>
          </w:p>
        </w:tc>
        <w:tc>
          <w:tcPr>
            <w:tcW w:w="987" w:type="dxa"/>
            <w:tcBorders>
              <w:tl2br w:val="nil"/>
              <w:tr2bl w:val="nil"/>
            </w:tcBorders>
            <w:noWrap w:val="0"/>
            <w:vAlign w:val="center"/>
          </w:tcPr>
          <w:p w14:paraId="5849628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1187" w:type="dxa"/>
            <w:gridSpan w:val="3"/>
            <w:tcBorders>
              <w:tl2br w:val="nil"/>
              <w:tr2bl w:val="nil"/>
            </w:tcBorders>
            <w:noWrap w:val="0"/>
            <w:vAlign w:val="center"/>
          </w:tcPr>
          <w:p w14:paraId="122E831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356-562</w:t>
            </w:r>
          </w:p>
        </w:tc>
        <w:tc>
          <w:tcPr>
            <w:tcW w:w="1088" w:type="dxa"/>
            <w:gridSpan w:val="2"/>
            <w:tcBorders>
              <w:tl2br w:val="nil"/>
              <w:tr2bl w:val="nil"/>
            </w:tcBorders>
            <w:noWrap w:val="0"/>
            <w:vAlign w:val="center"/>
          </w:tcPr>
          <w:p w14:paraId="77AE3D1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居民</w:t>
            </w:r>
          </w:p>
        </w:tc>
        <w:tc>
          <w:tcPr>
            <w:tcW w:w="821" w:type="dxa"/>
            <w:vMerge w:val="continue"/>
            <w:tcBorders>
              <w:tl2br w:val="nil"/>
              <w:tr2bl w:val="nil"/>
            </w:tcBorders>
            <w:noWrap w:val="0"/>
            <w:vAlign w:val="center"/>
          </w:tcPr>
          <w:p w14:paraId="0B230C7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D27B16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1500</w:t>
            </w:r>
          </w:p>
        </w:tc>
      </w:tr>
      <w:tr w14:paraId="52FF7C8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0EF356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7AEBF3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31</w:t>
            </w:r>
          </w:p>
        </w:tc>
        <w:tc>
          <w:tcPr>
            <w:tcW w:w="2163" w:type="dxa"/>
            <w:tcBorders>
              <w:tl2br w:val="nil"/>
              <w:tr2bl w:val="nil"/>
            </w:tcBorders>
            <w:noWrap w:val="0"/>
            <w:vAlign w:val="center"/>
          </w:tcPr>
          <w:p w14:paraId="46DFB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汨罗市第二人民医院</w:t>
            </w:r>
          </w:p>
        </w:tc>
        <w:tc>
          <w:tcPr>
            <w:tcW w:w="987" w:type="dxa"/>
            <w:tcBorders>
              <w:tl2br w:val="nil"/>
              <w:tr2bl w:val="nil"/>
            </w:tcBorders>
            <w:noWrap w:val="0"/>
            <w:vAlign w:val="center"/>
          </w:tcPr>
          <w:p w14:paraId="2467A62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1187" w:type="dxa"/>
            <w:gridSpan w:val="3"/>
            <w:tcBorders>
              <w:tl2br w:val="nil"/>
              <w:tr2bl w:val="nil"/>
            </w:tcBorders>
            <w:noWrap w:val="0"/>
            <w:vAlign w:val="center"/>
          </w:tcPr>
          <w:p w14:paraId="46640D8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502-614</w:t>
            </w:r>
          </w:p>
        </w:tc>
        <w:tc>
          <w:tcPr>
            <w:tcW w:w="1088" w:type="dxa"/>
            <w:gridSpan w:val="2"/>
            <w:tcBorders>
              <w:tl2br w:val="nil"/>
              <w:tr2bl w:val="nil"/>
            </w:tcBorders>
            <w:noWrap w:val="0"/>
            <w:vAlign w:val="center"/>
          </w:tcPr>
          <w:p w14:paraId="7787F82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259F2E6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9B93D7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olor w:val="auto"/>
                <w:highlight w:val="none"/>
                <w:u w:val="none" w:color="auto"/>
                <w:lang w:val="en-US" w:eastAsia="zh-CN"/>
              </w:rPr>
              <w:t>300</w:t>
            </w:r>
          </w:p>
        </w:tc>
      </w:tr>
      <w:tr w14:paraId="5F54D3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2CB838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8B0379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32</w:t>
            </w:r>
          </w:p>
        </w:tc>
        <w:tc>
          <w:tcPr>
            <w:tcW w:w="2163" w:type="dxa"/>
            <w:tcBorders>
              <w:tl2br w:val="nil"/>
              <w:tr2bl w:val="nil"/>
            </w:tcBorders>
            <w:noWrap w:val="0"/>
            <w:vAlign w:val="center"/>
          </w:tcPr>
          <w:p w14:paraId="7B7353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新阳安置小区</w:t>
            </w:r>
          </w:p>
        </w:tc>
        <w:tc>
          <w:tcPr>
            <w:tcW w:w="987" w:type="dxa"/>
            <w:tcBorders>
              <w:tl2br w:val="nil"/>
              <w:tr2bl w:val="nil"/>
            </w:tcBorders>
            <w:noWrap w:val="0"/>
            <w:vAlign w:val="center"/>
          </w:tcPr>
          <w:p w14:paraId="2D9712C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1187" w:type="dxa"/>
            <w:gridSpan w:val="3"/>
            <w:tcBorders>
              <w:tl2br w:val="nil"/>
              <w:tr2bl w:val="nil"/>
            </w:tcBorders>
            <w:noWrap w:val="0"/>
            <w:vAlign w:val="center"/>
          </w:tcPr>
          <w:p w14:paraId="2F3C357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590-825</w:t>
            </w:r>
          </w:p>
        </w:tc>
        <w:tc>
          <w:tcPr>
            <w:tcW w:w="1088" w:type="dxa"/>
            <w:gridSpan w:val="2"/>
            <w:tcBorders>
              <w:tl2br w:val="nil"/>
              <w:tr2bl w:val="nil"/>
            </w:tcBorders>
            <w:noWrap w:val="0"/>
            <w:vAlign w:val="center"/>
          </w:tcPr>
          <w:p w14:paraId="381A31E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3DC0998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583406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2000</w:t>
            </w:r>
          </w:p>
        </w:tc>
      </w:tr>
      <w:tr w14:paraId="369DE3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8F812A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AD4FE9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33</w:t>
            </w:r>
          </w:p>
        </w:tc>
        <w:tc>
          <w:tcPr>
            <w:tcW w:w="2163" w:type="dxa"/>
            <w:tcBorders>
              <w:tl2br w:val="nil"/>
              <w:tr2bl w:val="nil"/>
            </w:tcBorders>
            <w:noWrap w:val="0"/>
            <w:vAlign w:val="center"/>
          </w:tcPr>
          <w:p w14:paraId="6AEA13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任弼时芙蓉学校</w:t>
            </w:r>
          </w:p>
        </w:tc>
        <w:tc>
          <w:tcPr>
            <w:tcW w:w="987" w:type="dxa"/>
            <w:tcBorders>
              <w:tl2br w:val="nil"/>
              <w:tr2bl w:val="nil"/>
            </w:tcBorders>
            <w:noWrap w:val="0"/>
            <w:vAlign w:val="center"/>
          </w:tcPr>
          <w:p w14:paraId="04950E3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南</w:t>
            </w:r>
          </w:p>
        </w:tc>
        <w:tc>
          <w:tcPr>
            <w:tcW w:w="1187" w:type="dxa"/>
            <w:gridSpan w:val="3"/>
            <w:tcBorders>
              <w:tl2br w:val="nil"/>
              <w:tr2bl w:val="nil"/>
            </w:tcBorders>
            <w:noWrap w:val="0"/>
            <w:vAlign w:val="center"/>
          </w:tcPr>
          <w:p w14:paraId="1EFC41A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1265-1245</w:t>
            </w:r>
          </w:p>
        </w:tc>
        <w:tc>
          <w:tcPr>
            <w:tcW w:w="1088" w:type="dxa"/>
            <w:gridSpan w:val="2"/>
            <w:tcBorders>
              <w:tl2br w:val="nil"/>
              <w:tr2bl w:val="nil"/>
            </w:tcBorders>
            <w:noWrap w:val="0"/>
            <w:vAlign w:val="center"/>
          </w:tcPr>
          <w:p w14:paraId="7A852F9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olor w:val="auto"/>
                <w:highlight w:val="none"/>
                <w:u w:val="none" w:color="auto"/>
                <w:lang w:val="en-US" w:eastAsia="zh-CN"/>
              </w:rPr>
              <w:t>师生</w:t>
            </w:r>
          </w:p>
        </w:tc>
        <w:tc>
          <w:tcPr>
            <w:tcW w:w="821" w:type="dxa"/>
            <w:vMerge w:val="continue"/>
            <w:tcBorders>
              <w:tl2br w:val="nil"/>
              <w:tr2bl w:val="nil"/>
            </w:tcBorders>
            <w:noWrap w:val="0"/>
            <w:vAlign w:val="center"/>
          </w:tcPr>
          <w:p w14:paraId="7178DE0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AE7F01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1150</w:t>
            </w:r>
          </w:p>
        </w:tc>
      </w:tr>
      <w:tr w14:paraId="6DE0AD1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E0B730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02BB24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34</w:t>
            </w:r>
          </w:p>
        </w:tc>
        <w:tc>
          <w:tcPr>
            <w:tcW w:w="2163" w:type="dxa"/>
            <w:tcBorders>
              <w:tl2br w:val="nil"/>
              <w:tr2bl w:val="nil"/>
            </w:tcBorders>
            <w:noWrap w:val="0"/>
            <w:vAlign w:val="center"/>
          </w:tcPr>
          <w:p w14:paraId="5B61EE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武广安置小区</w:t>
            </w:r>
          </w:p>
        </w:tc>
        <w:tc>
          <w:tcPr>
            <w:tcW w:w="987" w:type="dxa"/>
            <w:tcBorders>
              <w:tl2br w:val="nil"/>
              <w:tr2bl w:val="nil"/>
            </w:tcBorders>
            <w:noWrap w:val="0"/>
            <w:vAlign w:val="center"/>
          </w:tcPr>
          <w:p w14:paraId="0912308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i w:val="0"/>
                <w:iCs w:val="0"/>
                <w:color w:val="auto"/>
                <w:kern w:val="0"/>
                <w:sz w:val="21"/>
                <w:szCs w:val="21"/>
                <w:u w:val="none" w:color="auto"/>
                <w:lang w:val="en-US" w:eastAsia="zh-CN" w:bidi="ar"/>
              </w:rPr>
            </w:pPr>
            <w:r>
              <w:rPr>
                <w:rFonts w:hint="eastAsia" w:eastAsia="宋体" w:cs="Times New Roman"/>
                <w:i w:val="0"/>
                <w:iCs w:val="0"/>
                <w:color w:val="auto"/>
                <w:kern w:val="0"/>
                <w:sz w:val="21"/>
                <w:szCs w:val="21"/>
                <w:u w:val="none" w:color="auto"/>
                <w:lang w:val="en-US" w:eastAsia="zh-CN" w:bidi="ar"/>
              </w:rPr>
              <w:t>西南</w:t>
            </w:r>
          </w:p>
        </w:tc>
        <w:tc>
          <w:tcPr>
            <w:tcW w:w="1187" w:type="dxa"/>
            <w:gridSpan w:val="3"/>
            <w:tcBorders>
              <w:tl2br w:val="nil"/>
              <w:tr2bl w:val="nil"/>
            </w:tcBorders>
            <w:noWrap w:val="0"/>
            <w:vAlign w:val="center"/>
          </w:tcPr>
          <w:p w14:paraId="06AAF36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1190-1510</w:t>
            </w:r>
          </w:p>
        </w:tc>
        <w:tc>
          <w:tcPr>
            <w:tcW w:w="1088" w:type="dxa"/>
            <w:gridSpan w:val="2"/>
            <w:tcBorders>
              <w:tl2br w:val="nil"/>
              <w:tr2bl w:val="nil"/>
            </w:tcBorders>
            <w:noWrap w:val="0"/>
            <w:vAlign w:val="center"/>
          </w:tcPr>
          <w:p w14:paraId="0DFC79B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color w:val="auto"/>
                <w:highlight w:val="none"/>
                <w:u w:val="none" w:color="auto"/>
              </w:rPr>
              <w:t>居民</w:t>
            </w:r>
          </w:p>
        </w:tc>
        <w:tc>
          <w:tcPr>
            <w:tcW w:w="821" w:type="dxa"/>
            <w:vMerge w:val="continue"/>
            <w:tcBorders>
              <w:tl2br w:val="nil"/>
              <w:tr2bl w:val="nil"/>
            </w:tcBorders>
            <w:noWrap w:val="0"/>
            <w:vAlign w:val="center"/>
          </w:tcPr>
          <w:p w14:paraId="5704F43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A783C3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eastAsia="宋体"/>
                <w:color w:val="auto"/>
                <w:highlight w:val="none"/>
                <w:u w:val="none" w:color="auto"/>
                <w:lang w:val="en-US" w:eastAsia="zh-CN"/>
              </w:rPr>
              <w:t>1000</w:t>
            </w:r>
          </w:p>
        </w:tc>
      </w:tr>
      <w:tr w14:paraId="58C61A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441216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181892D">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35</w:t>
            </w:r>
          </w:p>
        </w:tc>
        <w:tc>
          <w:tcPr>
            <w:tcW w:w="2163" w:type="dxa"/>
            <w:tcBorders>
              <w:tl2br w:val="nil"/>
              <w:tr2bl w:val="nil"/>
            </w:tcBorders>
            <w:noWrap w:val="0"/>
            <w:vAlign w:val="center"/>
          </w:tcPr>
          <w:p w14:paraId="66A4E9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大屋何</w:t>
            </w:r>
          </w:p>
        </w:tc>
        <w:tc>
          <w:tcPr>
            <w:tcW w:w="987" w:type="dxa"/>
            <w:tcBorders>
              <w:tl2br w:val="nil"/>
              <w:tr2bl w:val="nil"/>
            </w:tcBorders>
            <w:noWrap w:val="0"/>
            <w:vAlign w:val="center"/>
          </w:tcPr>
          <w:p w14:paraId="791EA95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5CF2670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1275-1755</w:t>
            </w:r>
          </w:p>
        </w:tc>
        <w:tc>
          <w:tcPr>
            <w:tcW w:w="1088" w:type="dxa"/>
            <w:gridSpan w:val="2"/>
            <w:tcBorders>
              <w:tl2br w:val="nil"/>
              <w:tr2bl w:val="nil"/>
            </w:tcBorders>
            <w:noWrap w:val="0"/>
            <w:vAlign w:val="center"/>
          </w:tcPr>
          <w:p w14:paraId="65CE8CB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居民</w:t>
            </w:r>
          </w:p>
        </w:tc>
        <w:tc>
          <w:tcPr>
            <w:tcW w:w="821" w:type="dxa"/>
            <w:vMerge w:val="continue"/>
            <w:tcBorders>
              <w:tl2br w:val="nil"/>
              <w:tr2bl w:val="nil"/>
            </w:tcBorders>
            <w:noWrap w:val="0"/>
            <w:vAlign w:val="center"/>
          </w:tcPr>
          <w:p w14:paraId="2C9A903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49FBED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100</w:t>
            </w:r>
          </w:p>
        </w:tc>
      </w:tr>
      <w:tr w14:paraId="1A47D2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95FF6F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47F9DB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36</w:t>
            </w:r>
          </w:p>
        </w:tc>
        <w:tc>
          <w:tcPr>
            <w:tcW w:w="2163" w:type="dxa"/>
            <w:tcBorders>
              <w:tl2br w:val="nil"/>
              <w:tr2bl w:val="nil"/>
            </w:tcBorders>
            <w:noWrap w:val="0"/>
            <w:vAlign w:val="center"/>
          </w:tcPr>
          <w:p w14:paraId="578FA8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油草磅</w:t>
            </w:r>
          </w:p>
        </w:tc>
        <w:tc>
          <w:tcPr>
            <w:tcW w:w="987" w:type="dxa"/>
            <w:tcBorders>
              <w:tl2br w:val="nil"/>
              <w:tr2bl w:val="nil"/>
            </w:tcBorders>
            <w:noWrap w:val="0"/>
            <w:vAlign w:val="center"/>
          </w:tcPr>
          <w:p w14:paraId="12E148C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029BA88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2015-2560</w:t>
            </w:r>
          </w:p>
        </w:tc>
        <w:tc>
          <w:tcPr>
            <w:tcW w:w="1088" w:type="dxa"/>
            <w:gridSpan w:val="2"/>
            <w:tcBorders>
              <w:tl2br w:val="nil"/>
              <w:tr2bl w:val="nil"/>
            </w:tcBorders>
            <w:noWrap w:val="0"/>
            <w:vAlign w:val="center"/>
          </w:tcPr>
          <w:p w14:paraId="301A6A1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5B475B2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6E3BF6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100</w:t>
            </w:r>
          </w:p>
        </w:tc>
      </w:tr>
      <w:tr w14:paraId="1E3996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4AB90D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7F9F8C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37</w:t>
            </w:r>
          </w:p>
        </w:tc>
        <w:tc>
          <w:tcPr>
            <w:tcW w:w="2163" w:type="dxa"/>
            <w:tcBorders>
              <w:tl2br w:val="nil"/>
              <w:tr2bl w:val="nil"/>
            </w:tcBorders>
            <w:noWrap w:val="0"/>
            <w:vAlign w:val="center"/>
          </w:tcPr>
          <w:p w14:paraId="40B3D5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咀头仇</w:t>
            </w:r>
          </w:p>
        </w:tc>
        <w:tc>
          <w:tcPr>
            <w:tcW w:w="987" w:type="dxa"/>
            <w:tcBorders>
              <w:tl2br w:val="nil"/>
              <w:tr2bl w:val="nil"/>
            </w:tcBorders>
            <w:noWrap w:val="0"/>
            <w:vAlign w:val="center"/>
          </w:tcPr>
          <w:p w14:paraId="3580A3F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62A9256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1935-2305</w:t>
            </w:r>
          </w:p>
        </w:tc>
        <w:tc>
          <w:tcPr>
            <w:tcW w:w="1088" w:type="dxa"/>
            <w:gridSpan w:val="2"/>
            <w:tcBorders>
              <w:tl2br w:val="nil"/>
              <w:tr2bl w:val="nil"/>
            </w:tcBorders>
            <w:noWrap w:val="0"/>
            <w:vAlign w:val="center"/>
          </w:tcPr>
          <w:p w14:paraId="1D03948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969051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FF53AD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75</w:t>
            </w:r>
          </w:p>
        </w:tc>
      </w:tr>
      <w:tr w14:paraId="31236D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38757F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019B2B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38</w:t>
            </w:r>
          </w:p>
        </w:tc>
        <w:tc>
          <w:tcPr>
            <w:tcW w:w="2163" w:type="dxa"/>
            <w:tcBorders>
              <w:tl2br w:val="nil"/>
              <w:tr2bl w:val="nil"/>
            </w:tcBorders>
            <w:noWrap w:val="0"/>
            <w:vAlign w:val="center"/>
          </w:tcPr>
          <w:p w14:paraId="2979FB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元宵塅</w:t>
            </w:r>
          </w:p>
        </w:tc>
        <w:tc>
          <w:tcPr>
            <w:tcW w:w="987" w:type="dxa"/>
            <w:tcBorders>
              <w:tl2br w:val="nil"/>
              <w:tr2bl w:val="nil"/>
            </w:tcBorders>
            <w:noWrap w:val="0"/>
            <w:vAlign w:val="center"/>
          </w:tcPr>
          <w:p w14:paraId="6F43F51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4905B77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2400-3355</w:t>
            </w:r>
          </w:p>
        </w:tc>
        <w:tc>
          <w:tcPr>
            <w:tcW w:w="1088" w:type="dxa"/>
            <w:gridSpan w:val="2"/>
            <w:tcBorders>
              <w:tl2br w:val="nil"/>
              <w:tr2bl w:val="nil"/>
            </w:tcBorders>
            <w:noWrap w:val="0"/>
            <w:vAlign w:val="center"/>
          </w:tcPr>
          <w:p w14:paraId="7AFD582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5E46157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6337A16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100</w:t>
            </w:r>
          </w:p>
        </w:tc>
      </w:tr>
      <w:tr w14:paraId="26B303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B17E22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5A33FA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39</w:t>
            </w:r>
          </w:p>
        </w:tc>
        <w:tc>
          <w:tcPr>
            <w:tcW w:w="2163" w:type="dxa"/>
            <w:tcBorders>
              <w:tl2br w:val="nil"/>
              <w:tr2bl w:val="nil"/>
            </w:tcBorders>
            <w:noWrap w:val="0"/>
            <w:vAlign w:val="center"/>
          </w:tcPr>
          <w:p w14:paraId="6B2AD5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元福村</w:t>
            </w:r>
          </w:p>
        </w:tc>
        <w:tc>
          <w:tcPr>
            <w:tcW w:w="987" w:type="dxa"/>
            <w:tcBorders>
              <w:tl2br w:val="nil"/>
              <w:tr2bl w:val="nil"/>
            </w:tcBorders>
            <w:noWrap w:val="0"/>
            <w:vAlign w:val="center"/>
          </w:tcPr>
          <w:p w14:paraId="22D520A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6DAF66E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2555-3185</w:t>
            </w:r>
          </w:p>
        </w:tc>
        <w:tc>
          <w:tcPr>
            <w:tcW w:w="1088" w:type="dxa"/>
            <w:gridSpan w:val="2"/>
            <w:tcBorders>
              <w:tl2br w:val="nil"/>
              <w:tr2bl w:val="nil"/>
            </w:tcBorders>
            <w:noWrap w:val="0"/>
            <w:vAlign w:val="center"/>
          </w:tcPr>
          <w:p w14:paraId="3E1CF13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4F17FA7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4A8865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240</w:t>
            </w:r>
          </w:p>
        </w:tc>
      </w:tr>
      <w:tr w14:paraId="0FA4C9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7B3668AC">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466D83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40</w:t>
            </w:r>
          </w:p>
        </w:tc>
        <w:tc>
          <w:tcPr>
            <w:tcW w:w="2163" w:type="dxa"/>
            <w:tcBorders>
              <w:tl2br w:val="nil"/>
              <w:tr2bl w:val="nil"/>
            </w:tcBorders>
            <w:noWrap w:val="0"/>
            <w:vAlign w:val="center"/>
          </w:tcPr>
          <w:p w14:paraId="64043F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桂花坡</w:t>
            </w:r>
          </w:p>
        </w:tc>
        <w:tc>
          <w:tcPr>
            <w:tcW w:w="987" w:type="dxa"/>
            <w:tcBorders>
              <w:tl2br w:val="nil"/>
              <w:tr2bl w:val="nil"/>
            </w:tcBorders>
            <w:noWrap w:val="0"/>
            <w:vAlign w:val="center"/>
          </w:tcPr>
          <w:p w14:paraId="4A83466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西南</w:t>
            </w:r>
          </w:p>
        </w:tc>
        <w:tc>
          <w:tcPr>
            <w:tcW w:w="1187" w:type="dxa"/>
            <w:gridSpan w:val="3"/>
            <w:tcBorders>
              <w:tl2br w:val="nil"/>
              <w:tr2bl w:val="nil"/>
            </w:tcBorders>
            <w:noWrap w:val="0"/>
            <w:vAlign w:val="center"/>
          </w:tcPr>
          <w:p w14:paraId="70DD8A19">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2105-2475</w:t>
            </w:r>
          </w:p>
        </w:tc>
        <w:tc>
          <w:tcPr>
            <w:tcW w:w="1088" w:type="dxa"/>
            <w:gridSpan w:val="2"/>
            <w:tcBorders>
              <w:tl2br w:val="nil"/>
              <w:tr2bl w:val="nil"/>
            </w:tcBorders>
            <w:noWrap w:val="0"/>
            <w:vAlign w:val="center"/>
          </w:tcPr>
          <w:p w14:paraId="2578598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08912B9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801BD3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100</w:t>
            </w:r>
          </w:p>
        </w:tc>
      </w:tr>
      <w:tr w14:paraId="78B3D9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112E35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85708D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41</w:t>
            </w:r>
          </w:p>
        </w:tc>
        <w:tc>
          <w:tcPr>
            <w:tcW w:w="2163" w:type="dxa"/>
            <w:tcBorders>
              <w:tl2br w:val="nil"/>
              <w:tr2bl w:val="nil"/>
            </w:tcBorders>
            <w:noWrap w:val="0"/>
            <w:vAlign w:val="center"/>
          </w:tcPr>
          <w:p w14:paraId="2AF62F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甘冲里</w:t>
            </w:r>
          </w:p>
        </w:tc>
        <w:tc>
          <w:tcPr>
            <w:tcW w:w="987" w:type="dxa"/>
            <w:tcBorders>
              <w:tl2br w:val="nil"/>
              <w:tr2bl w:val="nil"/>
            </w:tcBorders>
            <w:noWrap w:val="0"/>
            <w:vAlign w:val="center"/>
          </w:tcPr>
          <w:p w14:paraId="49D594B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南</w:t>
            </w:r>
          </w:p>
        </w:tc>
        <w:tc>
          <w:tcPr>
            <w:tcW w:w="1187" w:type="dxa"/>
            <w:gridSpan w:val="3"/>
            <w:tcBorders>
              <w:tl2br w:val="nil"/>
              <w:tr2bl w:val="nil"/>
            </w:tcBorders>
            <w:noWrap w:val="0"/>
            <w:vAlign w:val="center"/>
          </w:tcPr>
          <w:p w14:paraId="74A509B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2205-2335</w:t>
            </w:r>
          </w:p>
        </w:tc>
        <w:tc>
          <w:tcPr>
            <w:tcW w:w="1088" w:type="dxa"/>
            <w:gridSpan w:val="2"/>
            <w:tcBorders>
              <w:tl2br w:val="nil"/>
              <w:tr2bl w:val="nil"/>
            </w:tcBorders>
            <w:noWrap w:val="0"/>
            <w:vAlign w:val="center"/>
          </w:tcPr>
          <w:p w14:paraId="00D3ED8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0B9D4E57">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2E64E5E">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50</w:t>
            </w:r>
          </w:p>
        </w:tc>
      </w:tr>
      <w:tr w14:paraId="7ECBD8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6F51C8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B7A672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42</w:t>
            </w:r>
          </w:p>
        </w:tc>
        <w:tc>
          <w:tcPr>
            <w:tcW w:w="2163" w:type="dxa"/>
            <w:tcBorders>
              <w:tl2br w:val="nil"/>
              <w:tr2bl w:val="nil"/>
            </w:tcBorders>
            <w:noWrap w:val="0"/>
            <w:vAlign w:val="center"/>
          </w:tcPr>
          <w:p w14:paraId="4926E88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姚家冲</w:t>
            </w:r>
          </w:p>
        </w:tc>
        <w:tc>
          <w:tcPr>
            <w:tcW w:w="987" w:type="dxa"/>
            <w:tcBorders>
              <w:tl2br w:val="nil"/>
              <w:tr2bl w:val="nil"/>
            </w:tcBorders>
            <w:noWrap w:val="0"/>
            <w:vAlign w:val="center"/>
          </w:tcPr>
          <w:p w14:paraId="283A431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南</w:t>
            </w:r>
          </w:p>
        </w:tc>
        <w:tc>
          <w:tcPr>
            <w:tcW w:w="1187" w:type="dxa"/>
            <w:gridSpan w:val="3"/>
            <w:tcBorders>
              <w:tl2br w:val="nil"/>
              <w:tr2bl w:val="nil"/>
            </w:tcBorders>
            <w:noWrap w:val="0"/>
            <w:vAlign w:val="center"/>
          </w:tcPr>
          <w:p w14:paraId="0074B13F">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740-969</w:t>
            </w:r>
          </w:p>
        </w:tc>
        <w:tc>
          <w:tcPr>
            <w:tcW w:w="1088" w:type="dxa"/>
            <w:gridSpan w:val="2"/>
            <w:tcBorders>
              <w:tl2br w:val="nil"/>
              <w:tr2bl w:val="nil"/>
            </w:tcBorders>
            <w:noWrap w:val="0"/>
            <w:vAlign w:val="center"/>
          </w:tcPr>
          <w:p w14:paraId="3233C76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0D27972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75A4B6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100</w:t>
            </w:r>
          </w:p>
        </w:tc>
      </w:tr>
      <w:tr w14:paraId="68C83C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4111B045">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2E565C8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43</w:t>
            </w:r>
          </w:p>
        </w:tc>
        <w:tc>
          <w:tcPr>
            <w:tcW w:w="2163" w:type="dxa"/>
            <w:tcBorders>
              <w:tl2br w:val="nil"/>
              <w:tr2bl w:val="nil"/>
            </w:tcBorders>
            <w:noWrap w:val="0"/>
            <w:vAlign w:val="center"/>
          </w:tcPr>
          <w:p w14:paraId="1CBAEB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kern w:val="2"/>
                <w:sz w:val="21"/>
                <w:szCs w:val="21"/>
                <w:u w:val="none"/>
                <w:lang w:val="en-US" w:eastAsia="zh-CN" w:bidi="ar-SA"/>
              </w:rPr>
              <w:t>檀树屋</w:t>
            </w:r>
          </w:p>
        </w:tc>
        <w:tc>
          <w:tcPr>
            <w:tcW w:w="987" w:type="dxa"/>
            <w:tcBorders>
              <w:tl2br w:val="nil"/>
              <w:tr2bl w:val="nil"/>
            </w:tcBorders>
            <w:noWrap w:val="0"/>
            <w:vAlign w:val="center"/>
          </w:tcPr>
          <w:p w14:paraId="75D793C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南</w:t>
            </w:r>
          </w:p>
        </w:tc>
        <w:tc>
          <w:tcPr>
            <w:tcW w:w="1187" w:type="dxa"/>
            <w:gridSpan w:val="3"/>
            <w:tcBorders>
              <w:tl2br w:val="nil"/>
              <w:tr2bl w:val="nil"/>
            </w:tcBorders>
            <w:noWrap w:val="0"/>
            <w:vAlign w:val="center"/>
          </w:tcPr>
          <w:p w14:paraId="5F6A3D9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2415-2870</w:t>
            </w:r>
          </w:p>
        </w:tc>
        <w:tc>
          <w:tcPr>
            <w:tcW w:w="1088" w:type="dxa"/>
            <w:gridSpan w:val="2"/>
            <w:tcBorders>
              <w:tl2br w:val="nil"/>
              <w:tr2bl w:val="nil"/>
            </w:tcBorders>
            <w:noWrap w:val="0"/>
            <w:vAlign w:val="center"/>
          </w:tcPr>
          <w:p w14:paraId="26CBCA8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居民</w:t>
            </w:r>
          </w:p>
        </w:tc>
        <w:tc>
          <w:tcPr>
            <w:tcW w:w="821" w:type="dxa"/>
            <w:vMerge w:val="continue"/>
            <w:tcBorders>
              <w:tl2br w:val="nil"/>
              <w:tr2bl w:val="nil"/>
            </w:tcBorders>
            <w:noWrap w:val="0"/>
            <w:vAlign w:val="center"/>
          </w:tcPr>
          <w:p w14:paraId="237700D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0DB71F1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120</w:t>
            </w:r>
          </w:p>
        </w:tc>
      </w:tr>
      <w:tr w14:paraId="06FB75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17D68A7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E95324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44</w:t>
            </w:r>
          </w:p>
        </w:tc>
        <w:tc>
          <w:tcPr>
            <w:tcW w:w="2163" w:type="dxa"/>
            <w:tcBorders>
              <w:tl2br w:val="nil"/>
              <w:tr2bl w:val="nil"/>
            </w:tcBorders>
            <w:noWrap w:val="0"/>
            <w:vAlign w:val="center"/>
          </w:tcPr>
          <w:p w14:paraId="1D2EEE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陈家坊</w:t>
            </w:r>
          </w:p>
        </w:tc>
        <w:tc>
          <w:tcPr>
            <w:tcW w:w="987" w:type="dxa"/>
            <w:tcBorders>
              <w:tl2br w:val="nil"/>
              <w:tr2bl w:val="nil"/>
            </w:tcBorders>
            <w:noWrap w:val="0"/>
            <w:vAlign w:val="center"/>
          </w:tcPr>
          <w:p w14:paraId="4414787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42F4EDF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840-1215</w:t>
            </w:r>
          </w:p>
        </w:tc>
        <w:tc>
          <w:tcPr>
            <w:tcW w:w="1088" w:type="dxa"/>
            <w:gridSpan w:val="2"/>
            <w:tcBorders>
              <w:tl2br w:val="nil"/>
              <w:tr2bl w:val="nil"/>
            </w:tcBorders>
            <w:noWrap w:val="0"/>
            <w:vAlign w:val="center"/>
          </w:tcPr>
          <w:p w14:paraId="4664D27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286DF13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4AEEAE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w:t>
            </w:r>
          </w:p>
        </w:tc>
      </w:tr>
      <w:tr w14:paraId="052A66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EF9243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002F713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45</w:t>
            </w:r>
          </w:p>
        </w:tc>
        <w:tc>
          <w:tcPr>
            <w:tcW w:w="2163" w:type="dxa"/>
            <w:tcBorders>
              <w:tl2br w:val="nil"/>
              <w:tr2bl w:val="nil"/>
            </w:tcBorders>
            <w:noWrap w:val="0"/>
            <w:vAlign w:val="center"/>
          </w:tcPr>
          <w:p w14:paraId="310D934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中间屋</w:t>
            </w:r>
          </w:p>
        </w:tc>
        <w:tc>
          <w:tcPr>
            <w:tcW w:w="987" w:type="dxa"/>
            <w:tcBorders>
              <w:tl2br w:val="nil"/>
              <w:tr2bl w:val="nil"/>
            </w:tcBorders>
            <w:noWrap w:val="0"/>
            <w:vAlign w:val="center"/>
          </w:tcPr>
          <w:p w14:paraId="50D36AF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39CCB46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1135-1495</w:t>
            </w:r>
          </w:p>
        </w:tc>
        <w:tc>
          <w:tcPr>
            <w:tcW w:w="1088" w:type="dxa"/>
            <w:gridSpan w:val="2"/>
            <w:tcBorders>
              <w:tl2br w:val="nil"/>
              <w:tr2bl w:val="nil"/>
            </w:tcBorders>
            <w:noWrap w:val="0"/>
            <w:vAlign w:val="center"/>
          </w:tcPr>
          <w:p w14:paraId="3F5D5D1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6B149782">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2743BB9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100</w:t>
            </w:r>
          </w:p>
        </w:tc>
      </w:tr>
      <w:tr w14:paraId="61DC406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2B82D68E">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2A1113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46</w:t>
            </w:r>
          </w:p>
        </w:tc>
        <w:tc>
          <w:tcPr>
            <w:tcW w:w="2163" w:type="dxa"/>
            <w:tcBorders>
              <w:tl2br w:val="nil"/>
              <w:tr2bl w:val="nil"/>
            </w:tcBorders>
            <w:noWrap w:val="0"/>
            <w:vAlign w:val="center"/>
          </w:tcPr>
          <w:p w14:paraId="5C58F8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新屋里</w:t>
            </w:r>
          </w:p>
        </w:tc>
        <w:tc>
          <w:tcPr>
            <w:tcW w:w="987" w:type="dxa"/>
            <w:tcBorders>
              <w:tl2br w:val="nil"/>
              <w:tr2bl w:val="nil"/>
            </w:tcBorders>
            <w:noWrap w:val="0"/>
            <w:vAlign w:val="center"/>
          </w:tcPr>
          <w:p w14:paraId="3A6CC442">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4581B21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1408-1780</w:t>
            </w:r>
          </w:p>
        </w:tc>
        <w:tc>
          <w:tcPr>
            <w:tcW w:w="1088" w:type="dxa"/>
            <w:gridSpan w:val="2"/>
            <w:tcBorders>
              <w:tl2br w:val="nil"/>
              <w:tr2bl w:val="nil"/>
            </w:tcBorders>
            <w:noWrap w:val="0"/>
            <w:vAlign w:val="center"/>
          </w:tcPr>
          <w:p w14:paraId="10B4020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71ED596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703F4C4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100</w:t>
            </w:r>
          </w:p>
        </w:tc>
      </w:tr>
      <w:tr w14:paraId="47C708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F16370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3EE3B39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47</w:t>
            </w:r>
          </w:p>
        </w:tc>
        <w:tc>
          <w:tcPr>
            <w:tcW w:w="2163" w:type="dxa"/>
            <w:tcBorders>
              <w:tl2br w:val="nil"/>
              <w:tr2bl w:val="nil"/>
            </w:tcBorders>
            <w:noWrap w:val="0"/>
            <w:vAlign w:val="center"/>
          </w:tcPr>
          <w:p w14:paraId="0198DD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花圃寺</w:t>
            </w:r>
          </w:p>
        </w:tc>
        <w:tc>
          <w:tcPr>
            <w:tcW w:w="987" w:type="dxa"/>
            <w:tcBorders>
              <w:tl2br w:val="nil"/>
              <w:tr2bl w:val="nil"/>
            </w:tcBorders>
            <w:noWrap w:val="0"/>
            <w:vAlign w:val="center"/>
          </w:tcPr>
          <w:p w14:paraId="43E81CF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2B81AB5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1550-2130</w:t>
            </w:r>
          </w:p>
        </w:tc>
        <w:tc>
          <w:tcPr>
            <w:tcW w:w="1088" w:type="dxa"/>
            <w:gridSpan w:val="2"/>
            <w:tcBorders>
              <w:tl2br w:val="nil"/>
              <w:tr2bl w:val="nil"/>
            </w:tcBorders>
            <w:noWrap w:val="0"/>
            <w:vAlign w:val="center"/>
          </w:tcPr>
          <w:p w14:paraId="30F1063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5756581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D60D7D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w:t>
            </w:r>
          </w:p>
        </w:tc>
      </w:tr>
      <w:tr w14:paraId="0548D6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512232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1D163A9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48</w:t>
            </w:r>
          </w:p>
        </w:tc>
        <w:tc>
          <w:tcPr>
            <w:tcW w:w="2163" w:type="dxa"/>
            <w:tcBorders>
              <w:tl2br w:val="nil"/>
              <w:tr2bl w:val="nil"/>
            </w:tcBorders>
            <w:noWrap w:val="0"/>
            <w:vAlign w:val="center"/>
          </w:tcPr>
          <w:p w14:paraId="3F7EB72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杨家屋</w:t>
            </w:r>
          </w:p>
        </w:tc>
        <w:tc>
          <w:tcPr>
            <w:tcW w:w="987" w:type="dxa"/>
            <w:tcBorders>
              <w:tl2br w:val="nil"/>
              <w:tr2bl w:val="nil"/>
            </w:tcBorders>
            <w:noWrap w:val="0"/>
            <w:vAlign w:val="center"/>
          </w:tcPr>
          <w:p w14:paraId="7643CBC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0E99D16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1650-1905</w:t>
            </w:r>
          </w:p>
        </w:tc>
        <w:tc>
          <w:tcPr>
            <w:tcW w:w="1088" w:type="dxa"/>
            <w:gridSpan w:val="2"/>
            <w:tcBorders>
              <w:tl2br w:val="nil"/>
              <w:tr2bl w:val="nil"/>
            </w:tcBorders>
            <w:noWrap w:val="0"/>
            <w:vAlign w:val="center"/>
          </w:tcPr>
          <w:p w14:paraId="6CC2CA83">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3DF6A74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454422CD">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240</w:t>
            </w:r>
          </w:p>
        </w:tc>
      </w:tr>
      <w:tr w14:paraId="73677E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A5E301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58AD32F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49</w:t>
            </w:r>
          </w:p>
        </w:tc>
        <w:tc>
          <w:tcPr>
            <w:tcW w:w="2163" w:type="dxa"/>
            <w:tcBorders>
              <w:tl2br w:val="nil"/>
              <w:tr2bl w:val="nil"/>
            </w:tcBorders>
            <w:noWrap w:val="0"/>
            <w:vAlign w:val="center"/>
          </w:tcPr>
          <w:p w14:paraId="17A5C6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彭家垄</w:t>
            </w:r>
          </w:p>
        </w:tc>
        <w:tc>
          <w:tcPr>
            <w:tcW w:w="987" w:type="dxa"/>
            <w:tcBorders>
              <w:tl2br w:val="nil"/>
              <w:tr2bl w:val="nil"/>
            </w:tcBorders>
            <w:noWrap w:val="0"/>
            <w:vAlign w:val="center"/>
          </w:tcPr>
          <w:p w14:paraId="037519AC">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00B9138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1940-2540</w:t>
            </w:r>
          </w:p>
        </w:tc>
        <w:tc>
          <w:tcPr>
            <w:tcW w:w="1088" w:type="dxa"/>
            <w:gridSpan w:val="2"/>
            <w:tcBorders>
              <w:tl2br w:val="nil"/>
              <w:tr2bl w:val="nil"/>
            </w:tcBorders>
            <w:noWrap w:val="0"/>
            <w:vAlign w:val="center"/>
          </w:tcPr>
          <w:p w14:paraId="5E6970F1">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583B5A9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DFA5AF5">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w:t>
            </w:r>
          </w:p>
        </w:tc>
      </w:tr>
      <w:tr w14:paraId="569C46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9F778D0">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8BED7EF">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50</w:t>
            </w:r>
          </w:p>
        </w:tc>
        <w:tc>
          <w:tcPr>
            <w:tcW w:w="2163" w:type="dxa"/>
            <w:tcBorders>
              <w:tl2br w:val="nil"/>
              <w:tr2bl w:val="nil"/>
            </w:tcBorders>
            <w:noWrap w:val="0"/>
            <w:vAlign w:val="center"/>
          </w:tcPr>
          <w:p w14:paraId="1B2E3C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赵家里</w:t>
            </w:r>
          </w:p>
        </w:tc>
        <w:tc>
          <w:tcPr>
            <w:tcW w:w="987" w:type="dxa"/>
            <w:tcBorders>
              <w:tl2br w:val="nil"/>
              <w:tr2bl w:val="nil"/>
            </w:tcBorders>
            <w:noWrap w:val="0"/>
            <w:vAlign w:val="center"/>
          </w:tcPr>
          <w:p w14:paraId="2AB5801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457C355A">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2220-2705</w:t>
            </w:r>
          </w:p>
        </w:tc>
        <w:tc>
          <w:tcPr>
            <w:tcW w:w="1088" w:type="dxa"/>
            <w:gridSpan w:val="2"/>
            <w:tcBorders>
              <w:tl2br w:val="nil"/>
              <w:tr2bl w:val="nil"/>
            </w:tcBorders>
            <w:noWrap w:val="0"/>
            <w:vAlign w:val="center"/>
          </w:tcPr>
          <w:p w14:paraId="2134827B">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12011BB3">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50520974">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100</w:t>
            </w:r>
          </w:p>
        </w:tc>
      </w:tr>
      <w:tr w14:paraId="76C247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D64809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19DAA8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eastAsia" w:ascii="Times New Roman" w:hAnsi="Times New Roman" w:eastAsia="宋体" w:cs="Times New Roman"/>
                <w:i w:val="0"/>
                <w:iCs w:val="0"/>
                <w:color w:val="auto"/>
                <w:kern w:val="0"/>
                <w:sz w:val="21"/>
                <w:szCs w:val="21"/>
                <w:highlight w:val="none"/>
                <w:u w:val="none" w:color="auto"/>
                <w:lang w:val="en-US" w:eastAsia="zh-CN" w:bidi="ar"/>
              </w:rPr>
              <w:t>51</w:t>
            </w:r>
          </w:p>
        </w:tc>
        <w:tc>
          <w:tcPr>
            <w:tcW w:w="2163" w:type="dxa"/>
            <w:tcBorders>
              <w:tl2br w:val="nil"/>
              <w:tr2bl w:val="nil"/>
            </w:tcBorders>
            <w:noWrap w:val="0"/>
            <w:vAlign w:val="center"/>
          </w:tcPr>
          <w:p w14:paraId="62BE91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i w:val="0"/>
                <w:iCs w:val="0"/>
                <w:color w:val="auto"/>
                <w:sz w:val="21"/>
                <w:szCs w:val="21"/>
                <w:u w:val="none"/>
                <w:lang w:val="en-US" w:eastAsia="zh-CN"/>
              </w:rPr>
              <w:t>新桥村</w:t>
            </w:r>
          </w:p>
        </w:tc>
        <w:tc>
          <w:tcPr>
            <w:tcW w:w="987" w:type="dxa"/>
            <w:tcBorders>
              <w:tl2br w:val="nil"/>
              <w:tr2bl w:val="nil"/>
            </w:tcBorders>
            <w:noWrap w:val="0"/>
            <w:vAlign w:val="center"/>
          </w:tcPr>
          <w:p w14:paraId="7569D026">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sz w:val="21"/>
                <w:szCs w:val="21"/>
                <w:highlight w:val="none"/>
                <w:u w:val="none" w:color="auto"/>
                <w:lang w:val="en-US" w:eastAsia="zh-CN"/>
              </w:rPr>
              <w:t>东南</w:t>
            </w:r>
          </w:p>
        </w:tc>
        <w:tc>
          <w:tcPr>
            <w:tcW w:w="1187" w:type="dxa"/>
            <w:gridSpan w:val="3"/>
            <w:tcBorders>
              <w:tl2br w:val="nil"/>
              <w:tr2bl w:val="nil"/>
            </w:tcBorders>
            <w:noWrap w:val="0"/>
            <w:vAlign w:val="center"/>
          </w:tcPr>
          <w:p w14:paraId="40EAEAF7">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eastAsia="宋体" w:cs="Times New Roman"/>
                <w:color w:val="auto"/>
                <w:kern w:val="2"/>
                <w:sz w:val="21"/>
                <w:szCs w:val="21"/>
                <w:highlight w:val="none"/>
                <w:u w:val="none" w:color="auto"/>
                <w:lang w:val="en-US" w:eastAsia="zh-CN" w:bidi="ar-SA"/>
              </w:rPr>
              <w:t>2625-3070</w:t>
            </w:r>
          </w:p>
        </w:tc>
        <w:tc>
          <w:tcPr>
            <w:tcW w:w="1088" w:type="dxa"/>
            <w:gridSpan w:val="2"/>
            <w:tcBorders>
              <w:tl2br w:val="nil"/>
              <w:tr2bl w:val="nil"/>
            </w:tcBorders>
            <w:noWrap w:val="0"/>
            <w:vAlign w:val="center"/>
          </w:tcPr>
          <w:p w14:paraId="24BE5630">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highlight w:val="none"/>
                <w:u w:val="none" w:color="auto"/>
                <w:lang w:val="en-US" w:eastAsia="zh-CN"/>
              </w:rPr>
              <w:t>居民</w:t>
            </w:r>
          </w:p>
        </w:tc>
        <w:tc>
          <w:tcPr>
            <w:tcW w:w="821" w:type="dxa"/>
            <w:vMerge w:val="continue"/>
            <w:tcBorders>
              <w:tl2br w:val="nil"/>
              <w:tr2bl w:val="nil"/>
            </w:tcBorders>
            <w:noWrap w:val="0"/>
            <w:vAlign w:val="center"/>
          </w:tcPr>
          <w:p w14:paraId="5052F1CB">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3C1EA0D8">
            <w:pPr>
              <w:pStyle w:val="3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200</w:t>
            </w:r>
          </w:p>
        </w:tc>
      </w:tr>
      <w:tr w14:paraId="453F00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50824E9">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090" w:type="dxa"/>
            <w:gridSpan w:val="8"/>
            <w:tcBorders>
              <w:tl2br w:val="nil"/>
              <w:tr2bl w:val="nil"/>
            </w:tcBorders>
            <w:noWrap w:val="0"/>
            <w:vAlign w:val="center"/>
          </w:tcPr>
          <w:p w14:paraId="374E3D0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厂址周边</w:t>
            </w:r>
            <w:r>
              <w:rPr>
                <w:rFonts w:hint="eastAsia" w:ascii="Times New Roman" w:hAnsi="Times New Roman" w:eastAsia="宋体" w:cs="Times New Roman"/>
                <w:i w:val="0"/>
                <w:iCs w:val="0"/>
                <w:color w:val="auto"/>
                <w:kern w:val="0"/>
                <w:sz w:val="21"/>
                <w:szCs w:val="21"/>
                <w:highlight w:val="none"/>
                <w:u w:val="none" w:color="auto"/>
                <w:lang w:val="en-US" w:eastAsia="zh-CN" w:bidi="ar"/>
              </w:rPr>
              <w:t>3</w:t>
            </w:r>
            <w:r>
              <w:rPr>
                <w:rFonts w:hint="default" w:ascii="Times New Roman" w:hAnsi="Times New Roman" w:eastAsia="宋体" w:cs="Times New Roman"/>
                <w:i w:val="0"/>
                <w:iCs w:val="0"/>
                <w:color w:val="auto"/>
                <w:kern w:val="0"/>
                <w:sz w:val="21"/>
                <w:szCs w:val="21"/>
                <w:highlight w:val="none"/>
                <w:u w:val="none" w:color="auto"/>
                <w:lang w:val="en-US" w:eastAsia="zh-CN" w:bidi="ar"/>
              </w:rPr>
              <w:t xml:space="preserve"> km范围内人口数小计</w:t>
            </w:r>
          </w:p>
        </w:tc>
        <w:tc>
          <w:tcPr>
            <w:tcW w:w="821" w:type="dxa"/>
            <w:vMerge w:val="continue"/>
            <w:tcBorders>
              <w:tl2br w:val="nil"/>
              <w:tr2bl w:val="nil"/>
            </w:tcBorders>
            <w:noWrap w:val="0"/>
            <w:vAlign w:val="center"/>
          </w:tcPr>
          <w:p w14:paraId="2DF5D0C8">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1263" w:type="dxa"/>
            <w:tcBorders>
              <w:tl2br w:val="nil"/>
              <w:tr2bl w:val="nil"/>
            </w:tcBorders>
            <w:noWrap w:val="0"/>
            <w:vAlign w:val="center"/>
          </w:tcPr>
          <w:p w14:paraId="17F070D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lang w:val="en-US"/>
              </w:rPr>
            </w:pPr>
            <w:r>
              <w:rPr>
                <w:rFonts w:hint="default" w:ascii="Times New Roman" w:hAnsi="Times New Roman" w:eastAsia="宋体" w:cs="Times New Roman"/>
                <w:i w:val="0"/>
                <w:iCs w:val="0"/>
                <w:color w:val="auto"/>
                <w:kern w:val="0"/>
                <w:sz w:val="21"/>
                <w:szCs w:val="21"/>
                <w:highlight w:val="none"/>
                <w:u w:val="none" w:color="auto"/>
                <w:lang w:val="en-US" w:eastAsia="zh-CN" w:bidi="ar"/>
              </w:rPr>
              <w:t>约</w:t>
            </w:r>
            <w:r>
              <w:rPr>
                <w:rFonts w:hint="eastAsia" w:ascii="Times New Roman" w:hAnsi="Times New Roman" w:eastAsia="宋体" w:cs="Times New Roman"/>
                <w:i w:val="0"/>
                <w:iCs w:val="0"/>
                <w:color w:val="auto"/>
                <w:kern w:val="0"/>
                <w:sz w:val="21"/>
                <w:szCs w:val="21"/>
                <w:highlight w:val="none"/>
                <w:u w:val="none" w:color="auto"/>
                <w:lang w:val="en-US" w:eastAsia="zh-CN" w:bidi="ar"/>
              </w:rPr>
              <w:t>36000人</w:t>
            </w:r>
          </w:p>
        </w:tc>
      </w:tr>
      <w:tr w14:paraId="2CBF84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restart"/>
            <w:tcBorders>
              <w:tl2br w:val="nil"/>
              <w:tr2bl w:val="nil"/>
            </w:tcBorders>
            <w:noWrap w:val="0"/>
            <w:vAlign w:val="center"/>
          </w:tcPr>
          <w:p w14:paraId="5D7DBD8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地表水</w:t>
            </w:r>
          </w:p>
        </w:tc>
        <w:tc>
          <w:tcPr>
            <w:tcW w:w="8174" w:type="dxa"/>
            <w:gridSpan w:val="10"/>
            <w:tcBorders>
              <w:tl2br w:val="nil"/>
              <w:tr2bl w:val="nil"/>
            </w:tcBorders>
            <w:noWrap w:val="0"/>
            <w:vAlign w:val="center"/>
          </w:tcPr>
          <w:p w14:paraId="139BBDA5">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地表水受纳水体</w:t>
            </w:r>
          </w:p>
        </w:tc>
      </w:tr>
      <w:tr w14:paraId="1F2EB4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3E0E036">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835F2E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序号</w:t>
            </w:r>
          </w:p>
        </w:tc>
        <w:tc>
          <w:tcPr>
            <w:tcW w:w="2163" w:type="dxa"/>
            <w:tcBorders>
              <w:tl2br w:val="nil"/>
              <w:tr2bl w:val="nil"/>
            </w:tcBorders>
            <w:noWrap w:val="0"/>
            <w:vAlign w:val="center"/>
          </w:tcPr>
          <w:p w14:paraId="7750585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受纳水体名称</w:t>
            </w:r>
          </w:p>
        </w:tc>
        <w:tc>
          <w:tcPr>
            <w:tcW w:w="2350" w:type="dxa"/>
            <w:gridSpan w:val="5"/>
            <w:tcBorders>
              <w:tl2br w:val="nil"/>
              <w:tr2bl w:val="nil"/>
            </w:tcBorders>
            <w:noWrap w:val="0"/>
            <w:vAlign w:val="center"/>
          </w:tcPr>
          <w:p w14:paraId="1F01D33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排放点水域环境功能</w:t>
            </w:r>
          </w:p>
        </w:tc>
        <w:tc>
          <w:tcPr>
            <w:tcW w:w="2996" w:type="dxa"/>
            <w:gridSpan w:val="3"/>
            <w:tcBorders>
              <w:tl2br w:val="nil"/>
              <w:tr2bl w:val="nil"/>
            </w:tcBorders>
            <w:noWrap w:val="0"/>
            <w:vAlign w:val="center"/>
          </w:tcPr>
          <w:p w14:paraId="297AF83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24 h内流经范围/km</w:t>
            </w:r>
          </w:p>
        </w:tc>
      </w:tr>
      <w:tr w14:paraId="77DABC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9BF98D1">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3E17AA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0"/>
                <w:sz w:val="21"/>
                <w:szCs w:val="21"/>
                <w:highlight w:val="none"/>
                <w:u w:val="none" w:color="auto"/>
                <w:lang w:val="en-US" w:eastAsia="zh-CN" w:bidi="ar"/>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2163" w:type="dxa"/>
            <w:tcBorders>
              <w:tl2br w:val="nil"/>
              <w:tr2bl w:val="nil"/>
            </w:tcBorders>
            <w:noWrap w:val="0"/>
            <w:vAlign w:val="center"/>
          </w:tcPr>
          <w:p w14:paraId="79C5815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汨罗江</w:t>
            </w:r>
          </w:p>
        </w:tc>
        <w:tc>
          <w:tcPr>
            <w:tcW w:w="2350" w:type="dxa"/>
            <w:gridSpan w:val="5"/>
            <w:tcBorders>
              <w:tl2br w:val="nil"/>
              <w:tr2bl w:val="nil"/>
            </w:tcBorders>
            <w:noWrap w:val="0"/>
            <w:vAlign w:val="center"/>
          </w:tcPr>
          <w:p w14:paraId="3D6848A4">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default" w:ascii="Times New Roman" w:hAnsi="Times New Roman" w:eastAsia="宋体" w:cs="Times New Roman"/>
                <w:i w:val="0"/>
                <w:iCs w:val="0"/>
                <w:color w:val="auto"/>
                <w:kern w:val="0"/>
                <w:sz w:val="21"/>
                <w:szCs w:val="21"/>
                <w:highlight w:val="none"/>
                <w:u w:val="none" w:color="auto"/>
                <w:lang w:val="en-US" w:eastAsia="zh-CN" w:bidi="ar"/>
              </w:rPr>
              <w:t>渔业用水区，III类</w:t>
            </w:r>
          </w:p>
        </w:tc>
        <w:tc>
          <w:tcPr>
            <w:tcW w:w="2996" w:type="dxa"/>
            <w:gridSpan w:val="3"/>
            <w:tcBorders>
              <w:tl2br w:val="nil"/>
              <w:tr2bl w:val="nil"/>
            </w:tcBorders>
            <w:noWrap w:val="0"/>
            <w:vAlign w:val="center"/>
          </w:tcPr>
          <w:p w14:paraId="02D8C0E6">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kern w:val="2"/>
                <w:sz w:val="21"/>
                <w:szCs w:val="21"/>
                <w:highlight w:val="none"/>
                <w:u w:val="none" w:color="auto"/>
                <w:lang w:val="en-US" w:eastAsia="zh-CN" w:bidi="ar-SA"/>
              </w:rPr>
            </w:pPr>
            <w:r>
              <w:rPr>
                <w:rFonts w:hint="eastAsia" w:ascii="Times New Roman" w:hAnsi="Times New Roman" w:eastAsia="宋体" w:cs="Times New Roman"/>
                <w:i w:val="0"/>
                <w:iCs w:val="0"/>
                <w:color w:val="auto"/>
                <w:kern w:val="0"/>
                <w:sz w:val="21"/>
                <w:szCs w:val="21"/>
                <w:highlight w:val="none"/>
                <w:u w:val="none" w:color="auto"/>
                <w:lang w:val="en-US" w:eastAsia="zh-CN" w:bidi="ar"/>
              </w:rPr>
              <w:t>2.6</w:t>
            </w:r>
            <w:r>
              <w:rPr>
                <w:rFonts w:hint="default" w:ascii="Times New Roman" w:hAnsi="Times New Roman" w:eastAsia="宋体" w:cs="Times New Roman"/>
                <w:i w:val="0"/>
                <w:iCs w:val="0"/>
                <w:color w:val="auto"/>
                <w:kern w:val="0"/>
                <w:sz w:val="21"/>
                <w:szCs w:val="21"/>
                <w:highlight w:val="none"/>
                <w:u w:val="none" w:color="auto"/>
                <w:lang w:val="en-US" w:eastAsia="zh-CN" w:bidi="ar"/>
              </w:rPr>
              <w:t>km，在湖南省范围内</w:t>
            </w:r>
          </w:p>
        </w:tc>
      </w:tr>
      <w:tr w14:paraId="049461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2F4ACCA">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8174" w:type="dxa"/>
            <w:gridSpan w:val="10"/>
            <w:tcBorders>
              <w:tl2br w:val="nil"/>
              <w:tr2bl w:val="nil"/>
            </w:tcBorders>
            <w:noWrap w:val="0"/>
            <w:vAlign w:val="center"/>
          </w:tcPr>
          <w:p w14:paraId="12B99D1B">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内陆水体排放点下游 10 km（近岸海域一个潮周期最大水平距离两倍）范围内敏感目标</w:t>
            </w:r>
          </w:p>
        </w:tc>
      </w:tr>
      <w:tr w14:paraId="69AC67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3C6BD06F">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603A093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序号</w:t>
            </w:r>
          </w:p>
        </w:tc>
        <w:tc>
          <w:tcPr>
            <w:tcW w:w="2163" w:type="dxa"/>
            <w:tcBorders>
              <w:tl2br w:val="nil"/>
              <w:tr2bl w:val="nil"/>
            </w:tcBorders>
            <w:noWrap w:val="0"/>
            <w:vAlign w:val="center"/>
          </w:tcPr>
          <w:p w14:paraId="12D82C6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敏感目标名称</w:t>
            </w:r>
          </w:p>
        </w:tc>
        <w:tc>
          <w:tcPr>
            <w:tcW w:w="1900" w:type="dxa"/>
            <w:gridSpan w:val="2"/>
            <w:tcBorders>
              <w:tl2br w:val="nil"/>
              <w:tr2bl w:val="nil"/>
            </w:tcBorders>
            <w:noWrap w:val="0"/>
            <w:vAlign w:val="center"/>
          </w:tcPr>
          <w:p w14:paraId="4A8958A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环境敏感特征</w:t>
            </w:r>
          </w:p>
        </w:tc>
        <w:tc>
          <w:tcPr>
            <w:tcW w:w="1362" w:type="dxa"/>
            <w:gridSpan w:val="4"/>
            <w:tcBorders>
              <w:tl2br w:val="nil"/>
              <w:tr2bl w:val="nil"/>
            </w:tcBorders>
            <w:noWrap w:val="0"/>
            <w:vAlign w:val="center"/>
          </w:tcPr>
          <w:p w14:paraId="6071D23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水质目标</w:t>
            </w:r>
          </w:p>
        </w:tc>
        <w:tc>
          <w:tcPr>
            <w:tcW w:w="2084" w:type="dxa"/>
            <w:gridSpan w:val="2"/>
            <w:tcBorders>
              <w:tl2br w:val="nil"/>
              <w:tr2bl w:val="nil"/>
            </w:tcBorders>
            <w:noWrap w:val="0"/>
            <w:vAlign w:val="center"/>
          </w:tcPr>
          <w:p w14:paraId="28C53533">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与排放点距离/m</w:t>
            </w:r>
          </w:p>
        </w:tc>
      </w:tr>
      <w:tr w14:paraId="69AD04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0CDE1D4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C6853D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2163" w:type="dxa"/>
            <w:tcBorders>
              <w:tl2br w:val="nil"/>
              <w:tr2bl w:val="nil"/>
            </w:tcBorders>
            <w:noWrap w:val="0"/>
            <w:vAlign w:val="center"/>
          </w:tcPr>
          <w:p w14:paraId="757F893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湖南汨罗江国家湿地公园</w:t>
            </w:r>
          </w:p>
        </w:tc>
        <w:tc>
          <w:tcPr>
            <w:tcW w:w="1900" w:type="dxa"/>
            <w:gridSpan w:val="2"/>
            <w:tcBorders>
              <w:tl2br w:val="nil"/>
              <w:tr2bl w:val="nil"/>
            </w:tcBorders>
            <w:noWrap w:val="0"/>
            <w:vAlign w:val="center"/>
          </w:tcPr>
          <w:p w14:paraId="6181960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省级重要湿地</w:t>
            </w:r>
          </w:p>
        </w:tc>
        <w:tc>
          <w:tcPr>
            <w:tcW w:w="1362" w:type="dxa"/>
            <w:gridSpan w:val="4"/>
            <w:tcBorders>
              <w:tl2br w:val="nil"/>
              <w:tr2bl w:val="nil"/>
            </w:tcBorders>
            <w:noWrap w:val="0"/>
            <w:vAlign w:val="center"/>
          </w:tcPr>
          <w:p w14:paraId="7B15267D">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III类</w:t>
            </w:r>
          </w:p>
        </w:tc>
        <w:tc>
          <w:tcPr>
            <w:tcW w:w="2084" w:type="dxa"/>
            <w:gridSpan w:val="2"/>
            <w:tcBorders>
              <w:tl2br w:val="nil"/>
              <w:tr2bl w:val="nil"/>
            </w:tcBorders>
            <w:noWrap w:val="0"/>
            <w:vAlign w:val="center"/>
          </w:tcPr>
          <w:p w14:paraId="6BED2F3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水流距离</w:t>
            </w:r>
            <w:r>
              <w:rPr>
                <w:rFonts w:hint="eastAsia" w:ascii="Times New Roman" w:hAnsi="Times New Roman" w:eastAsia="宋体" w:cs="Times New Roman"/>
                <w:i w:val="0"/>
                <w:iCs w:val="0"/>
                <w:color w:val="auto"/>
                <w:kern w:val="0"/>
                <w:sz w:val="21"/>
                <w:szCs w:val="21"/>
                <w:highlight w:val="none"/>
                <w:u w:val="none" w:color="auto"/>
                <w:lang w:val="en-US" w:eastAsia="zh-CN" w:bidi="ar"/>
              </w:rPr>
              <w:t>2.6</w:t>
            </w:r>
            <w:r>
              <w:rPr>
                <w:rFonts w:hint="default" w:ascii="Times New Roman" w:hAnsi="Times New Roman" w:eastAsia="宋体" w:cs="Times New Roman"/>
                <w:i w:val="0"/>
                <w:iCs w:val="0"/>
                <w:color w:val="auto"/>
                <w:kern w:val="0"/>
                <w:sz w:val="21"/>
                <w:szCs w:val="21"/>
                <w:highlight w:val="none"/>
                <w:u w:val="none" w:color="auto"/>
                <w:lang w:val="en-US" w:eastAsia="zh-CN" w:bidi="ar"/>
              </w:rPr>
              <w:t>km</w:t>
            </w:r>
          </w:p>
        </w:tc>
      </w:tr>
      <w:tr w14:paraId="764D1E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restart"/>
            <w:tcBorders>
              <w:tl2br w:val="nil"/>
              <w:tr2bl w:val="nil"/>
            </w:tcBorders>
            <w:noWrap w:val="0"/>
            <w:vAlign w:val="center"/>
          </w:tcPr>
          <w:p w14:paraId="50EB360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地下水</w:t>
            </w:r>
          </w:p>
        </w:tc>
        <w:tc>
          <w:tcPr>
            <w:tcW w:w="8174" w:type="dxa"/>
            <w:gridSpan w:val="10"/>
            <w:tcBorders>
              <w:tl2br w:val="nil"/>
              <w:tr2bl w:val="nil"/>
            </w:tcBorders>
            <w:noWrap w:val="0"/>
            <w:vAlign w:val="center"/>
          </w:tcPr>
          <w:p w14:paraId="3CD481A9">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地下水</w:t>
            </w:r>
          </w:p>
        </w:tc>
      </w:tr>
      <w:tr w14:paraId="00CDC2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67480A9D">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767C53C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序号</w:t>
            </w:r>
          </w:p>
        </w:tc>
        <w:tc>
          <w:tcPr>
            <w:tcW w:w="2163" w:type="dxa"/>
            <w:tcBorders>
              <w:tl2br w:val="nil"/>
              <w:tr2bl w:val="nil"/>
            </w:tcBorders>
            <w:noWrap w:val="0"/>
            <w:vAlign w:val="center"/>
          </w:tcPr>
          <w:p w14:paraId="38AB5B8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环境敏感区名称</w:t>
            </w:r>
          </w:p>
        </w:tc>
        <w:tc>
          <w:tcPr>
            <w:tcW w:w="987" w:type="dxa"/>
            <w:tcBorders>
              <w:tl2br w:val="nil"/>
              <w:tr2bl w:val="nil"/>
            </w:tcBorders>
            <w:noWrap w:val="0"/>
            <w:vAlign w:val="center"/>
          </w:tcPr>
          <w:p w14:paraId="47CD59DC">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环境敏感特征</w:t>
            </w:r>
          </w:p>
        </w:tc>
        <w:tc>
          <w:tcPr>
            <w:tcW w:w="1063" w:type="dxa"/>
            <w:gridSpan w:val="2"/>
            <w:tcBorders>
              <w:tl2br w:val="nil"/>
              <w:tr2bl w:val="nil"/>
            </w:tcBorders>
            <w:noWrap w:val="0"/>
            <w:vAlign w:val="center"/>
          </w:tcPr>
          <w:p w14:paraId="5AE7838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水质目标</w:t>
            </w:r>
          </w:p>
        </w:tc>
        <w:tc>
          <w:tcPr>
            <w:tcW w:w="1212" w:type="dxa"/>
            <w:gridSpan w:val="3"/>
            <w:tcBorders>
              <w:tl2br w:val="nil"/>
              <w:tr2bl w:val="nil"/>
            </w:tcBorders>
            <w:noWrap w:val="0"/>
            <w:vAlign w:val="center"/>
          </w:tcPr>
          <w:p w14:paraId="3E45700E">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包气带防污性能</w:t>
            </w:r>
          </w:p>
        </w:tc>
        <w:tc>
          <w:tcPr>
            <w:tcW w:w="2084" w:type="dxa"/>
            <w:gridSpan w:val="2"/>
            <w:tcBorders>
              <w:tl2br w:val="nil"/>
              <w:tr2bl w:val="nil"/>
            </w:tcBorders>
            <w:noWrap w:val="0"/>
            <w:vAlign w:val="center"/>
          </w:tcPr>
          <w:p w14:paraId="00555A9A">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与下游厂界距离/m</w:t>
            </w:r>
          </w:p>
        </w:tc>
      </w:tr>
      <w:tr w14:paraId="6B5EDB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51" w:hRule="atLeast"/>
          <w:jc w:val="center"/>
        </w:trPr>
        <w:tc>
          <w:tcPr>
            <w:tcW w:w="466" w:type="dxa"/>
            <w:vMerge w:val="continue"/>
            <w:tcBorders>
              <w:tl2br w:val="nil"/>
              <w:tr2bl w:val="nil"/>
            </w:tcBorders>
            <w:noWrap w:val="0"/>
            <w:vAlign w:val="center"/>
          </w:tcPr>
          <w:p w14:paraId="5668DF14">
            <w:pPr>
              <w:shd w:val="clear" w:color="auto" w:fill="auto"/>
              <w:jc w:val="center"/>
              <w:rPr>
                <w:rFonts w:hint="default" w:ascii="Times New Roman" w:hAnsi="Times New Roman" w:eastAsia="宋体" w:cs="Times New Roman"/>
                <w:i w:val="0"/>
                <w:iCs w:val="0"/>
                <w:color w:val="auto"/>
                <w:sz w:val="21"/>
                <w:szCs w:val="21"/>
                <w:highlight w:val="none"/>
                <w:u w:val="none" w:color="auto"/>
              </w:rPr>
            </w:pPr>
          </w:p>
        </w:tc>
        <w:tc>
          <w:tcPr>
            <w:tcW w:w="665" w:type="dxa"/>
            <w:tcBorders>
              <w:tl2br w:val="nil"/>
              <w:tr2bl w:val="nil"/>
            </w:tcBorders>
            <w:noWrap w:val="0"/>
            <w:vAlign w:val="center"/>
          </w:tcPr>
          <w:p w14:paraId="4F2ABCA2">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1</w:t>
            </w:r>
          </w:p>
        </w:tc>
        <w:tc>
          <w:tcPr>
            <w:tcW w:w="2163" w:type="dxa"/>
            <w:tcBorders>
              <w:tl2br w:val="nil"/>
              <w:tr2bl w:val="nil"/>
            </w:tcBorders>
            <w:noWrap w:val="0"/>
            <w:vAlign w:val="center"/>
          </w:tcPr>
          <w:p w14:paraId="6D8C2CF0">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无</w:t>
            </w:r>
          </w:p>
        </w:tc>
        <w:tc>
          <w:tcPr>
            <w:tcW w:w="987" w:type="dxa"/>
            <w:tcBorders>
              <w:tl2br w:val="nil"/>
              <w:tr2bl w:val="nil"/>
            </w:tcBorders>
            <w:noWrap w:val="0"/>
            <w:vAlign w:val="center"/>
          </w:tcPr>
          <w:p w14:paraId="4227BCE8">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不敏感</w:t>
            </w:r>
          </w:p>
        </w:tc>
        <w:tc>
          <w:tcPr>
            <w:tcW w:w="1063" w:type="dxa"/>
            <w:gridSpan w:val="2"/>
            <w:tcBorders>
              <w:tl2br w:val="nil"/>
              <w:tr2bl w:val="nil"/>
            </w:tcBorders>
            <w:noWrap w:val="0"/>
            <w:vAlign w:val="center"/>
          </w:tcPr>
          <w:p w14:paraId="0021AC4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III类</w:t>
            </w:r>
          </w:p>
        </w:tc>
        <w:tc>
          <w:tcPr>
            <w:tcW w:w="1212" w:type="dxa"/>
            <w:gridSpan w:val="3"/>
            <w:tcBorders>
              <w:tl2br w:val="nil"/>
              <w:tr2bl w:val="nil"/>
            </w:tcBorders>
            <w:noWrap w:val="0"/>
            <w:vAlign w:val="center"/>
          </w:tcPr>
          <w:p w14:paraId="3A8E1CB7">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D2</w:t>
            </w:r>
          </w:p>
        </w:tc>
        <w:tc>
          <w:tcPr>
            <w:tcW w:w="2084" w:type="dxa"/>
            <w:gridSpan w:val="2"/>
            <w:tcBorders>
              <w:tl2br w:val="nil"/>
              <w:tr2bl w:val="nil"/>
            </w:tcBorders>
            <w:noWrap w:val="0"/>
            <w:vAlign w:val="center"/>
          </w:tcPr>
          <w:p w14:paraId="47ADCCD1">
            <w:pPr>
              <w:keepNext w:val="0"/>
              <w:keepLines w:val="0"/>
              <w:widowControl/>
              <w:suppressLineNumbers w:val="0"/>
              <w:shd w:val="clear" w:color="auto" w:fill="auto"/>
              <w:jc w:val="center"/>
              <w:textAlignment w:val="center"/>
              <w:rPr>
                <w:rFonts w:hint="default" w:ascii="Times New Roman" w:hAnsi="Times New Roman" w:eastAsia="宋体" w:cs="Times New Roman"/>
                <w:i w:val="0"/>
                <w:iCs w:val="0"/>
                <w:color w:val="auto"/>
                <w:sz w:val="21"/>
                <w:szCs w:val="21"/>
                <w:highlight w:val="none"/>
                <w:u w:val="none" w:color="auto"/>
              </w:rPr>
            </w:pPr>
            <w:r>
              <w:rPr>
                <w:rFonts w:hint="default" w:ascii="Times New Roman" w:hAnsi="Times New Roman" w:eastAsia="宋体" w:cs="Times New Roman"/>
                <w:i w:val="0"/>
                <w:iCs w:val="0"/>
                <w:color w:val="auto"/>
                <w:kern w:val="0"/>
                <w:sz w:val="21"/>
                <w:szCs w:val="21"/>
                <w:highlight w:val="none"/>
                <w:u w:val="none" w:color="auto"/>
                <w:lang w:val="en-US" w:eastAsia="zh-CN" w:bidi="ar"/>
              </w:rPr>
              <w:t>/</w:t>
            </w:r>
          </w:p>
        </w:tc>
      </w:tr>
    </w:tbl>
    <w:p w14:paraId="40CA8249">
      <w:pPr>
        <w:pStyle w:val="4"/>
        <w:bidi w:val="0"/>
        <w:rPr>
          <w:rFonts w:hint="eastAsia"/>
          <w:color w:val="auto"/>
          <w:u w:val="none" w:color="auto"/>
          <w:lang w:val="en-US" w:eastAsia="zh-CN"/>
        </w:rPr>
      </w:pPr>
      <w:bookmarkStart w:id="1202" w:name="_Toc6409"/>
      <w:r>
        <w:rPr>
          <w:rFonts w:hint="eastAsia"/>
          <w:color w:val="auto"/>
          <w:u w:val="none" w:color="auto"/>
          <w:lang w:val="en-US" w:eastAsia="zh-CN"/>
        </w:rPr>
        <w:t>6.3.2环境风险潜势初判</w:t>
      </w:r>
      <w:bookmarkEnd w:id="1202"/>
    </w:p>
    <w:p w14:paraId="2A219A35">
      <w:pPr>
        <w:pStyle w:val="20"/>
        <w:bidi w:val="0"/>
        <w:rPr>
          <w:rFonts w:hint="eastAsia"/>
          <w:color w:val="auto"/>
          <w:u w:val="none" w:color="auto"/>
          <w:lang w:val="en-US" w:eastAsia="zh-CN"/>
        </w:rPr>
      </w:pPr>
      <w:r>
        <w:rPr>
          <w:rFonts w:hint="eastAsia"/>
          <w:color w:val="auto"/>
          <w:u w:val="none" w:color="auto"/>
          <w:lang w:val="en-US" w:eastAsia="zh-CN"/>
        </w:rPr>
        <w:t>（1）环境风险潜势划分</w:t>
      </w:r>
    </w:p>
    <w:p w14:paraId="22944296">
      <w:pPr>
        <w:pStyle w:val="20"/>
        <w:bidi w:val="0"/>
        <w:rPr>
          <w:rFonts w:hint="default"/>
          <w:color w:val="auto"/>
          <w:u w:val="none" w:color="auto"/>
        </w:rPr>
      </w:pPr>
      <w:r>
        <w:rPr>
          <w:rFonts w:hint="default"/>
          <w:color w:val="auto"/>
          <w:u w:val="none" w:color="auto"/>
        </w:rPr>
        <w:t>根据《建设项目环境风险评价技术导则》（HJ169-2018），建设项目环境风险潜势划分为</w:t>
      </w:r>
      <w:r>
        <w:rPr>
          <w:rFonts w:hint="default"/>
          <w:color w:val="auto"/>
          <w:u w:val="none" w:color="auto"/>
        </w:rPr>
        <w:fldChar w:fldCharType="begin"/>
      </w:r>
      <w:r>
        <w:rPr>
          <w:rFonts w:hint="default"/>
          <w:color w:val="auto"/>
          <w:u w:val="none" w:color="auto"/>
        </w:rPr>
        <w:instrText xml:space="preserve"> = 1 \* ROMAN </w:instrText>
      </w:r>
      <w:r>
        <w:rPr>
          <w:rFonts w:hint="default"/>
          <w:color w:val="auto"/>
          <w:u w:val="none" w:color="auto"/>
        </w:rPr>
        <w:fldChar w:fldCharType="separate"/>
      </w:r>
      <w:r>
        <w:rPr>
          <w:rFonts w:hint="default"/>
          <w:color w:val="auto"/>
          <w:u w:val="none" w:color="auto"/>
        </w:rPr>
        <w:t>I</w:t>
      </w:r>
      <w:r>
        <w:rPr>
          <w:rFonts w:hint="default"/>
          <w:color w:val="auto"/>
          <w:u w:val="none" w:color="auto"/>
        </w:rPr>
        <w:fldChar w:fldCharType="end"/>
      </w:r>
      <w:r>
        <w:rPr>
          <w:rFonts w:hint="default"/>
          <w:color w:val="auto"/>
          <w:u w:val="none" w:color="auto"/>
        </w:rPr>
        <w:t>、</w:t>
      </w:r>
      <w:r>
        <w:rPr>
          <w:rFonts w:hint="default"/>
          <w:color w:val="auto"/>
          <w:u w:val="none" w:color="auto"/>
        </w:rPr>
        <w:fldChar w:fldCharType="begin"/>
      </w:r>
      <w:r>
        <w:rPr>
          <w:rFonts w:hint="default"/>
          <w:color w:val="auto"/>
          <w:u w:val="none" w:color="auto"/>
        </w:rPr>
        <w:instrText xml:space="preserve"> = 2 \* ROMAN </w:instrText>
      </w:r>
      <w:r>
        <w:rPr>
          <w:rFonts w:hint="default"/>
          <w:color w:val="auto"/>
          <w:u w:val="none" w:color="auto"/>
        </w:rPr>
        <w:fldChar w:fldCharType="separate"/>
      </w:r>
      <w:r>
        <w:rPr>
          <w:rFonts w:hint="default"/>
          <w:color w:val="auto"/>
          <w:u w:val="none" w:color="auto"/>
        </w:rPr>
        <w:t>II</w:t>
      </w:r>
      <w:r>
        <w:rPr>
          <w:rFonts w:hint="default"/>
          <w:color w:val="auto"/>
          <w:u w:val="none" w:color="auto"/>
        </w:rPr>
        <w:fldChar w:fldCharType="end"/>
      </w:r>
      <w:r>
        <w:rPr>
          <w:rFonts w:hint="default"/>
          <w:color w:val="auto"/>
          <w:u w:val="none" w:color="auto"/>
        </w:rPr>
        <w:t>、</w:t>
      </w:r>
      <w:r>
        <w:rPr>
          <w:rFonts w:hint="default"/>
          <w:color w:val="auto"/>
          <w:u w:val="none" w:color="auto"/>
        </w:rPr>
        <w:fldChar w:fldCharType="begin"/>
      </w:r>
      <w:r>
        <w:rPr>
          <w:rFonts w:hint="default"/>
          <w:color w:val="auto"/>
          <w:u w:val="none" w:color="auto"/>
        </w:rPr>
        <w:instrText xml:space="preserve"> = 3 \* ROMAN </w:instrText>
      </w:r>
      <w:r>
        <w:rPr>
          <w:rFonts w:hint="default"/>
          <w:color w:val="auto"/>
          <w:u w:val="none" w:color="auto"/>
        </w:rPr>
        <w:fldChar w:fldCharType="separate"/>
      </w:r>
      <w:r>
        <w:rPr>
          <w:rFonts w:hint="default"/>
          <w:color w:val="auto"/>
          <w:u w:val="none" w:color="auto"/>
        </w:rPr>
        <w:t>III</w:t>
      </w:r>
      <w:r>
        <w:rPr>
          <w:rFonts w:hint="default"/>
          <w:color w:val="auto"/>
          <w:u w:val="none" w:color="auto"/>
        </w:rPr>
        <w:fldChar w:fldCharType="end"/>
      </w:r>
      <w:r>
        <w:rPr>
          <w:rFonts w:hint="default"/>
          <w:color w:val="auto"/>
          <w:u w:val="none" w:color="auto"/>
        </w:rPr>
        <w:t>、</w:t>
      </w:r>
      <w:r>
        <w:rPr>
          <w:rFonts w:hint="default"/>
          <w:color w:val="auto"/>
          <w:u w:val="none" w:color="auto"/>
        </w:rPr>
        <w:fldChar w:fldCharType="begin"/>
      </w:r>
      <w:r>
        <w:rPr>
          <w:rFonts w:hint="default"/>
          <w:color w:val="auto"/>
          <w:u w:val="none" w:color="auto"/>
        </w:rPr>
        <w:instrText xml:space="preserve"> = 4 \* ROMAN </w:instrText>
      </w:r>
      <w:r>
        <w:rPr>
          <w:rFonts w:hint="default"/>
          <w:color w:val="auto"/>
          <w:u w:val="none" w:color="auto"/>
        </w:rPr>
        <w:fldChar w:fldCharType="separate"/>
      </w:r>
      <w:r>
        <w:rPr>
          <w:rFonts w:hint="default"/>
          <w:color w:val="auto"/>
          <w:u w:val="none" w:color="auto"/>
        </w:rPr>
        <w:t>IV</w:t>
      </w:r>
      <w:r>
        <w:rPr>
          <w:rFonts w:hint="default"/>
          <w:color w:val="auto"/>
          <w:u w:val="none" w:color="auto"/>
        </w:rPr>
        <w:fldChar w:fldCharType="end"/>
      </w:r>
      <w:r>
        <w:rPr>
          <w:rFonts w:hint="default"/>
          <w:color w:val="auto"/>
          <w:u w:val="none" w:color="auto"/>
        </w:rPr>
        <w:t>/</w:t>
      </w:r>
      <w:r>
        <w:rPr>
          <w:rFonts w:hint="default"/>
          <w:color w:val="auto"/>
          <w:u w:val="none" w:color="auto"/>
        </w:rPr>
        <w:fldChar w:fldCharType="begin"/>
      </w:r>
      <w:r>
        <w:rPr>
          <w:rFonts w:hint="default"/>
          <w:color w:val="auto"/>
          <w:u w:val="none" w:color="auto"/>
        </w:rPr>
        <w:instrText xml:space="preserve"> = 4 \* ROMAN </w:instrText>
      </w:r>
      <w:r>
        <w:rPr>
          <w:rFonts w:hint="default"/>
          <w:color w:val="auto"/>
          <w:u w:val="none" w:color="auto"/>
        </w:rPr>
        <w:fldChar w:fldCharType="separate"/>
      </w:r>
      <w:r>
        <w:rPr>
          <w:rFonts w:hint="default"/>
          <w:color w:val="auto"/>
          <w:u w:val="none" w:color="auto"/>
        </w:rPr>
        <w:t>IV</w:t>
      </w:r>
      <w:r>
        <w:rPr>
          <w:rFonts w:hint="default"/>
          <w:color w:val="auto"/>
          <w:u w:val="none" w:color="auto"/>
        </w:rPr>
        <w:fldChar w:fldCharType="end"/>
      </w:r>
      <w:r>
        <w:rPr>
          <w:rFonts w:hint="default"/>
          <w:color w:val="auto"/>
          <w:u w:val="none" w:color="auto"/>
        </w:rPr>
        <w:t>+级。根据建设项目涉及的物质和工艺系统的危险性及其所在地的环境敏感程度，结合事故情形下环境影响途径，对建设项目潜在环境危害程度进行概化分析，按照表</w:t>
      </w:r>
      <w:r>
        <w:rPr>
          <w:rFonts w:hint="eastAsia"/>
          <w:color w:val="auto"/>
          <w:u w:val="none" w:color="auto"/>
          <w:lang w:val="en-US" w:eastAsia="zh-CN"/>
        </w:rPr>
        <w:t>6</w:t>
      </w:r>
      <w:r>
        <w:rPr>
          <w:rFonts w:hint="default"/>
          <w:color w:val="auto"/>
          <w:u w:val="none" w:color="auto"/>
          <w:lang w:val="en-US" w:eastAsia="zh-CN"/>
        </w:rPr>
        <w:t>.3-</w:t>
      </w:r>
      <w:r>
        <w:rPr>
          <w:rFonts w:hint="eastAsia"/>
          <w:color w:val="auto"/>
          <w:u w:val="none" w:color="auto"/>
          <w:lang w:val="en-US" w:eastAsia="zh-CN"/>
        </w:rPr>
        <w:t>4</w:t>
      </w:r>
      <w:r>
        <w:rPr>
          <w:rFonts w:hint="default"/>
          <w:color w:val="auto"/>
          <w:u w:val="none" w:color="auto"/>
        </w:rPr>
        <w:t>确定环境风险潜势。</w:t>
      </w:r>
    </w:p>
    <w:p w14:paraId="4EA15F69">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lang w:val="en-US" w:eastAsia="zh-CN"/>
        </w:rPr>
        <w:t>.3-</w:t>
      </w:r>
      <w:r>
        <w:rPr>
          <w:rFonts w:hint="eastAsia"/>
          <w:color w:val="auto"/>
          <w:u w:val="none" w:color="auto"/>
          <w:lang w:val="en-US" w:eastAsia="zh-CN"/>
        </w:rPr>
        <w:t xml:space="preserve">4 </w:t>
      </w:r>
      <w:r>
        <w:rPr>
          <w:rFonts w:hint="default"/>
          <w:color w:val="auto"/>
          <w:u w:val="none" w:color="auto"/>
        </w:rPr>
        <w:t>建设项目环境风险潜势划分</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00"/>
        <w:gridCol w:w="1701"/>
        <w:gridCol w:w="1701"/>
        <w:gridCol w:w="1701"/>
        <w:gridCol w:w="1701"/>
      </w:tblGrid>
      <w:tr w14:paraId="1F9DED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vMerge w:val="restart"/>
            <w:tcBorders>
              <w:tl2br w:val="nil"/>
              <w:tr2bl w:val="nil"/>
            </w:tcBorders>
            <w:noWrap w:val="0"/>
            <w:vAlign w:val="center"/>
          </w:tcPr>
          <w:p w14:paraId="44F986A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环境敏感程度（E）</w:t>
            </w:r>
          </w:p>
        </w:tc>
        <w:tc>
          <w:tcPr>
            <w:tcW w:w="6804" w:type="dxa"/>
            <w:gridSpan w:val="4"/>
            <w:tcBorders>
              <w:tl2br w:val="nil"/>
              <w:tr2bl w:val="nil"/>
            </w:tcBorders>
            <w:noWrap w:val="0"/>
            <w:vAlign w:val="center"/>
          </w:tcPr>
          <w:p w14:paraId="16593497">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危险物质及工艺系统危险性（P）</w:t>
            </w:r>
          </w:p>
        </w:tc>
      </w:tr>
      <w:tr w14:paraId="505BF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vMerge w:val="continue"/>
            <w:tcBorders>
              <w:tl2br w:val="nil"/>
              <w:tr2bl w:val="nil"/>
            </w:tcBorders>
            <w:noWrap w:val="0"/>
            <w:vAlign w:val="center"/>
          </w:tcPr>
          <w:p w14:paraId="717D3943">
            <w:pPr>
              <w:pStyle w:val="24"/>
              <w:bidi w:val="0"/>
              <w:rPr>
                <w:rFonts w:hint="default" w:ascii="Times New Roman" w:hAnsi="Times New Roman" w:cs="Times New Roman"/>
                <w:color w:val="auto"/>
                <w:u w:val="none" w:color="auto"/>
              </w:rPr>
            </w:pPr>
          </w:p>
        </w:tc>
        <w:tc>
          <w:tcPr>
            <w:tcW w:w="1701" w:type="dxa"/>
            <w:tcBorders>
              <w:tl2br w:val="nil"/>
              <w:tr2bl w:val="nil"/>
            </w:tcBorders>
            <w:noWrap w:val="0"/>
            <w:vAlign w:val="center"/>
          </w:tcPr>
          <w:p w14:paraId="044C1670">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极高危害（P1）</w:t>
            </w:r>
          </w:p>
        </w:tc>
        <w:tc>
          <w:tcPr>
            <w:tcW w:w="1701" w:type="dxa"/>
            <w:tcBorders>
              <w:tl2br w:val="nil"/>
              <w:tr2bl w:val="nil"/>
            </w:tcBorders>
            <w:noWrap w:val="0"/>
            <w:vAlign w:val="center"/>
          </w:tcPr>
          <w:p w14:paraId="380BCF97">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高度危害（P2）</w:t>
            </w:r>
          </w:p>
        </w:tc>
        <w:tc>
          <w:tcPr>
            <w:tcW w:w="1701" w:type="dxa"/>
            <w:tcBorders>
              <w:tl2br w:val="nil"/>
              <w:tr2bl w:val="nil"/>
            </w:tcBorders>
            <w:noWrap w:val="0"/>
            <w:vAlign w:val="center"/>
          </w:tcPr>
          <w:p w14:paraId="7E59198C">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中度危害（P3）</w:t>
            </w:r>
          </w:p>
        </w:tc>
        <w:tc>
          <w:tcPr>
            <w:tcW w:w="1701" w:type="dxa"/>
            <w:tcBorders>
              <w:tl2br w:val="nil"/>
              <w:tr2bl w:val="nil"/>
            </w:tcBorders>
            <w:noWrap w:val="0"/>
            <w:vAlign w:val="center"/>
          </w:tcPr>
          <w:p w14:paraId="6DDF173D">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轻度危害（P4）</w:t>
            </w:r>
          </w:p>
        </w:tc>
      </w:tr>
      <w:tr w14:paraId="53EB4C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032ED35B">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环境高度敏感区（E1）</w:t>
            </w:r>
          </w:p>
        </w:tc>
        <w:tc>
          <w:tcPr>
            <w:tcW w:w="1701" w:type="dxa"/>
            <w:tcBorders>
              <w:tl2br w:val="nil"/>
              <w:tr2bl w:val="nil"/>
            </w:tcBorders>
            <w:noWrap w:val="0"/>
            <w:vAlign w:val="center"/>
          </w:tcPr>
          <w:p w14:paraId="4E6A28FD">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vertAlign w:val="superscript"/>
              </w:rPr>
              <w:t>+</w:t>
            </w:r>
          </w:p>
        </w:tc>
        <w:tc>
          <w:tcPr>
            <w:tcW w:w="1701" w:type="dxa"/>
            <w:tcBorders>
              <w:tl2br w:val="nil"/>
              <w:tr2bl w:val="nil"/>
            </w:tcBorders>
            <w:noWrap w:val="0"/>
            <w:vAlign w:val="center"/>
          </w:tcPr>
          <w:p w14:paraId="0F3F26E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21153CDE">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04807F1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r>
      <w:tr w14:paraId="3787A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71E1C21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环境高度敏感区（E1）</w:t>
            </w:r>
          </w:p>
        </w:tc>
        <w:tc>
          <w:tcPr>
            <w:tcW w:w="1701" w:type="dxa"/>
            <w:tcBorders>
              <w:tl2br w:val="nil"/>
              <w:tr2bl w:val="nil"/>
            </w:tcBorders>
            <w:noWrap w:val="0"/>
            <w:vAlign w:val="center"/>
          </w:tcPr>
          <w:p w14:paraId="221FC074">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0C4BA57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32BDE2FC">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5D524FC5">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2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w:t>
            </w:r>
            <w:r>
              <w:rPr>
                <w:rFonts w:hint="default" w:ascii="Times New Roman" w:hAnsi="Times New Roman" w:cs="Times New Roman"/>
                <w:color w:val="auto"/>
                <w:u w:val="none" w:color="auto"/>
              </w:rPr>
              <w:fldChar w:fldCharType="end"/>
            </w:r>
          </w:p>
        </w:tc>
      </w:tr>
      <w:tr w14:paraId="06D806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00" w:type="dxa"/>
            <w:tcBorders>
              <w:tl2br w:val="nil"/>
              <w:tr2bl w:val="nil"/>
            </w:tcBorders>
            <w:noWrap w:val="0"/>
            <w:vAlign w:val="center"/>
          </w:tcPr>
          <w:p w14:paraId="61BCBE02">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环境高度敏感区（E1）</w:t>
            </w:r>
          </w:p>
        </w:tc>
        <w:tc>
          <w:tcPr>
            <w:tcW w:w="1701" w:type="dxa"/>
            <w:tcBorders>
              <w:tl2br w:val="nil"/>
              <w:tr2bl w:val="nil"/>
            </w:tcBorders>
            <w:noWrap w:val="0"/>
            <w:vAlign w:val="center"/>
          </w:tcPr>
          <w:p w14:paraId="38BA085D">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4DB30C09">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47828452">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2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w:t>
            </w:r>
            <w:r>
              <w:rPr>
                <w:rFonts w:hint="default" w:ascii="Times New Roman" w:hAnsi="Times New Roman" w:cs="Times New Roman"/>
                <w:color w:val="auto"/>
                <w:u w:val="none" w:color="auto"/>
              </w:rPr>
              <w:fldChar w:fldCharType="end"/>
            </w:r>
          </w:p>
        </w:tc>
        <w:tc>
          <w:tcPr>
            <w:tcW w:w="1701" w:type="dxa"/>
            <w:tcBorders>
              <w:tl2br w:val="nil"/>
              <w:tr2bl w:val="nil"/>
            </w:tcBorders>
            <w:noWrap w:val="0"/>
            <w:vAlign w:val="center"/>
          </w:tcPr>
          <w:p w14:paraId="787CD69C">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p>
        </w:tc>
      </w:tr>
      <w:tr w14:paraId="7F734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504" w:type="dxa"/>
            <w:gridSpan w:val="5"/>
            <w:tcBorders>
              <w:tl2br w:val="nil"/>
              <w:tr2bl w:val="nil"/>
            </w:tcBorders>
            <w:noWrap w:val="0"/>
            <w:vAlign w:val="center"/>
          </w:tcPr>
          <w:p w14:paraId="4164B433">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注：</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vertAlign w:val="superscript"/>
              </w:rPr>
              <w:t>+</w:t>
            </w:r>
            <w:r>
              <w:rPr>
                <w:rFonts w:hint="default" w:ascii="Times New Roman" w:hAnsi="Times New Roman" w:cs="Times New Roman"/>
                <w:color w:val="auto"/>
                <w:u w:val="none" w:color="auto"/>
              </w:rPr>
              <w:t>为极高环境风险</w:t>
            </w:r>
          </w:p>
        </w:tc>
      </w:tr>
    </w:tbl>
    <w:p w14:paraId="1CCA483E">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根据上表可知，风险潜势由危险物质及工艺系统危险性（P）与环境敏感程度（E）共同确定，而P的分级由危险物质数量与临界量的比值（Q）和所属行业及生产工艺特点（M）共同确定。</w:t>
      </w:r>
    </w:p>
    <w:p w14:paraId="1D52E88A">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危险物质数量与临界量比值（Q）为每种危险物质在厂界内的最大存在总量与其在《建设项目环境风险评价技术导则》（HJ169-2018）附录B中对应临界量的比值Q，当只涉及一种危险物质时，计算该物质的总量与其临界量比值，即为Q；当存在多种危险物质时，则按照下式计算物质总量与其临界量比值（Q）：</w:t>
      </w:r>
    </w:p>
    <w:p w14:paraId="7B65FB4C">
      <w:pPr>
        <w:widowControl/>
        <w:spacing w:line="360" w:lineRule="auto"/>
        <w:ind w:firstLine="480" w:firstLineChars="200"/>
        <w:jc w:val="center"/>
        <w:rPr>
          <w:rFonts w:hint="default" w:ascii="Times New Roman" w:hAnsi="Times New Roman" w:cs="Times New Roman"/>
          <w:color w:val="auto"/>
          <w:kern w:val="0"/>
          <w:sz w:val="24"/>
          <w:u w:val="none" w:color="auto"/>
        </w:rPr>
      </w:pPr>
      <m:oMathPara>
        <m:oMath>
          <m:r>
            <m:rPr>
              <m:sty m:val="p"/>
            </m:rPr>
            <w:rPr>
              <w:rFonts w:hint="default" w:ascii="Cambria Math" w:hAnsi="Cambria Math"/>
              <w:color w:val="auto"/>
              <w:kern w:val="0"/>
              <w:sz w:val="24"/>
            </w:rPr>
            <m:t>Q=</m:t>
          </m:r>
          <m:f>
            <m:fPr>
              <m:ctrlPr>
                <w:rPr>
                  <w:rFonts w:hint="default" w:ascii="Cambria Math" w:hAnsi="Cambria Math"/>
                  <w:color w:val="auto"/>
                  <w:sz w:val="24"/>
                </w:rPr>
              </m:ctrlPr>
            </m:fPr>
            <m:num>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1</m:t>
                  </m:r>
                  <m:ctrlPr>
                    <w:rPr>
                      <w:rFonts w:hint="default" w:ascii="Cambria Math" w:hAnsi="Cambria Math"/>
                      <w:i/>
                      <w:color w:val="auto"/>
                      <w:sz w:val="24"/>
                    </w:rPr>
                  </m:ctrlPr>
                </m:sub>
              </m:sSub>
              <m:ctrlPr>
                <w:rPr>
                  <w:rFonts w:hint="default" w:ascii="Cambria Math" w:hAnsi="Cambria Math"/>
                  <w:color w:val="auto"/>
                  <w:sz w:val="24"/>
                </w:rPr>
              </m:ctrlPr>
            </m:num>
            <m:den>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1</m:t>
                  </m:r>
                  <m:ctrlPr>
                    <w:rPr>
                      <w:rFonts w:hint="default" w:ascii="Cambria Math" w:hAnsi="Cambria Math"/>
                      <w:i/>
                      <w:color w:val="auto"/>
                      <w:sz w:val="24"/>
                    </w:rPr>
                  </m:ctrlPr>
                </m:sub>
              </m:sSub>
              <m:ctrlPr>
                <w:rPr>
                  <w:rFonts w:hint="default" w:ascii="Cambria Math" w:hAnsi="Cambria Math"/>
                  <w:color w:val="auto"/>
                  <w:sz w:val="24"/>
                </w:rPr>
              </m:ctrlPr>
            </m:den>
          </m:f>
          <m:r>
            <m:rPr/>
            <w:rPr>
              <w:rFonts w:hint="default" w:ascii="Cambria Math" w:hAnsi="Cambria Math"/>
              <w:color w:val="auto"/>
              <w:kern w:val="0"/>
              <w:sz w:val="24"/>
            </w:rPr>
            <m:t>+</m:t>
          </m:r>
          <m:f>
            <m:fPr>
              <m:ctrlPr>
                <w:rPr>
                  <w:rFonts w:hint="default" w:ascii="Cambria Math" w:hAnsi="Cambria Math"/>
                  <w:color w:val="auto"/>
                  <w:sz w:val="24"/>
                </w:rPr>
              </m:ctrlPr>
            </m:fPr>
            <m:num>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2</m:t>
                  </m:r>
                  <m:ctrlPr>
                    <w:rPr>
                      <w:rFonts w:hint="default" w:ascii="Cambria Math" w:hAnsi="Cambria Math"/>
                      <w:i/>
                      <w:color w:val="auto"/>
                      <w:sz w:val="24"/>
                    </w:rPr>
                  </m:ctrlPr>
                </m:sub>
              </m:sSub>
              <m:ctrlPr>
                <w:rPr>
                  <w:rFonts w:hint="default" w:ascii="Cambria Math" w:hAnsi="Cambria Math"/>
                  <w:color w:val="auto"/>
                  <w:sz w:val="24"/>
                </w:rPr>
              </m:ctrlPr>
            </m:num>
            <m:den>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2</m:t>
                  </m:r>
                  <m:ctrlPr>
                    <w:rPr>
                      <w:rFonts w:hint="default" w:ascii="Cambria Math" w:hAnsi="Cambria Math"/>
                      <w:i/>
                      <w:color w:val="auto"/>
                      <w:sz w:val="24"/>
                    </w:rPr>
                  </m:ctrlPr>
                </m:sub>
              </m:sSub>
              <m:ctrlPr>
                <w:rPr>
                  <w:rFonts w:hint="default" w:ascii="Cambria Math" w:hAnsi="Cambria Math"/>
                  <w:color w:val="auto"/>
                  <w:sz w:val="24"/>
                </w:rPr>
              </m:ctrlPr>
            </m:den>
          </m:f>
          <m:r>
            <m:rPr/>
            <w:rPr>
              <w:rFonts w:hint="default" w:ascii="Cambria Math" w:hAnsi="Cambria Math"/>
              <w:color w:val="auto"/>
              <w:kern w:val="0"/>
              <w:sz w:val="24"/>
            </w:rPr>
            <m:t>+⋯</m:t>
          </m:r>
          <m:f>
            <m:fPr>
              <m:ctrlPr>
                <w:rPr>
                  <w:rFonts w:hint="default" w:ascii="Cambria Math" w:hAnsi="Cambria Math"/>
                  <w:color w:val="auto"/>
                  <w:sz w:val="24"/>
                </w:rPr>
              </m:ctrlPr>
            </m:fPr>
            <m:num>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n</m:t>
                  </m:r>
                  <m:ctrlPr>
                    <w:rPr>
                      <w:rFonts w:hint="default" w:ascii="Cambria Math" w:hAnsi="Cambria Math"/>
                      <w:i/>
                      <w:color w:val="auto"/>
                      <w:sz w:val="24"/>
                    </w:rPr>
                  </m:ctrlPr>
                </m:sub>
              </m:sSub>
              <m:ctrlPr>
                <w:rPr>
                  <w:rFonts w:hint="default" w:ascii="Cambria Math" w:hAnsi="Cambria Math"/>
                  <w:color w:val="auto"/>
                  <w:sz w:val="24"/>
                </w:rPr>
              </m:ctrlPr>
            </m:num>
            <m:den>
              <m:sSub>
                <m:sSubPr>
                  <m:ctrlPr>
                    <w:rPr>
                      <w:rFonts w:hint="default" w:ascii="Cambria Math" w:hAnsi="Cambria Math"/>
                      <w:i/>
                      <w:color w:val="auto"/>
                      <w:sz w:val="24"/>
                    </w:rPr>
                  </m:ctrlPr>
                </m:sSubPr>
                <m:e>
                  <m:r>
                    <m:rPr/>
                    <w:rPr>
                      <w:rFonts w:hint="default" w:ascii="Cambria Math" w:hAnsi="Cambria Math"/>
                      <w:color w:val="auto"/>
                      <w:kern w:val="0"/>
                      <w:sz w:val="24"/>
                    </w:rPr>
                    <m:t>Q</m:t>
                  </m:r>
                  <m:ctrlPr>
                    <w:rPr>
                      <w:rFonts w:hint="default" w:ascii="Cambria Math" w:hAnsi="Cambria Math"/>
                      <w:i/>
                      <w:color w:val="auto"/>
                      <w:sz w:val="24"/>
                    </w:rPr>
                  </m:ctrlPr>
                </m:e>
                <m:sub>
                  <m:r>
                    <m:rPr/>
                    <w:rPr>
                      <w:rFonts w:hint="default" w:ascii="Cambria Math" w:hAnsi="Cambria Math"/>
                      <w:color w:val="auto"/>
                      <w:kern w:val="0"/>
                      <w:sz w:val="24"/>
                    </w:rPr>
                    <m:t>n</m:t>
                  </m:r>
                  <m:ctrlPr>
                    <w:rPr>
                      <w:rFonts w:hint="default" w:ascii="Cambria Math" w:hAnsi="Cambria Math"/>
                      <w:i/>
                      <w:color w:val="auto"/>
                      <w:sz w:val="24"/>
                    </w:rPr>
                  </m:ctrlPr>
                </m:sub>
              </m:sSub>
              <m:ctrlPr>
                <w:rPr>
                  <w:rFonts w:hint="default" w:ascii="Cambria Math" w:hAnsi="Cambria Math"/>
                  <w:color w:val="auto"/>
                  <w:sz w:val="24"/>
                </w:rPr>
              </m:ctrlPr>
            </m:den>
          </m:f>
        </m:oMath>
      </m:oMathPara>
    </w:p>
    <w:p w14:paraId="3EEDEA01">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式中：q</w:t>
      </w:r>
      <w:r>
        <w:rPr>
          <w:rFonts w:hint="default" w:ascii="Times New Roman" w:hAnsi="Times New Roman" w:cs="Times New Roman"/>
          <w:color w:val="auto"/>
          <w:u w:val="none" w:color="auto"/>
          <w:vertAlign w:val="subscript"/>
        </w:rPr>
        <w:t>1</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n</w:t>
      </w:r>
      <w:r>
        <w:rPr>
          <w:rFonts w:hint="default" w:ascii="Times New Roman" w:hAnsi="Times New Roman" w:cs="Times New Roman"/>
          <w:color w:val="auto"/>
          <w:u w:val="none" w:color="auto"/>
        </w:rPr>
        <w:t>——每种危险物质的最大存在量，t；</w:t>
      </w:r>
    </w:p>
    <w:p w14:paraId="5E8EF99C">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1</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2</w:t>
      </w:r>
      <w:r>
        <w:rPr>
          <w:rFonts w:hint="default" w:ascii="Times New Roman" w:hAnsi="Times New Roman" w:cs="Times New Roman"/>
          <w:color w:val="auto"/>
          <w:u w:val="none" w:color="auto"/>
        </w:rPr>
        <w:t>，…，Q</w:t>
      </w:r>
      <w:r>
        <w:rPr>
          <w:rFonts w:hint="default" w:ascii="Times New Roman" w:hAnsi="Times New Roman" w:cs="Times New Roman"/>
          <w:color w:val="auto"/>
          <w:u w:val="none" w:color="auto"/>
          <w:vertAlign w:val="subscript"/>
        </w:rPr>
        <w:t>n</w:t>
      </w:r>
      <w:r>
        <w:rPr>
          <w:rFonts w:hint="default" w:ascii="Times New Roman" w:hAnsi="Times New Roman" w:cs="Times New Roman"/>
          <w:color w:val="auto"/>
          <w:u w:val="none" w:color="auto"/>
        </w:rPr>
        <w:t>——每种危险物质的临界量，t。</w:t>
      </w:r>
    </w:p>
    <w:p w14:paraId="3F82EB69">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当Q＜1时，该项目风险潜势为</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w:t>
      </w:r>
    </w:p>
    <w:p w14:paraId="491C8E2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当Q≥1时，将Q值划分为：（1）1≤Q＜10；（2）10≤Q＜100；（3）Q≥100。</w:t>
      </w:r>
    </w:p>
    <w:p w14:paraId="58C7DAB2">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lang w:val="en-US" w:eastAsia="zh-CN"/>
        </w:rPr>
        <w:t>.3-</w:t>
      </w:r>
      <w:r>
        <w:rPr>
          <w:rFonts w:hint="eastAsia"/>
          <w:color w:val="auto"/>
          <w:u w:val="none" w:color="auto"/>
          <w:lang w:val="en-US" w:eastAsia="zh-CN"/>
        </w:rPr>
        <w:t>5</w:t>
      </w:r>
      <w:r>
        <w:rPr>
          <w:rFonts w:hint="default"/>
          <w:color w:val="auto"/>
          <w:u w:val="none" w:color="auto"/>
          <w:lang w:val="en-US" w:eastAsia="zh-CN"/>
        </w:rPr>
        <w:t xml:space="preserve">  </w:t>
      </w:r>
      <w:r>
        <w:rPr>
          <w:rFonts w:hint="default"/>
          <w:color w:val="auto"/>
          <w:u w:val="none" w:color="auto"/>
        </w:rPr>
        <w:t>涉及的风险物质及Q值计算一览表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30" w:type="dxa"/>
          <w:bottom w:w="0" w:type="dxa"/>
          <w:right w:w="30" w:type="dxa"/>
        </w:tblCellMar>
      </w:tblPr>
      <w:tblGrid>
        <w:gridCol w:w="523"/>
        <w:gridCol w:w="1241"/>
        <w:gridCol w:w="1065"/>
        <w:gridCol w:w="1320"/>
        <w:gridCol w:w="1333"/>
        <w:gridCol w:w="1071"/>
        <w:gridCol w:w="1019"/>
        <w:gridCol w:w="932"/>
      </w:tblGrid>
      <w:tr w14:paraId="2F6EEE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6F37E378">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序号</w:t>
            </w:r>
          </w:p>
        </w:tc>
        <w:tc>
          <w:tcPr>
            <w:tcW w:w="1241" w:type="dxa"/>
            <w:noWrap w:val="0"/>
            <w:vAlign w:val="center"/>
          </w:tcPr>
          <w:p w14:paraId="61F0FF65">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名称</w:t>
            </w:r>
          </w:p>
        </w:tc>
        <w:tc>
          <w:tcPr>
            <w:tcW w:w="1065" w:type="dxa"/>
            <w:noWrap w:val="0"/>
            <w:vAlign w:val="center"/>
          </w:tcPr>
          <w:p w14:paraId="335C6062">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理化性质</w:t>
            </w:r>
          </w:p>
        </w:tc>
        <w:tc>
          <w:tcPr>
            <w:tcW w:w="1320" w:type="dxa"/>
            <w:noWrap w:val="0"/>
            <w:vAlign w:val="center"/>
          </w:tcPr>
          <w:p w14:paraId="46EF6B12">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危害特性</w:t>
            </w:r>
          </w:p>
        </w:tc>
        <w:tc>
          <w:tcPr>
            <w:tcW w:w="1333" w:type="dxa"/>
            <w:noWrap w:val="0"/>
            <w:vAlign w:val="center"/>
          </w:tcPr>
          <w:p w14:paraId="199240DA">
            <w:pPr>
              <w:pStyle w:val="24"/>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val="en-US" w:eastAsia="zh-CN"/>
              </w:rPr>
              <w:t>贮存方式</w:t>
            </w:r>
          </w:p>
        </w:tc>
        <w:tc>
          <w:tcPr>
            <w:tcW w:w="1071" w:type="dxa"/>
            <w:noWrap w:val="0"/>
            <w:vAlign w:val="center"/>
          </w:tcPr>
          <w:p w14:paraId="5F5EBFFD">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最大贮存量qi</w:t>
            </w:r>
          </w:p>
        </w:tc>
        <w:tc>
          <w:tcPr>
            <w:tcW w:w="1019" w:type="dxa"/>
            <w:noWrap w:val="0"/>
            <w:vAlign w:val="center"/>
          </w:tcPr>
          <w:p w14:paraId="75D0567B">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导则</w:t>
            </w:r>
            <w:r>
              <w:rPr>
                <w:rFonts w:hint="default" w:ascii="Times New Roman" w:hAnsi="Times New Roman" w:cs="Times New Roman"/>
                <w:color w:val="auto"/>
                <w:u w:val="none" w:color="auto"/>
                <w:lang w:val="en-US" w:eastAsia="zh-CN"/>
              </w:rPr>
              <w:t>》中规定的临界量Qi</w:t>
            </w:r>
          </w:p>
        </w:tc>
        <w:tc>
          <w:tcPr>
            <w:tcW w:w="932" w:type="dxa"/>
            <w:noWrap w:val="0"/>
            <w:vAlign w:val="center"/>
          </w:tcPr>
          <w:p w14:paraId="06FA7BB8">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qi/Qi</w:t>
            </w:r>
          </w:p>
        </w:tc>
      </w:tr>
      <w:tr w14:paraId="316D5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7012D560">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1241" w:type="dxa"/>
            <w:noWrap w:val="0"/>
            <w:vAlign w:val="center"/>
          </w:tcPr>
          <w:p w14:paraId="6DD8579B">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矿物油</w:t>
            </w:r>
          </w:p>
        </w:tc>
        <w:tc>
          <w:tcPr>
            <w:tcW w:w="1065" w:type="dxa"/>
            <w:noWrap w:val="0"/>
            <w:vAlign w:val="center"/>
          </w:tcPr>
          <w:p w14:paraId="1381EE87">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液态</w:t>
            </w:r>
          </w:p>
        </w:tc>
        <w:tc>
          <w:tcPr>
            <w:tcW w:w="1320" w:type="dxa"/>
            <w:noWrap w:val="0"/>
            <w:vAlign w:val="center"/>
          </w:tcPr>
          <w:p w14:paraId="69F19574">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易燃</w:t>
            </w:r>
          </w:p>
        </w:tc>
        <w:tc>
          <w:tcPr>
            <w:tcW w:w="1333" w:type="dxa"/>
            <w:noWrap w:val="0"/>
            <w:vAlign w:val="center"/>
          </w:tcPr>
          <w:p w14:paraId="2FBD6FFA">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仓库</w:t>
            </w:r>
          </w:p>
        </w:tc>
        <w:tc>
          <w:tcPr>
            <w:tcW w:w="1071" w:type="dxa"/>
            <w:noWrap w:val="0"/>
            <w:vAlign w:val="center"/>
          </w:tcPr>
          <w:p w14:paraId="2B65D0C5">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0.1t</w:t>
            </w:r>
          </w:p>
        </w:tc>
        <w:tc>
          <w:tcPr>
            <w:tcW w:w="1019" w:type="dxa"/>
            <w:noWrap w:val="0"/>
            <w:vAlign w:val="center"/>
          </w:tcPr>
          <w:p w14:paraId="245179A6">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2500t</w:t>
            </w:r>
          </w:p>
        </w:tc>
        <w:tc>
          <w:tcPr>
            <w:tcW w:w="932" w:type="dxa"/>
            <w:noWrap w:val="0"/>
            <w:vAlign w:val="center"/>
          </w:tcPr>
          <w:p w14:paraId="1A9A131D">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0.00004</w:t>
            </w:r>
          </w:p>
        </w:tc>
      </w:tr>
      <w:tr w14:paraId="0771A4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63109104">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2</w:t>
            </w:r>
          </w:p>
        </w:tc>
        <w:tc>
          <w:tcPr>
            <w:tcW w:w="1241" w:type="dxa"/>
            <w:noWrap w:val="0"/>
            <w:vAlign w:val="center"/>
          </w:tcPr>
          <w:p w14:paraId="6D332BEB">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废矿物油</w:t>
            </w:r>
          </w:p>
        </w:tc>
        <w:tc>
          <w:tcPr>
            <w:tcW w:w="1065" w:type="dxa"/>
            <w:noWrap w:val="0"/>
            <w:vAlign w:val="center"/>
          </w:tcPr>
          <w:p w14:paraId="002F0114">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液态</w:t>
            </w:r>
          </w:p>
        </w:tc>
        <w:tc>
          <w:tcPr>
            <w:tcW w:w="1320" w:type="dxa"/>
            <w:noWrap w:val="0"/>
            <w:vAlign w:val="center"/>
          </w:tcPr>
          <w:p w14:paraId="441D59C1">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易燃、毒性</w:t>
            </w:r>
          </w:p>
        </w:tc>
        <w:tc>
          <w:tcPr>
            <w:tcW w:w="1333" w:type="dxa"/>
            <w:noWrap w:val="0"/>
            <w:vAlign w:val="center"/>
          </w:tcPr>
          <w:p w14:paraId="0E56A5A3">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4190586F">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0.1t</w:t>
            </w:r>
          </w:p>
        </w:tc>
        <w:tc>
          <w:tcPr>
            <w:tcW w:w="1019" w:type="dxa"/>
            <w:noWrap w:val="0"/>
            <w:vAlign w:val="center"/>
          </w:tcPr>
          <w:p w14:paraId="33C3A69D">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0BB8D857">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0.002</w:t>
            </w:r>
          </w:p>
        </w:tc>
      </w:tr>
      <w:tr w14:paraId="7D8C86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261E6674">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3</w:t>
            </w:r>
          </w:p>
        </w:tc>
        <w:tc>
          <w:tcPr>
            <w:tcW w:w="1241" w:type="dxa"/>
            <w:noWrap w:val="0"/>
            <w:vAlign w:val="center"/>
          </w:tcPr>
          <w:p w14:paraId="3A782AA6">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废活性炭</w:t>
            </w:r>
          </w:p>
        </w:tc>
        <w:tc>
          <w:tcPr>
            <w:tcW w:w="1065" w:type="dxa"/>
            <w:noWrap w:val="0"/>
            <w:vAlign w:val="center"/>
          </w:tcPr>
          <w:p w14:paraId="05B64992">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固态</w:t>
            </w:r>
          </w:p>
        </w:tc>
        <w:tc>
          <w:tcPr>
            <w:tcW w:w="1320" w:type="dxa"/>
            <w:noWrap w:val="0"/>
            <w:vAlign w:val="center"/>
          </w:tcPr>
          <w:p w14:paraId="32A0E906">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6F4B87A2">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危废暂存间</w:t>
            </w:r>
          </w:p>
        </w:tc>
        <w:tc>
          <w:tcPr>
            <w:tcW w:w="1071" w:type="dxa"/>
            <w:noWrap w:val="0"/>
            <w:vAlign w:val="center"/>
          </w:tcPr>
          <w:p w14:paraId="22912BCD">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4.3t</w:t>
            </w:r>
          </w:p>
        </w:tc>
        <w:tc>
          <w:tcPr>
            <w:tcW w:w="1019" w:type="dxa"/>
            <w:noWrap w:val="0"/>
            <w:vAlign w:val="center"/>
          </w:tcPr>
          <w:p w14:paraId="27007DF6">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highlight w:val="none"/>
                <w:u w:val="none" w:color="auto"/>
                <w:lang w:val="en-US" w:eastAsia="zh-CN"/>
              </w:rPr>
              <w:t>50t</w:t>
            </w:r>
          </w:p>
        </w:tc>
        <w:tc>
          <w:tcPr>
            <w:tcW w:w="932" w:type="dxa"/>
            <w:noWrap w:val="0"/>
            <w:vAlign w:val="center"/>
          </w:tcPr>
          <w:p w14:paraId="3A65776B">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0.086</w:t>
            </w:r>
          </w:p>
        </w:tc>
      </w:tr>
      <w:tr w14:paraId="771DF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0C013EE4">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4</w:t>
            </w:r>
          </w:p>
        </w:tc>
        <w:tc>
          <w:tcPr>
            <w:tcW w:w="1241" w:type="dxa"/>
            <w:noWrap w:val="0"/>
            <w:vAlign w:val="center"/>
          </w:tcPr>
          <w:p w14:paraId="3415D75B">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溶剂型</w:t>
            </w:r>
            <w:r>
              <w:rPr>
                <w:rFonts w:hint="default" w:ascii="Times New Roman" w:hAnsi="Times New Roman" w:cs="Times New Roman"/>
                <w:color w:val="auto"/>
                <w:u w:val="none" w:color="auto"/>
              </w:rPr>
              <w:t>胶粘剂包装桶</w:t>
            </w:r>
          </w:p>
        </w:tc>
        <w:tc>
          <w:tcPr>
            <w:tcW w:w="1065" w:type="dxa"/>
            <w:noWrap w:val="0"/>
            <w:vAlign w:val="center"/>
          </w:tcPr>
          <w:p w14:paraId="17015FF2">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固体</w:t>
            </w:r>
          </w:p>
        </w:tc>
        <w:tc>
          <w:tcPr>
            <w:tcW w:w="1320" w:type="dxa"/>
            <w:noWrap w:val="0"/>
            <w:vAlign w:val="center"/>
          </w:tcPr>
          <w:p w14:paraId="3675500C">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3FAA1D27">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危废暂存间</w:t>
            </w:r>
          </w:p>
        </w:tc>
        <w:tc>
          <w:tcPr>
            <w:tcW w:w="1071" w:type="dxa"/>
            <w:noWrap w:val="0"/>
            <w:vAlign w:val="center"/>
          </w:tcPr>
          <w:p w14:paraId="53948B70">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0.152t</w:t>
            </w:r>
          </w:p>
        </w:tc>
        <w:tc>
          <w:tcPr>
            <w:tcW w:w="1019" w:type="dxa"/>
            <w:noWrap w:val="0"/>
            <w:vAlign w:val="center"/>
          </w:tcPr>
          <w:p w14:paraId="334F64E4">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50t</w:t>
            </w:r>
          </w:p>
        </w:tc>
        <w:tc>
          <w:tcPr>
            <w:tcW w:w="932" w:type="dxa"/>
            <w:noWrap w:val="0"/>
            <w:vAlign w:val="center"/>
          </w:tcPr>
          <w:p w14:paraId="489BC95B">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0.00304</w:t>
            </w:r>
          </w:p>
        </w:tc>
      </w:tr>
      <w:tr w14:paraId="2B20B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613BF3C9">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5</w:t>
            </w:r>
          </w:p>
        </w:tc>
        <w:tc>
          <w:tcPr>
            <w:tcW w:w="1241" w:type="dxa"/>
            <w:noWrap w:val="0"/>
            <w:vAlign w:val="center"/>
          </w:tcPr>
          <w:p w14:paraId="4A04BC62">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二甲苯</w:t>
            </w:r>
          </w:p>
        </w:tc>
        <w:tc>
          <w:tcPr>
            <w:tcW w:w="1065" w:type="dxa"/>
            <w:noWrap w:val="0"/>
            <w:vAlign w:val="center"/>
          </w:tcPr>
          <w:p w14:paraId="2C6ADC4C">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液态</w:t>
            </w:r>
          </w:p>
        </w:tc>
        <w:tc>
          <w:tcPr>
            <w:tcW w:w="1320" w:type="dxa"/>
            <w:noWrap w:val="0"/>
            <w:vAlign w:val="center"/>
          </w:tcPr>
          <w:p w14:paraId="704BE99C">
            <w:pPr>
              <w:pStyle w:val="24"/>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212BCB25">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仓库</w:t>
            </w:r>
          </w:p>
        </w:tc>
        <w:tc>
          <w:tcPr>
            <w:tcW w:w="1071" w:type="dxa"/>
            <w:noWrap w:val="0"/>
            <w:vAlign w:val="center"/>
          </w:tcPr>
          <w:p w14:paraId="34707FE4">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0.1t</w:t>
            </w:r>
          </w:p>
        </w:tc>
        <w:tc>
          <w:tcPr>
            <w:tcW w:w="1019" w:type="dxa"/>
            <w:noWrap w:val="0"/>
            <w:vAlign w:val="center"/>
          </w:tcPr>
          <w:p w14:paraId="3F3A742C">
            <w:pPr>
              <w:pStyle w:val="24"/>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10t</w:t>
            </w:r>
          </w:p>
        </w:tc>
        <w:tc>
          <w:tcPr>
            <w:tcW w:w="932" w:type="dxa"/>
            <w:noWrap w:val="0"/>
            <w:vAlign w:val="center"/>
          </w:tcPr>
          <w:p w14:paraId="1AC575A0">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0.01</w:t>
            </w:r>
          </w:p>
        </w:tc>
      </w:tr>
      <w:tr w14:paraId="7898F7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523" w:type="dxa"/>
            <w:noWrap w:val="0"/>
            <w:vAlign w:val="center"/>
          </w:tcPr>
          <w:p w14:paraId="5FC817A0">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6</w:t>
            </w:r>
          </w:p>
        </w:tc>
        <w:tc>
          <w:tcPr>
            <w:tcW w:w="1241" w:type="dxa"/>
            <w:noWrap w:val="0"/>
            <w:vAlign w:val="center"/>
          </w:tcPr>
          <w:p w14:paraId="78179DAE">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乙酸乙酯</w:t>
            </w:r>
          </w:p>
        </w:tc>
        <w:tc>
          <w:tcPr>
            <w:tcW w:w="1065" w:type="dxa"/>
            <w:noWrap w:val="0"/>
            <w:vAlign w:val="center"/>
          </w:tcPr>
          <w:p w14:paraId="500780B9">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液态</w:t>
            </w:r>
          </w:p>
        </w:tc>
        <w:tc>
          <w:tcPr>
            <w:tcW w:w="1320" w:type="dxa"/>
            <w:noWrap w:val="0"/>
            <w:vAlign w:val="center"/>
          </w:tcPr>
          <w:p w14:paraId="3C73B3EF">
            <w:pPr>
              <w:pStyle w:val="24"/>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毒性</w:t>
            </w:r>
          </w:p>
        </w:tc>
        <w:tc>
          <w:tcPr>
            <w:tcW w:w="1333" w:type="dxa"/>
            <w:noWrap w:val="0"/>
            <w:vAlign w:val="center"/>
          </w:tcPr>
          <w:p w14:paraId="5DD32FC8">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仓库</w:t>
            </w:r>
          </w:p>
        </w:tc>
        <w:tc>
          <w:tcPr>
            <w:tcW w:w="1071" w:type="dxa"/>
            <w:noWrap w:val="0"/>
            <w:vAlign w:val="center"/>
          </w:tcPr>
          <w:p w14:paraId="38BDE04F">
            <w:pPr>
              <w:pStyle w:val="24"/>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0.1t</w:t>
            </w:r>
          </w:p>
        </w:tc>
        <w:tc>
          <w:tcPr>
            <w:tcW w:w="1019" w:type="dxa"/>
            <w:noWrap w:val="0"/>
            <w:vAlign w:val="center"/>
          </w:tcPr>
          <w:p w14:paraId="2EA419F9">
            <w:pPr>
              <w:pStyle w:val="24"/>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10t</w:t>
            </w:r>
          </w:p>
        </w:tc>
        <w:tc>
          <w:tcPr>
            <w:tcW w:w="932" w:type="dxa"/>
            <w:noWrap w:val="0"/>
            <w:vAlign w:val="center"/>
          </w:tcPr>
          <w:p w14:paraId="4B69FEDE">
            <w:pPr>
              <w:pStyle w:val="24"/>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0.01</w:t>
            </w:r>
          </w:p>
        </w:tc>
      </w:tr>
      <w:tr w14:paraId="6BA65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7572" w:type="dxa"/>
            <w:gridSpan w:val="7"/>
            <w:noWrap w:val="0"/>
            <w:vAlign w:val="center"/>
          </w:tcPr>
          <w:p w14:paraId="6BD0515F">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合计</w:t>
            </w:r>
          </w:p>
        </w:tc>
        <w:tc>
          <w:tcPr>
            <w:tcW w:w="932" w:type="dxa"/>
            <w:noWrap w:val="0"/>
            <w:vAlign w:val="center"/>
          </w:tcPr>
          <w:p w14:paraId="4C7C5DE9">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0.11108</w:t>
            </w:r>
          </w:p>
        </w:tc>
      </w:tr>
      <w:tr w14:paraId="05A29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30" w:type="dxa"/>
            <w:bottom w:w="0" w:type="dxa"/>
            <w:right w:w="30" w:type="dxa"/>
          </w:tblCellMar>
        </w:tblPrEx>
        <w:trPr>
          <w:trHeight w:val="340" w:hRule="atLeast"/>
          <w:jc w:val="center"/>
        </w:trPr>
        <w:tc>
          <w:tcPr>
            <w:tcW w:w="8504" w:type="dxa"/>
            <w:gridSpan w:val="8"/>
            <w:noWrap w:val="0"/>
            <w:vAlign w:val="center"/>
          </w:tcPr>
          <w:p w14:paraId="4684254D">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注：临界量Q</w:t>
            </w:r>
            <w:r>
              <w:rPr>
                <w:rFonts w:hint="default" w:ascii="Times New Roman" w:hAnsi="Times New Roman" w:cs="Times New Roman"/>
                <w:color w:val="auto"/>
                <w:u w:val="none" w:color="auto"/>
                <w:lang w:val="en-US" w:eastAsia="zh-CN"/>
              </w:rPr>
              <w:t>i</w:t>
            </w:r>
            <w:r>
              <w:rPr>
                <w:rFonts w:hint="default" w:ascii="Times New Roman" w:hAnsi="Times New Roman" w:cs="Times New Roman"/>
                <w:color w:val="auto"/>
                <w:u w:val="none" w:color="auto"/>
              </w:rPr>
              <w:t>参照《建设项目环境风险评价技术导则》（HJ169-2018）附录B里所列的临界值，均以纯物质来计。</w:t>
            </w:r>
          </w:p>
        </w:tc>
      </w:tr>
    </w:tbl>
    <w:p w14:paraId="18E65659">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所以本项目危险物质的数量与临界量比值Q=</w:t>
      </w:r>
      <w:r>
        <w:rPr>
          <w:rFonts w:hint="eastAsia" w:cs="Times New Roman"/>
          <w:color w:val="auto"/>
          <w:u w:val="none" w:color="auto"/>
          <w:lang w:val="en-US" w:eastAsia="zh-CN"/>
        </w:rPr>
        <w:t>0.11108</w:t>
      </w:r>
      <w:r>
        <w:rPr>
          <w:rFonts w:hint="default" w:ascii="Times New Roman" w:hAnsi="Times New Roman" w:cs="Times New Roman"/>
          <w:color w:val="auto"/>
          <w:u w:val="none" w:color="auto"/>
        </w:rPr>
        <w:t>＜1，风险潜势为</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不再进行P、E值判定</w:t>
      </w:r>
      <w:r>
        <w:rPr>
          <w:rFonts w:hint="default" w:ascii="Times New Roman" w:hAnsi="Times New Roman" w:cs="Times New Roman"/>
          <w:color w:val="auto"/>
          <w:u w:val="none" w:color="auto"/>
        </w:rPr>
        <w:t>。</w:t>
      </w:r>
    </w:p>
    <w:p w14:paraId="4CDFE306">
      <w:pPr>
        <w:pStyle w:val="20"/>
        <w:bidi w:val="0"/>
        <w:rPr>
          <w:rFonts w:hint="default"/>
          <w:color w:val="auto"/>
          <w:u w:val="none" w:color="auto"/>
          <w:lang w:val="en-US" w:eastAsia="zh-CN"/>
        </w:rPr>
      </w:pPr>
      <w:r>
        <w:rPr>
          <w:rFonts w:hint="eastAsia"/>
          <w:color w:val="auto"/>
          <w:u w:val="none" w:color="auto"/>
          <w:lang w:eastAsia="zh-CN"/>
        </w:rPr>
        <w:t>（</w:t>
      </w:r>
      <w:r>
        <w:rPr>
          <w:rFonts w:hint="eastAsia"/>
          <w:color w:val="auto"/>
          <w:u w:val="none" w:color="auto"/>
          <w:lang w:val="en-US" w:eastAsia="zh-CN"/>
        </w:rPr>
        <w:t>2</w:t>
      </w:r>
      <w:r>
        <w:rPr>
          <w:rFonts w:hint="eastAsia"/>
          <w:color w:val="auto"/>
          <w:u w:val="none" w:color="auto"/>
          <w:lang w:eastAsia="zh-CN"/>
        </w:rPr>
        <w:t>）</w:t>
      </w:r>
      <w:r>
        <w:rPr>
          <w:rFonts w:hint="eastAsia"/>
          <w:color w:val="auto"/>
          <w:u w:val="none" w:color="auto"/>
          <w:lang w:val="en-US" w:eastAsia="zh-CN"/>
        </w:rPr>
        <w:t>评价等级</w:t>
      </w:r>
    </w:p>
    <w:p w14:paraId="4BFBC3E6">
      <w:pPr>
        <w:spacing w:line="360" w:lineRule="auto"/>
        <w:ind w:firstLine="480" w:firstLineChars="200"/>
        <w:rPr>
          <w:rFonts w:hint="default" w:ascii="Times New Roman" w:hAnsi="Times New Roman" w:cs="Times New Roman"/>
          <w:color w:val="auto"/>
          <w:kern w:val="0"/>
          <w:sz w:val="18"/>
          <w:szCs w:val="18"/>
          <w:u w:val="none" w:color="auto"/>
        </w:rPr>
      </w:pPr>
      <w:r>
        <w:rPr>
          <w:rFonts w:hint="default" w:ascii="Times New Roman" w:hAnsi="Times New Roman" w:cs="Times New Roman"/>
          <w:color w:val="auto"/>
          <w:kern w:val="0"/>
          <w:sz w:val="24"/>
          <w:u w:val="none" w:color="auto"/>
        </w:rPr>
        <w:t>环境风险评价工作等级划分为一级、二级、三级。根据建设项目设计的物质及工艺系统危险性和所在地的环境敏感性确定环境风险潜势，按照下表确定工作等级。风险潜势为</w:t>
      </w:r>
      <w:r>
        <w:rPr>
          <w:rFonts w:hint="default" w:ascii="Times New Roman" w:hAnsi="Times New Roman" w:cs="Times New Roman"/>
          <w:bCs/>
          <w:color w:val="auto"/>
          <w:sz w:val="24"/>
          <w:u w:val="none" w:color="auto"/>
        </w:rPr>
        <w:fldChar w:fldCharType="begin"/>
      </w:r>
      <w:r>
        <w:rPr>
          <w:rFonts w:hint="default" w:ascii="Times New Roman" w:hAnsi="Times New Roman" w:cs="Times New Roman"/>
          <w:bCs/>
          <w:color w:val="auto"/>
          <w:sz w:val="24"/>
          <w:u w:val="none" w:color="auto"/>
        </w:rPr>
        <w:instrText xml:space="preserve"> = 4 \* ROMAN </w:instrText>
      </w:r>
      <w:r>
        <w:rPr>
          <w:rFonts w:hint="default" w:ascii="Times New Roman" w:hAnsi="Times New Roman" w:cs="Times New Roman"/>
          <w:bCs/>
          <w:color w:val="auto"/>
          <w:sz w:val="24"/>
          <w:u w:val="none" w:color="auto"/>
        </w:rPr>
        <w:fldChar w:fldCharType="separate"/>
      </w:r>
      <w:r>
        <w:rPr>
          <w:rFonts w:hint="default" w:ascii="Times New Roman" w:hAnsi="Times New Roman" w:cs="Times New Roman"/>
          <w:bCs/>
          <w:color w:val="auto"/>
          <w:sz w:val="24"/>
          <w:u w:val="none" w:color="auto"/>
        </w:rPr>
        <w:t>IV</w:t>
      </w:r>
      <w:r>
        <w:rPr>
          <w:rFonts w:hint="default" w:ascii="Times New Roman" w:hAnsi="Times New Roman" w:cs="Times New Roman"/>
          <w:bCs/>
          <w:color w:val="auto"/>
          <w:sz w:val="24"/>
          <w:u w:val="none" w:color="auto"/>
        </w:rPr>
        <w:fldChar w:fldCharType="end"/>
      </w:r>
      <w:r>
        <w:rPr>
          <w:rFonts w:hint="default" w:ascii="Times New Roman" w:hAnsi="Times New Roman" w:cs="Times New Roman"/>
          <w:color w:val="auto"/>
          <w:kern w:val="0"/>
          <w:sz w:val="24"/>
          <w:u w:val="none" w:color="auto"/>
        </w:rPr>
        <w:t>及以上，进行一级评价；风险潜势为</w:t>
      </w:r>
      <w:r>
        <w:rPr>
          <w:rFonts w:hint="default" w:ascii="Times New Roman" w:hAnsi="Times New Roman" w:cs="Times New Roman"/>
          <w:bCs/>
          <w:color w:val="auto"/>
          <w:sz w:val="24"/>
          <w:u w:val="none" w:color="auto"/>
        </w:rPr>
        <w:fldChar w:fldCharType="begin"/>
      </w:r>
      <w:r>
        <w:rPr>
          <w:rFonts w:hint="default" w:ascii="Times New Roman" w:hAnsi="Times New Roman" w:cs="Times New Roman"/>
          <w:bCs/>
          <w:color w:val="auto"/>
          <w:sz w:val="24"/>
          <w:u w:val="none" w:color="auto"/>
        </w:rPr>
        <w:instrText xml:space="preserve"> = 3 \* ROMAN </w:instrText>
      </w:r>
      <w:r>
        <w:rPr>
          <w:rFonts w:hint="default" w:ascii="Times New Roman" w:hAnsi="Times New Roman" w:cs="Times New Roman"/>
          <w:bCs/>
          <w:color w:val="auto"/>
          <w:sz w:val="24"/>
          <w:u w:val="none" w:color="auto"/>
        </w:rPr>
        <w:fldChar w:fldCharType="separate"/>
      </w:r>
      <w:r>
        <w:rPr>
          <w:rFonts w:hint="default" w:ascii="Times New Roman" w:hAnsi="Times New Roman" w:cs="Times New Roman"/>
          <w:bCs/>
          <w:color w:val="auto"/>
          <w:sz w:val="24"/>
          <w:u w:val="none" w:color="auto"/>
        </w:rPr>
        <w:t>III</w:t>
      </w:r>
      <w:r>
        <w:rPr>
          <w:rFonts w:hint="default" w:ascii="Times New Roman" w:hAnsi="Times New Roman" w:cs="Times New Roman"/>
          <w:bCs/>
          <w:color w:val="auto"/>
          <w:sz w:val="24"/>
          <w:u w:val="none" w:color="auto"/>
        </w:rPr>
        <w:fldChar w:fldCharType="end"/>
      </w:r>
      <w:r>
        <w:rPr>
          <w:rFonts w:hint="default" w:ascii="Times New Roman" w:hAnsi="Times New Roman" w:cs="Times New Roman"/>
          <w:color w:val="auto"/>
          <w:kern w:val="0"/>
          <w:sz w:val="24"/>
          <w:u w:val="none" w:color="auto"/>
        </w:rPr>
        <w:t>，进行二级评价；风险潜势为</w:t>
      </w:r>
      <w:r>
        <w:rPr>
          <w:rFonts w:hint="default" w:ascii="Times New Roman" w:hAnsi="Times New Roman" w:cs="Times New Roman"/>
          <w:bCs/>
          <w:color w:val="auto"/>
          <w:sz w:val="24"/>
          <w:u w:val="none" w:color="auto"/>
        </w:rPr>
        <w:fldChar w:fldCharType="begin"/>
      </w:r>
      <w:r>
        <w:rPr>
          <w:rFonts w:hint="default" w:ascii="Times New Roman" w:hAnsi="Times New Roman" w:cs="Times New Roman"/>
          <w:bCs/>
          <w:color w:val="auto"/>
          <w:sz w:val="24"/>
          <w:u w:val="none" w:color="auto"/>
        </w:rPr>
        <w:instrText xml:space="preserve"> = 2 \* ROMAN </w:instrText>
      </w:r>
      <w:r>
        <w:rPr>
          <w:rFonts w:hint="default" w:ascii="Times New Roman" w:hAnsi="Times New Roman" w:cs="Times New Roman"/>
          <w:bCs/>
          <w:color w:val="auto"/>
          <w:sz w:val="24"/>
          <w:u w:val="none" w:color="auto"/>
        </w:rPr>
        <w:fldChar w:fldCharType="separate"/>
      </w:r>
      <w:r>
        <w:rPr>
          <w:rFonts w:hint="default" w:ascii="Times New Roman" w:hAnsi="Times New Roman" w:cs="Times New Roman"/>
          <w:bCs/>
          <w:color w:val="auto"/>
          <w:sz w:val="24"/>
          <w:u w:val="none" w:color="auto"/>
        </w:rPr>
        <w:t>II</w:t>
      </w:r>
      <w:r>
        <w:rPr>
          <w:rFonts w:hint="default" w:ascii="Times New Roman" w:hAnsi="Times New Roman" w:cs="Times New Roman"/>
          <w:bCs/>
          <w:color w:val="auto"/>
          <w:sz w:val="24"/>
          <w:u w:val="none" w:color="auto"/>
        </w:rPr>
        <w:fldChar w:fldCharType="end"/>
      </w:r>
      <w:r>
        <w:rPr>
          <w:rFonts w:hint="default" w:ascii="Times New Roman" w:hAnsi="Times New Roman" w:cs="Times New Roman"/>
          <w:color w:val="auto"/>
          <w:kern w:val="0"/>
          <w:sz w:val="24"/>
          <w:u w:val="none" w:color="auto"/>
        </w:rPr>
        <w:t>，进行三级评价；风险潜势为</w:t>
      </w:r>
      <w:r>
        <w:rPr>
          <w:rFonts w:hint="default" w:ascii="Times New Roman" w:hAnsi="Times New Roman" w:cs="Times New Roman"/>
          <w:bCs/>
          <w:color w:val="auto"/>
          <w:sz w:val="24"/>
          <w:u w:val="none" w:color="auto"/>
        </w:rPr>
        <w:fldChar w:fldCharType="begin"/>
      </w:r>
      <w:r>
        <w:rPr>
          <w:rFonts w:hint="default" w:ascii="Times New Roman" w:hAnsi="Times New Roman" w:cs="Times New Roman"/>
          <w:bCs/>
          <w:color w:val="auto"/>
          <w:sz w:val="24"/>
          <w:u w:val="none" w:color="auto"/>
        </w:rPr>
        <w:instrText xml:space="preserve"> = 1 \* ROMAN </w:instrText>
      </w:r>
      <w:r>
        <w:rPr>
          <w:rFonts w:hint="default" w:ascii="Times New Roman" w:hAnsi="Times New Roman" w:cs="Times New Roman"/>
          <w:bCs/>
          <w:color w:val="auto"/>
          <w:sz w:val="24"/>
          <w:u w:val="none" w:color="auto"/>
        </w:rPr>
        <w:fldChar w:fldCharType="separate"/>
      </w:r>
      <w:r>
        <w:rPr>
          <w:rFonts w:hint="default" w:ascii="Times New Roman" w:hAnsi="Times New Roman" w:cs="Times New Roman"/>
          <w:bCs/>
          <w:color w:val="auto"/>
          <w:sz w:val="24"/>
          <w:u w:val="none" w:color="auto"/>
        </w:rPr>
        <w:t>I</w:t>
      </w:r>
      <w:r>
        <w:rPr>
          <w:rFonts w:hint="default" w:ascii="Times New Roman" w:hAnsi="Times New Roman" w:cs="Times New Roman"/>
          <w:bCs/>
          <w:color w:val="auto"/>
          <w:sz w:val="24"/>
          <w:u w:val="none" w:color="auto"/>
        </w:rPr>
        <w:fldChar w:fldCharType="end"/>
      </w:r>
      <w:r>
        <w:rPr>
          <w:rFonts w:hint="default" w:ascii="Times New Roman" w:hAnsi="Times New Roman" w:cs="Times New Roman"/>
          <w:color w:val="auto"/>
          <w:kern w:val="0"/>
          <w:sz w:val="24"/>
          <w:u w:val="none" w:color="auto"/>
        </w:rPr>
        <w:t>，可开展简单分析。</w:t>
      </w:r>
    </w:p>
    <w:p w14:paraId="3365EAF4">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 xml:space="preserve">6 </w:t>
      </w:r>
      <w:r>
        <w:rPr>
          <w:rFonts w:hint="default"/>
          <w:color w:val="auto"/>
          <w:u w:val="none" w:color="auto"/>
        </w:rPr>
        <w:t>评价工作等级划分</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16"/>
        <w:gridCol w:w="1827"/>
        <w:gridCol w:w="839"/>
        <w:gridCol w:w="838"/>
        <w:gridCol w:w="2084"/>
      </w:tblGrid>
      <w:tr w14:paraId="2D215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3" w:type="dxa"/>
            <w:tcBorders>
              <w:tl2br w:val="nil"/>
              <w:tr2bl w:val="nil"/>
            </w:tcBorders>
            <w:noWrap w:val="0"/>
            <w:vAlign w:val="center"/>
          </w:tcPr>
          <w:p w14:paraId="2174A1A7">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环境风险潜势</w:t>
            </w:r>
          </w:p>
        </w:tc>
        <w:tc>
          <w:tcPr>
            <w:tcW w:w="1950" w:type="dxa"/>
            <w:tcBorders>
              <w:tl2br w:val="nil"/>
              <w:tr2bl w:val="nil"/>
            </w:tcBorders>
            <w:noWrap w:val="0"/>
            <w:vAlign w:val="center"/>
          </w:tcPr>
          <w:p w14:paraId="3DA6CE14">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4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IV</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vertAlign w:val="superscript"/>
              </w:rPr>
              <w:t>+</w:t>
            </w:r>
          </w:p>
        </w:tc>
        <w:tc>
          <w:tcPr>
            <w:tcW w:w="886" w:type="dxa"/>
            <w:tcBorders>
              <w:tl2br w:val="nil"/>
              <w:tr2bl w:val="nil"/>
            </w:tcBorders>
            <w:noWrap w:val="0"/>
            <w:vAlign w:val="center"/>
          </w:tcPr>
          <w:p w14:paraId="4EF821A0">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3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III</w:t>
            </w:r>
            <w:r>
              <w:rPr>
                <w:rFonts w:hint="default" w:ascii="Times New Roman" w:hAnsi="Times New Roman" w:cs="Times New Roman"/>
                <w:color w:val="auto"/>
                <w:u w:val="none" w:color="auto"/>
              </w:rPr>
              <w:fldChar w:fldCharType="end"/>
            </w:r>
          </w:p>
        </w:tc>
        <w:tc>
          <w:tcPr>
            <w:tcW w:w="885" w:type="dxa"/>
            <w:tcBorders>
              <w:tl2br w:val="nil"/>
              <w:tr2bl w:val="nil"/>
            </w:tcBorders>
            <w:noWrap w:val="0"/>
            <w:vAlign w:val="center"/>
          </w:tcPr>
          <w:p w14:paraId="4F20E189">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2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II</w:t>
            </w:r>
            <w:r>
              <w:rPr>
                <w:rFonts w:hint="default" w:ascii="Times New Roman" w:hAnsi="Times New Roman" w:cs="Times New Roman"/>
                <w:color w:val="auto"/>
                <w:u w:val="none" w:color="auto"/>
              </w:rPr>
              <w:fldChar w:fldCharType="end"/>
            </w:r>
          </w:p>
        </w:tc>
        <w:tc>
          <w:tcPr>
            <w:tcW w:w="2227" w:type="dxa"/>
            <w:tcBorders>
              <w:tl2br w:val="nil"/>
              <w:tr2bl w:val="nil"/>
            </w:tcBorders>
            <w:noWrap w:val="0"/>
            <w:vAlign w:val="center"/>
          </w:tcPr>
          <w:p w14:paraId="6B1D02F3">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p>
        </w:tc>
      </w:tr>
      <w:tr w14:paraId="4C239F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23" w:type="dxa"/>
            <w:tcBorders>
              <w:tl2br w:val="nil"/>
              <w:tr2bl w:val="nil"/>
            </w:tcBorders>
            <w:noWrap w:val="0"/>
            <w:vAlign w:val="center"/>
          </w:tcPr>
          <w:p w14:paraId="685FCBA2">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评价工作等级</w:t>
            </w:r>
          </w:p>
        </w:tc>
        <w:tc>
          <w:tcPr>
            <w:tcW w:w="1950" w:type="dxa"/>
            <w:tcBorders>
              <w:tl2br w:val="nil"/>
              <w:tr2bl w:val="nil"/>
            </w:tcBorders>
            <w:noWrap w:val="0"/>
            <w:vAlign w:val="center"/>
          </w:tcPr>
          <w:p w14:paraId="2211E446">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w:t>
            </w:r>
          </w:p>
        </w:tc>
        <w:tc>
          <w:tcPr>
            <w:tcW w:w="886" w:type="dxa"/>
            <w:tcBorders>
              <w:tl2br w:val="nil"/>
              <w:tr2bl w:val="nil"/>
            </w:tcBorders>
            <w:noWrap w:val="0"/>
            <w:vAlign w:val="center"/>
          </w:tcPr>
          <w:p w14:paraId="7DAF5F2B">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二</w:t>
            </w:r>
          </w:p>
        </w:tc>
        <w:tc>
          <w:tcPr>
            <w:tcW w:w="885" w:type="dxa"/>
            <w:tcBorders>
              <w:tl2br w:val="nil"/>
              <w:tr2bl w:val="nil"/>
            </w:tcBorders>
            <w:noWrap w:val="0"/>
            <w:vAlign w:val="center"/>
          </w:tcPr>
          <w:p w14:paraId="061222F0">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三</w:t>
            </w:r>
          </w:p>
        </w:tc>
        <w:tc>
          <w:tcPr>
            <w:tcW w:w="2227" w:type="dxa"/>
            <w:tcBorders>
              <w:tl2br w:val="nil"/>
              <w:tr2bl w:val="nil"/>
            </w:tcBorders>
            <w:noWrap w:val="0"/>
            <w:vAlign w:val="center"/>
          </w:tcPr>
          <w:p w14:paraId="72888495">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简单分析</w:t>
            </w:r>
          </w:p>
        </w:tc>
      </w:tr>
    </w:tbl>
    <w:p w14:paraId="5213BA91">
      <w:pPr>
        <w:widowControl/>
        <w:spacing w:line="360" w:lineRule="auto"/>
        <w:ind w:firstLine="48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rPr>
        <w:t>综上所述，本项目评价工作等级为简单分析。</w:t>
      </w:r>
    </w:p>
    <w:bookmarkEnd w:id="1192"/>
    <w:bookmarkEnd w:id="1193"/>
    <w:bookmarkEnd w:id="1194"/>
    <w:bookmarkEnd w:id="1195"/>
    <w:bookmarkEnd w:id="1196"/>
    <w:bookmarkEnd w:id="1201"/>
    <w:p w14:paraId="19B6E6E3">
      <w:pPr>
        <w:pStyle w:val="4"/>
        <w:rPr>
          <w:rFonts w:hint="default" w:ascii="Times New Roman" w:hAnsi="Times New Roman" w:cs="Times New Roman"/>
          <w:color w:val="auto"/>
          <w:u w:val="none" w:color="auto"/>
          <w:lang w:val="en-US" w:eastAsia="zh-CN"/>
        </w:rPr>
      </w:pPr>
      <w:bookmarkStart w:id="1203" w:name="_Toc18182"/>
      <w:bookmarkStart w:id="1204" w:name="_Toc3969"/>
      <w:bookmarkStart w:id="1205" w:name="_Toc27049"/>
      <w:bookmarkStart w:id="1206" w:name="_Toc13375"/>
      <w:bookmarkStart w:id="1207" w:name="_Toc32428"/>
      <w:bookmarkStart w:id="1208" w:name="_Toc21922"/>
      <w:bookmarkStart w:id="1209" w:name="_Toc18948"/>
      <w:bookmarkStart w:id="1210" w:name="_Toc12842"/>
      <w:bookmarkStart w:id="1211" w:name="_Toc871_WPSOffice_Level3"/>
      <w:bookmarkStart w:id="1212" w:name="_Toc30630"/>
      <w:bookmarkStart w:id="1213" w:name="_Toc4226"/>
      <w:bookmarkStart w:id="1214" w:name="_Toc30468_WPSOffice_Level3"/>
      <w:bookmarkStart w:id="1215" w:name="_Toc18530"/>
      <w:bookmarkStart w:id="1216" w:name="_Toc9165"/>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.3.3</w:t>
      </w:r>
      <w:r>
        <w:rPr>
          <w:rFonts w:hint="eastAsia" w:ascii="Times New Roman" w:hAnsi="Times New Roman" w:cs="Times New Roman"/>
          <w:color w:val="auto"/>
          <w:u w:val="none" w:color="auto"/>
          <w:lang w:val="en-US" w:eastAsia="zh-CN"/>
        </w:rPr>
        <w:t>环境</w:t>
      </w:r>
      <w:r>
        <w:rPr>
          <w:rFonts w:hint="default" w:ascii="Times New Roman" w:hAnsi="Times New Roman" w:cs="Times New Roman"/>
          <w:color w:val="auto"/>
          <w:u w:val="none" w:color="auto"/>
          <w:lang w:val="en-US" w:eastAsia="zh-CN"/>
        </w:rPr>
        <w:t>风险识别</w:t>
      </w:r>
      <w:bookmarkEnd w:id="1203"/>
      <w:bookmarkEnd w:id="1204"/>
      <w:bookmarkEnd w:id="1205"/>
      <w:bookmarkEnd w:id="1206"/>
      <w:bookmarkEnd w:id="1207"/>
    </w:p>
    <w:bookmarkEnd w:id="1208"/>
    <w:bookmarkEnd w:id="1209"/>
    <w:bookmarkEnd w:id="1210"/>
    <w:bookmarkEnd w:id="1211"/>
    <w:bookmarkEnd w:id="1212"/>
    <w:bookmarkEnd w:id="1213"/>
    <w:bookmarkEnd w:id="1214"/>
    <w:bookmarkEnd w:id="1215"/>
    <w:bookmarkEnd w:id="1216"/>
    <w:p w14:paraId="57CE38CD">
      <w:pPr>
        <w:pStyle w:val="20"/>
        <w:rPr>
          <w:rFonts w:hint="eastAsia" w:ascii="仿宋" w:hAnsi="仿宋"/>
          <w:color w:val="auto"/>
          <w:highlight w:val="none"/>
          <w:u w:val="none" w:color="auto"/>
          <w:lang w:val="en-US" w:eastAsia="zh-CN"/>
        </w:rPr>
      </w:pPr>
      <w:bookmarkStart w:id="1217" w:name="_Toc170311258"/>
      <w:bookmarkStart w:id="1218" w:name="_Toc307210673"/>
      <w:bookmarkStart w:id="1219" w:name="_Toc97707828"/>
      <w:bookmarkStart w:id="1220" w:name="_Toc17608_WPSOffice_Level2"/>
      <w:bookmarkStart w:id="1221" w:name="_Toc20456"/>
      <w:bookmarkStart w:id="1222" w:name="_Toc18916"/>
      <w:bookmarkStart w:id="1223" w:name="_Toc5325"/>
      <w:bookmarkStart w:id="1224" w:name="_Toc170376437"/>
      <w:bookmarkStart w:id="1225" w:name="_Toc26319_WPSOffice_Level2"/>
      <w:bookmarkStart w:id="1226" w:name="_Toc26988"/>
      <w:bookmarkStart w:id="1227" w:name="_Toc29353_WPSOffice_Level2"/>
      <w:bookmarkStart w:id="1228" w:name="_Toc169409057"/>
      <w:bookmarkStart w:id="1229" w:name="_Toc97708065"/>
      <w:bookmarkStart w:id="1230" w:name="_Toc142666679"/>
      <w:bookmarkStart w:id="1231" w:name="_Toc52186381"/>
      <w:bookmarkStart w:id="1232" w:name="_Toc372124960"/>
      <w:bookmarkStart w:id="1233" w:name="_Toc9920_WPSOffice_Level2"/>
      <w:bookmarkStart w:id="1234" w:name="_Toc97707387"/>
      <w:bookmarkStart w:id="1235" w:name="_Toc11212"/>
      <w:r>
        <w:rPr>
          <w:rFonts w:hint="eastAsia" w:ascii="仿宋" w:hAnsi="仿宋"/>
          <w:color w:val="auto"/>
          <w:highlight w:val="none"/>
          <w:u w:val="none" w:color="auto"/>
          <w:lang w:val="en-US" w:eastAsia="zh-CN"/>
        </w:rPr>
        <w:t>（1）风险识别范围和类型</w:t>
      </w:r>
    </w:p>
    <w:p w14:paraId="776353FD">
      <w:pPr>
        <w:pStyle w:val="20"/>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1）风险识别范围</w:t>
      </w:r>
    </w:p>
    <w:p w14:paraId="34BD2E25">
      <w:pPr>
        <w:pStyle w:val="20"/>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风险识别范围包括生产设施风险识别和生产过程所涉及的物质风险识别。</w:t>
      </w:r>
    </w:p>
    <w:p w14:paraId="300BDB42">
      <w:pPr>
        <w:pStyle w:val="20"/>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①生产设施风险识别范围：主要生产装置、贮运系统、公用工程系统、工程环保设施及辅助生产设施等；</w:t>
      </w:r>
    </w:p>
    <w:p w14:paraId="7B205090">
      <w:pPr>
        <w:pStyle w:val="20"/>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②物质风险识别范围：主要原材料及辅助材料、中间产物、最终产品以及生产过程排放的“三废”污染物等。</w:t>
      </w:r>
    </w:p>
    <w:p w14:paraId="54AAA008">
      <w:pPr>
        <w:pStyle w:val="20"/>
        <w:rPr>
          <w:rFonts w:hint="eastAsia" w:ascii="仿宋" w:hAnsi="仿宋"/>
          <w:color w:val="auto"/>
          <w:highlight w:val="none"/>
          <w:u w:val="none" w:color="auto"/>
          <w:lang w:val="en-US" w:eastAsia="zh-CN"/>
        </w:rPr>
      </w:pPr>
      <w:r>
        <w:rPr>
          <w:rFonts w:hint="eastAsia" w:ascii="仿宋" w:hAnsi="仿宋"/>
          <w:color w:val="auto"/>
          <w:highlight w:val="none"/>
          <w:u w:val="none" w:color="auto"/>
          <w:lang w:val="en-US" w:eastAsia="zh-CN"/>
        </w:rPr>
        <w:t>2）风险事故类型</w:t>
      </w:r>
    </w:p>
    <w:p w14:paraId="7228E902">
      <w:pPr>
        <w:pStyle w:val="2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在《建设项目环境风险评价技术导则》（HJ 169-2018）中，环境风险类型包括危险物质泄漏，以及火灾、爆炸等引发的伴生/次生污染物排放。</w:t>
      </w:r>
    </w:p>
    <w:p w14:paraId="0D28581B">
      <w:pPr>
        <w:pStyle w:val="20"/>
        <w:rPr>
          <w:rFonts w:hint="default" w:ascii="Times New Roman" w:hAnsi="Times New Roman" w:cs="Times New Roman"/>
          <w:color w:val="auto"/>
          <w:highlight w:val="none"/>
          <w:u w:val="none" w:color="auto"/>
          <w:lang w:val="en-US" w:eastAsia="zh-CN"/>
        </w:rPr>
      </w:pPr>
      <w:r>
        <w:rPr>
          <w:rFonts w:hint="default" w:ascii="Times New Roman" w:hAnsi="Times New Roman" w:cs="Times New Roman"/>
          <w:color w:val="auto"/>
          <w:highlight w:val="none"/>
          <w:u w:val="none" w:color="auto"/>
          <w:lang w:val="en-US" w:eastAsia="zh-CN"/>
        </w:rPr>
        <w:t>本项目可能发生的风险事故主要为：危险物质泄漏，火灾、爆炸等引发的伴生/次生污染物排放。</w:t>
      </w:r>
    </w:p>
    <w:p w14:paraId="13E43AC5">
      <w:pPr>
        <w:pStyle w:val="2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（2）风险识别内容</w:t>
      </w:r>
    </w:p>
    <w:p w14:paraId="235E3FFE">
      <w:pPr>
        <w:pStyle w:val="2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1）物质危险源识别</w:t>
      </w:r>
    </w:p>
    <w:p w14:paraId="4FEAA24A">
      <w:pPr>
        <w:pStyle w:val="20"/>
        <w:rPr>
          <w:rFonts w:hint="eastAsia" w:cs="Times New Roman"/>
          <w:color w:val="auto"/>
          <w:highlight w:val="none"/>
          <w:u w:val="none" w:color="auto"/>
          <w:lang w:val="en-US" w:eastAsia="zh-CN"/>
        </w:rPr>
      </w:pPr>
      <w:r>
        <w:rPr>
          <w:rFonts w:hint="default" w:cs="Times New Roman"/>
          <w:color w:val="auto"/>
          <w:highlight w:val="none"/>
          <w:u w:val="none" w:color="auto"/>
          <w:lang w:val="en-US" w:eastAsia="zh-CN"/>
        </w:rPr>
        <w:t>根据《建设项目环境风险评价技术导则》（HJ169-2018）附录B，项目涉及的环境风险物质主要有</w:t>
      </w:r>
      <w:r>
        <w:rPr>
          <w:rFonts w:hint="eastAsia"/>
          <w:color w:val="auto"/>
          <w:u w:val="none" w:color="auto"/>
          <w:lang w:val="en-US" w:eastAsia="zh-CN"/>
        </w:rPr>
        <w:t>矿物油、废矿物油、废活性炭等油类物质和危险废物，</w:t>
      </w:r>
      <w:r>
        <w:rPr>
          <w:rFonts w:hint="default" w:cs="Times New Roman"/>
          <w:color w:val="auto"/>
          <w:highlight w:val="none"/>
          <w:u w:val="none" w:color="auto"/>
          <w:lang w:val="en-US" w:eastAsia="zh-CN"/>
        </w:rPr>
        <w:t>项目主要环境风险物质储存信息见表6.3-1</w:t>
      </w:r>
      <w:r>
        <w:rPr>
          <w:rFonts w:hint="eastAsia" w:cs="Times New Roman"/>
          <w:color w:val="auto"/>
          <w:highlight w:val="none"/>
          <w:u w:val="none" w:color="auto"/>
          <w:lang w:val="en-US" w:eastAsia="zh-CN"/>
        </w:rPr>
        <w:t>。</w:t>
      </w:r>
    </w:p>
    <w:p w14:paraId="46F8E4B7">
      <w:pPr>
        <w:pStyle w:val="2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2）生产系统危险性识别</w:t>
      </w:r>
    </w:p>
    <w:p w14:paraId="18410E58">
      <w:pPr>
        <w:pStyle w:val="20"/>
        <w:rPr>
          <w:rFonts w:hint="default" w:cs="Times New Roman"/>
          <w:color w:val="auto"/>
          <w:highlight w:val="none"/>
          <w:u w:val="none" w:color="auto"/>
          <w:lang w:val="en-US" w:eastAsia="zh-CN"/>
        </w:rPr>
      </w:pPr>
      <w:r>
        <w:rPr>
          <w:rFonts w:hint="default" w:cs="Times New Roman"/>
          <w:color w:val="auto"/>
          <w:highlight w:val="none"/>
          <w:u w:val="none" w:color="auto"/>
          <w:lang w:val="en-US" w:eastAsia="zh-CN"/>
        </w:rPr>
        <w:t>生产设施识别范围包括：主体工程、储运工程、公辅工程、环保工程及辅助生产设施等。本项目而言，主要包括以下几方面的内容：储存设施危险性识别、环保设施的危险性识别。</w:t>
      </w:r>
    </w:p>
    <w:p w14:paraId="5BB71968">
      <w:pPr>
        <w:pStyle w:val="20"/>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①</w:t>
      </w:r>
      <w:r>
        <w:rPr>
          <w:rFonts w:hint="default" w:cs="Times New Roman"/>
          <w:color w:val="auto"/>
          <w:highlight w:val="none"/>
          <w:u w:val="none" w:color="auto"/>
          <w:lang w:val="en-US" w:eastAsia="zh-CN"/>
        </w:rPr>
        <w:t>储存设施危险识别</w:t>
      </w:r>
    </w:p>
    <w:p w14:paraId="4D01FE3A">
      <w:pPr>
        <w:pStyle w:val="20"/>
        <w:rPr>
          <w:rFonts w:hint="default" w:cs="Times New Roman"/>
          <w:color w:val="auto"/>
          <w:highlight w:val="none"/>
          <w:u w:val="none" w:color="auto"/>
          <w:lang w:val="en-US" w:eastAsia="zh-CN"/>
        </w:rPr>
      </w:pPr>
      <w:r>
        <w:rPr>
          <w:rFonts w:hint="default" w:cs="Times New Roman"/>
          <w:color w:val="auto"/>
          <w:highlight w:val="none"/>
          <w:u w:val="none" w:color="auto"/>
          <w:lang w:val="en-US" w:eastAsia="zh-CN"/>
        </w:rPr>
        <w:t>本项目在生产中使用的原辅材料均储存在原材料区，固体物质采用袋装储存，液态物质采用桶装储存</w:t>
      </w:r>
      <w:r>
        <w:rPr>
          <w:rFonts w:hint="eastAsia" w:cs="Times New Roman"/>
          <w:color w:val="auto"/>
          <w:highlight w:val="none"/>
          <w:u w:val="none" w:color="auto"/>
          <w:lang w:val="en-US" w:eastAsia="zh-CN"/>
        </w:rPr>
        <w:t>，危险废物储存在危废暂存间</w:t>
      </w:r>
      <w:r>
        <w:rPr>
          <w:rFonts w:hint="default" w:cs="Times New Roman"/>
          <w:color w:val="auto"/>
          <w:highlight w:val="none"/>
          <w:u w:val="none" w:color="auto"/>
          <w:lang w:val="en-US" w:eastAsia="zh-CN"/>
        </w:rPr>
        <w:t>。由于</w:t>
      </w:r>
      <w:r>
        <w:rPr>
          <w:rFonts w:hint="eastAsia" w:cs="Times New Roman"/>
          <w:color w:val="auto"/>
          <w:highlight w:val="none"/>
          <w:u w:val="none" w:color="auto"/>
          <w:lang w:val="en-US" w:eastAsia="zh-CN"/>
        </w:rPr>
        <w:t>本项目原料以及产品均为塑料，属于可燃物质，</w:t>
      </w:r>
      <w:r>
        <w:rPr>
          <w:rFonts w:hint="default" w:cs="Times New Roman"/>
          <w:color w:val="auto"/>
          <w:highlight w:val="none"/>
          <w:u w:val="none" w:color="auto"/>
          <w:lang w:val="en-US" w:eastAsia="zh-CN"/>
        </w:rPr>
        <w:t>储存不当可能发生火灾、爆炸事故。</w:t>
      </w:r>
    </w:p>
    <w:p w14:paraId="3C7D2655">
      <w:pPr>
        <w:pStyle w:val="2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②环保设施危险识别</w:t>
      </w:r>
    </w:p>
    <w:p w14:paraId="4AAB06F3">
      <w:pPr>
        <w:pStyle w:val="2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a、废水处理设施风险识别</w:t>
      </w:r>
    </w:p>
    <w:p w14:paraId="3C6F762A">
      <w:pPr>
        <w:pStyle w:val="2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冷却水未有效收集，渗漏至地下水环境，污染物地下水；易燃物质引发火灾、爆炸，在消防救援时消防水直排可能造成局部污染。</w:t>
      </w:r>
    </w:p>
    <w:p w14:paraId="0C6F98EA">
      <w:pPr>
        <w:pStyle w:val="2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b、废气处理系统风险识别</w:t>
      </w:r>
    </w:p>
    <w:p w14:paraId="148D3913">
      <w:pPr>
        <w:pStyle w:val="2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本项目混料废气、破碎磨粉废气、挤出覆膜废气处理设施若出现故障，会使生产车间的废气出现事故排放，从而对周围空气环境造成影响。</w:t>
      </w:r>
    </w:p>
    <w:p w14:paraId="39A67AE8">
      <w:pPr>
        <w:pStyle w:val="2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综上所述，项目生产系统风险识别见下表。</w:t>
      </w:r>
    </w:p>
    <w:p w14:paraId="50B9B615">
      <w:pPr>
        <w:pStyle w:val="22"/>
        <w:bidi w:val="0"/>
        <w:rPr>
          <w:rFonts w:hint="eastAsia"/>
          <w:color w:val="auto"/>
          <w:u w:val="none" w:color="auto"/>
          <w:lang w:val="en-US" w:eastAsia="zh-CN"/>
        </w:rPr>
      </w:pPr>
      <w:r>
        <w:rPr>
          <w:rFonts w:hint="eastAsia"/>
          <w:color w:val="auto"/>
          <w:u w:val="none" w:color="auto"/>
          <w:lang w:val="en-US" w:eastAsia="zh-CN"/>
        </w:rPr>
        <w:t>表6.3-7 项目生产系统风险识别</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90"/>
        <w:gridCol w:w="1290"/>
        <w:gridCol w:w="5504"/>
      </w:tblGrid>
      <w:tr w14:paraId="37C23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45DCD8F6">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序号</w:t>
            </w:r>
          </w:p>
        </w:tc>
        <w:tc>
          <w:tcPr>
            <w:tcW w:w="990" w:type="dxa"/>
            <w:tcBorders>
              <w:tl2br w:val="nil"/>
              <w:tr2bl w:val="nil"/>
            </w:tcBorders>
            <w:noWrap w:val="0"/>
            <w:vAlign w:val="center"/>
          </w:tcPr>
          <w:p w14:paraId="50A6B88B">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风险源</w:t>
            </w:r>
          </w:p>
        </w:tc>
        <w:tc>
          <w:tcPr>
            <w:tcW w:w="1290" w:type="dxa"/>
            <w:tcBorders>
              <w:tl2br w:val="nil"/>
              <w:tr2bl w:val="nil"/>
            </w:tcBorders>
            <w:noWrap w:val="0"/>
            <w:vAlign w:val="center"/>
          </w:tcPr>
          <w:p w14:paraId="1D2F82D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潜在风险</w:t>
            </w:r>
          </w:p>
        </w:tc>
        <w:tc>
          <w:tcPr>
            <w:tcW w:w="5504" w:type="dxa"/>
            <w:tcBorders>
              <w:tl2br w:val="nil"/>
              <w:tr2bl w:val="nil"/>
            </w:tcBorders>
            <w:noWrap w:val="0"/>
            <w:vAlign w:val="center"/>
          </w:tcPr>
          <w:p w14:paraId="3DE5ED03">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风险描述</w:t>
            </w:r>
          </w:p>
        </w:tc>
      </w:tr>
      <w:tr w14:paraId="139B9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162C4849">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1</w:t>
            </w:r>
          </w:p>
        </w:tc>
        <w:tc>
          <w:tcPr>
            <w:tcW w:w="990" w:type="dxa"/>
            <w:tcBorders>
              <w:tl2br w:val="nil"/>
              <w:tr2bl w:val="nil"/>
            </w:tcBorders>
            <w:noWrap w:val="0"/>
            <w:vAlign w:val="center"/>
          </w:tcPr>
          <w:p w14:paraId="7AB8E56A">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储运设施</w:t>
            </w:r>
          </w:p>
        </w:tc>
        <w:tc>
          <w:tcPr>
            <w:tcW w:w="1290" w:type="dxa"/>
            <w:tcBorders>
              <w:tl2br w:val="nil"/>
              <w:tr2bl w:val="nil"/>
            </w:tcBorders>
            <w:noWrap w:val="0"/>
            <w:vAlign w:val="center"/>
          </w:tcPr>
          <w:p w14:paraId="66512E88">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贮存</w:t>
            </w:r>
          </w:p>
        </w:tc>
        <w:tc>
          <w:tcPr>
            <w:tcW w:w="5504" w:type="dxa"/>
            <w:tcBorders>
              <w:tl2br w:val="nil"/>
              <w:tr2bl w:val="nil"/>
            </w:tcBorders>
            <w:noWrap w:val="0"/>
            <w:vAlign w:val="center"/>
          </w:tcPr>
          <w:p w14:paraId="282EDFE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危险废物或者油类物质发生泄漏可能污染周边水环境</w:t>
            </w:r>
          </w:p>
        </w:tc>
      </w:tr>
      <w:tr w14:paraId="5BE71C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2218E2E2">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w:t>
            </w:r>
          </w:p>
        </w:tc>
        <w:tc>
          <w:tcPr>
            <w:tcW w:w="990" w:type="dxa"/>
            <w:vMerge w:val="restart"/>
            <w:tcBorders>
              <w:tl2br w:val="nil"/>
              <w:tr2bl w:val="nil"/>
            </w:tcBorders>
            <w:noWrap w:val="0"/>
            <w:vAlign w:val="center"/>
          </w:tcPr>
          <w:p w14:paraId="57B043CA">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环保设施</w:t>
            </w:r>
          </w:p>
        </w:tc>
        <w:tc>
          <w:tcPr>
            <w:tcW w:w="1290" w:type="dxa"/>
            <w:tcBorders>
              <w:tl2br w:val="nil"/>
              <w:tr2bl w:val="nil"/>
            </w:tcBorders>
            <w:noWrap w:val="0"/>
            <w:vAlign w:val="center"/>
          </w:tcPr>
          <w:p w14:paraId="577AA1B7">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废水处理设施出现故障</w:t>
            </w:r>
          </w:p>
        </w:tc>
        <w:tc>
          <w:tcPr>
            <w:tcW w:w="5504" w:type="dxa"/>
            <w:tcBorders>
              <w:tl2br w:val="nil"/>
              <w:tr2bl w:val="nil"/>
            </w:tcBorders>
            <w:noWrap w:val="0"/>
            <w:vAlign w:val="center"/>
          </w:tcPr>
          <w:p w14:paraId="17A292CB">
            <w:pPr>
              <w:pStyle w:val="24"/>
              <w:bidi w:val="0"/>
              <w:rPr>
                <w:rFonts w:hint="eastAsia" w:ascii="Times New Roman" w:hAnsi="Times New Roman" w:cs="Times New Roman"/>
                <w:color w:val="auto"/>
                <w:u w:val="none" w:color="auto"/>
                <w:lang w:val="en-US" w:eastAsia="zh-CN"/>
              </w:rPr>
            </w:pPr>
            <w:r>
              <w:rPr>
                <w:rFonts w:hint="eastAsia" w:cs="Times New Roman"/>
                <w:color w:val="auto"/>
                <w:highlight w:val="none"/>
                <w:u w:val="none" w:color="auto"/>
                <w:lang w:val="en-US" w:eastAsia="zh-CN"/>
              </w:rPr>
              <w:t>冷却水未有效收集，渗漏至地下水环境，污染物地下水；易燃物质引发火灾、爆炸，在消防救援时消防水直排可能造成局部污染</w:t>
            </w:r>
          </w:p>
        </w:tc>
      </w:tr>
      <w:tr w14:paraId="606610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4382086E">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3</w:t>
            </w:r>
          </w:p>
        </w:tc>
        <w:tc>
          <w:tcPr>
            <w:tcW w:w="990" w:type="dxa"/>
            <w:vMerge w:val="continue"/>
            <w:tcBorders>
              <w:tl2br w:val="nil"/>
              <w:tr2bl w:val="nil"/>
            </w:tcBorders>
            <w:noWrap w:val="0"/>
            <w:vAlign w:val="center"/>
          </w:tcPr>
          <w:p w14:paraId="28DE5A9E">
            <w:pPr>
              <w:pStyle w:val="24"/>
              <w:bidi w:val="0"/>
              <w:rPr>
                <w:rFonts w:hint="eastAsia" w:ascii="Times New Roman" w:hAnsi="Times New Roman" w:cs="Times New Roman"/>
                <w:color w:val="auto"/>
                <w:u w:val="none" w:color="auto"/>
                <w:lang w:val="en-US" w:eastAsia="zh-CN"/>
              </w:rPr>
            </w:pPr>
          </w:p>
        </w:tc>
        <w:tc>
          <w:tcPr>
            <w:tcW w:w="1290" w:type="dxa"/>
            <w:tcBorders>
              <w:tl2br w:val="nil"/>
              <w:tr2bl w:val="nil"/>
            </w:tcBorders>
            <w:noWrap w:val="0"/>
            <w:vAlign w:val="center"/>
          </w:tcPr>
          <w:p w14:paraId="5A025A75">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废气处理设施出现故障</w:t>
            </w:r>
          </w:p>
        </w:tc>
        <w:tc>
          <w:tcPr>
            <w:tcW w:w="5504" w:type="dxa"/>
            <w:tcBorders>
              <w:tl2br w:val="nil"/>
              <w:tr2bl w:val="nil"/>
            </w:tcBorders>
            <w:noWrap w:val="0"/>
            <w:vAlign w:val="center"/>
          </w:tcPr>
          <w:p w14:paraId="509CE39C">
            <w:pPr>
              <w:pStyle w:val="24"/>
              <w:bidi w:val="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混料废气、破碎磨粉废气、挤出覆膜废气处理设施若出现故障，会使生产车间的废气出现事故排放，从而对周围空气环境造成影响</w:t>
            </w:r>
          </w:p>
        </w:tc>
      </w:tr>
      <w:tr w14:paraId="4F90F2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52939134">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w:t>
            </w:r>
          </w:p>
        </w:tc>
        <w:tc>
          <w:tcPr>
            <w:tcW w:w="990" w:type="dxa"/>
            <w:vMerge w:val="restart"/>
            <w:tcBorders>
              <w:tl2br w:val="nil"/>
              <w:tr2bl w:val="nil"/>
            </w:tcBorders>
            <w:noWrap w:val="0"/>
            <w:vAlign w:val="center"/>
          </w:tcPr>
          <w:p w14:paraId="4F49BA00">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其他</w:t>
            </w:r>
          </w:p>
        </w:tc>
        <w:tc>
          <w:tcPr>
            <w:tcW w:w="1290" w:type="dxa"/>
            <w:tcBorders>
              <w:tl2br w:val="nil"/>
              <w:tr2bl w:val="nil"/>
            </w:tcBorders>
            <w:noWrap w:val="0"/>
            <w:vAlign w:val="center"/>
          </w:tcPr>
          <w:p w14:paraId="4F175C2D">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公用工程</w:t>
            </w:r>
          </w:p>
        </w:tc>
        <w:tc>
          <w:tcPr>
            <w:tcW w:w="5504" w:type="dxa"/>
            <w:tcBorders>
              <w:tl2br w:val="nil"/>
              <w:tr2bl w:val="nil"/>
            </w:tcBorders>
            <w:noWrap w:val="0"/>
            <w:vAlign w:val="center"/>
          </w:tcPr>
          <w:p w14:paraId="440317B5">
            <w:pPr>
              <w:pStyle w:val="24"/>
              <w:bidi w:val="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电器设备的主要危险是触电事故和超负荷引起的火灾，或者因电气设备损坏或失灵，突然停电，致使各类设备停止工作，由此可能引发废气处理措施失效造成废气污染物未经处理直接排放</w:t>
            </w:r>
          </w:p>
        </w:tc>
      </w:tr>
      <w:tr w14:paraId="6A91BE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14CED51E">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5</w:t>
            </w:r>
          </w:p>
        </w:tc>
        <w:tc>
          <w:tcPr>
            <w:tcW w:w="990" w:type="dxa"/>
            <w:vMerge w:val="continue"/>
            <w:tcBorders>
              <w:tl2br w:val="nil"/>
              <w:tr2bl w:val="nil"/>
            </w:tcBorders>
            <w:noWrap w:val="0"/>
            <w:vAlign w:val="center"/>
          </w:tcPr>
          <w:p w14:paraId="7637332F">
            <w:pPr>
              <w:pStyle w:val="24"/>
              <w:bidi w:val="0"/>
              <w:rPr>
                <w:rFonts w:hint="eastAsia" w:ascii="Times New Roman" w:hAnsi="Times New Roman" w:cs="Times New Roman"/>
                <w:color w:val="auto"/>
                <w:u w:val="none" w:color="auto"/>
                <w:lang w:val="en-US" w:eastAsia="zh-CN"/>
              </w:rPr>
            </w:pPr>
          </w:p>
        </w:tc>
        <w:tc>
          <w:tcPr>
            <w:tcW w:w="1290" w:type="dxa"/>
            <w:tcBorders>
              <w:tl2br w:val="nil"/>
              <w:tr2bl w:val="nil"/>
            </w:tcBorders>
            <w:noWrap w:val="0"/>
            <w:vAlign w:val="center"/>
          </w:tcPr>
          <w:p w14:paraId="5688CBB1">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其他</w:t>
            </w:r>
          </w:p>
        </w:tc>
        <w:tc>
          <w:tcPr>
            <w:tcW w:w="5504" w:type="dxa"/>
            <w:tcBorders>
              <w:tl2br w:val="nil"/>
              <w:tr2bl w:val="nil"/>
            </w:tcBorders>
            <w:noWrap w:val="0"/>
            <w:vAlign w:val="center"/>
          </w:tcPr>
          <w:p w14:paraId="524029ED">
            <w:pPr>
              <w:pStyle w:val="24"/>
              <w:bidi w:val="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因工程结构设计不合理、设备制造和检验不合格、作业人员误操作或玩忽职守、维修过程违反规定等，以及认为破坏都有可能造成事故</w:t>
            </w:r>
          </w:p>
        </w:tc>
      </w:tr>
    </w:tbl>
    <w:p w14:paraId="6CB7FD6A">
      <w:pPr>
        <w:pStyle w:val="20"/>
        <w:bidi w:val="0"/>
        <w:rPr>
          <w:rFonts w:hint="eastAsia"/>
          <w:color w:val="auto"/>
          <w:u w:val="none" w:color="auto"/>
          <w:lang w:val="en-US" w:eastAsia="zh-CN"/>
        </w:rPr>
      </w:pPr>
      <w:r>
        <w:rPr>
          <w:rFonts w:hint="eastAsia"/>
          <w:color w:val="auto"/>
          <w:u w:val="none" w:color="auto"/>
          <w:lang w:val="en-US" w:eastAsia="zh-CN"/>
        </w:rPr>
        <w:t>（3）风险识别结果</w:t>
      </w:r>
    </w:p>
    <w:p w14:paraId="5FCF6673">
      <w:pPr>
        <w:pStyle w:val="20"/>
        <w:bidi w:val="0"/>
        <w:rPr>
          <w:rFonts w:hint="eastAsia"/>
          <w:color w:val="auto"/>
          <w:u w:val="none" w:color="auto"/>
          <w:lang w:val="en-US" w:eastAsia="zh-CN"/>
        </w:rPr>
      </w:pPr>
      <w:r>
        <w:rPr>
          <w:rFonts w:hint="eastAsia"/>
          <w:color w:val="auto"/>
          <w:u w:val="none" w:color="auto"/>
          <w:lang w:val="en-US" w:eastAsia="zh-CN"/>
        </w:rPr>
        <w:t>综上所述，对项目储运设施、环保设施等环境风险源风险识别汇总如下。</w:t>
      </w:r>
    </w:p>
    <w:p w14:paraId="48DFFCFD">
      <w:pPr>
        <w:pStyle w:val="22"/>
        <w:bidi w:val="0"/>
        <w:rPr>
          <w:rFonts w:hint="eastAsia"/>
          <w:color w:val="auto"/>
          <w:u w:val="none" w:color="auto"/>
          <w:lang w:val="en-US" w:eastAsia="zh-CN"/>
        </w:rPr>
      </w:pPr>
      <w:r>
        <w:rPr>
          <w:rFonts w:hint="eastAsia"/>
          <w:color w:val="auto"/>
          <w:u w:val="none" w:color="auto"/>
          <w:lang w:val="en-US" w:eastAsia="zh-CN"/>
        </w:rPr>
        <w:t>表6.3-8 项目环境风险识别结果一览表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0"/>
        <w:gridCol w:w="990"/>
        <w:gridCol w:w="1290"/>
        <w:gridCol w:w="1376"/>
        <w:gridCol w:w="1376"/>
        <w:gridCol w:w="1376"/>
        <w:gridCol w:w="1376"/>
      </w:tblGrid>
      <w:tr w14:paraId="0ABD0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46AAD60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序号</w:t>
            </w:r>
          </w:p>
        </w:tc>
        <w:tc>
          <w:tcPr>
            <w:tcW w:w="990" w:type="dxa"/>
            <w:tcBorders>
              <w:tl2br w:val="nil"/>
              <w:tr2bl w:val="nil"/>
            </w:tcBorders>
            <w:noWrap w:val="0"/>
            <w:vAlign w:val="center"/>
          </w:tcPr>
          <w:p w14:paraId="6614DF7B">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危险单元</w:t>
            </w:r>
          </w:p>
        </w:tc>
        <w:tc>
          <w:tcPr>
            <w:tcW w:w="1290" w:type="dxa"/>
            <w:tcBorders>
              <w:tl2br w:val="nil"/>
              <w:tr2bl w:val="nil"/>
            </w:tcBorders>
            <w:noWrap w:val="0"/>
            <w:vAlign w:val="center"/>
          </w:tcPr>
          <w:p w14:paraId="3B32BCA1">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风险源</w:t>
            </w:r>
          </w:p>
        </w:tc>
        <w:tc>
          <w:tcPr>
            <w:tcW w:w="1376" w:type="dxa"/>
            <w:tcBorders>
              <w:tl2br w:val="nil"/>
              <w:tr2bl w:val="nil"/>
            </w:tcBorders>
            <w:noWrap w:val="0"/>
            <w:vAlign w:val="center"/>
          </w:tcPr>
          <w:p w14:paraId="51E6F3F4">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主要危险物质</w:t>
            </w:r>
          </w:p>
        </w:tc>
        <w:tc>
          <w:tcPr>
            <w:tcW w:w="1376" w:type="dxa"/>
            <w:tcBorders>
              <w:tl2br w:val="nil"/>
              <w:tr2bl w:val="nil"/>
            </w:tcBorders>
            <w:noWrap w:val="0"/>
            <w:vAlign w:val="center"/>
          </w:tcPr>
          <w:p w14:paraId="076B888D">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环境风险类型</w:t>
            </w:r>
          </w:p>
        </w:tc>
        <w:tc>
          <w:tcPr>
            <w:tcW w:w="1376" w:type="dxa"/>
            <w:tcBorders>
              <w:tl2br w:val="nil"/>
              <w:tr2bl w:val="nil"/>
            </w:tcBorders>
            <w:noWrap w:val="0"/>
            <w:vAlign w:val="center"/>
          </w:tcPr>
          <w:p w14:paraId="58EDD5D4">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环境影响途径</w:t>
            </w:r>
          </w:p>
        </w:tc>
        <w:tc>
          <w:tcPr>
            <w:tcW w:w="1376" w:type="dxa"/>
            <w:tcBorders>
              <w:tl2br w:val="nil"/>
              <w:tr2bl w:val="nil"/>
            </w:tcBorders>
            <w:noWrap w:val="0"/>
            <w:vAlign w:val="center"/>
          </w:tcPr>
          <w:p w14:paraId="6EB42C7E">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可能受影响的环境敏感目标</w:t>
            </w:r>
          </w:p>
        </w:tc>
      </w:tr>
      <w:tr w14:paraId="43E96A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06794143">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w:t>
            </w:r>
          </w:p>
        </w:tc>
        <w:tc>
          <w:tcPr>
            <w:tcW w:w="990" w:type="dxa"/>
            <w:tcBorders>
              <w:tl2br w:val="nil"/>
              <w:tr2bl w:val="nil"/>
            </w:tcBorders>
            <w:noWrap w:val="0"/>
            <w:vAlign w:val="center"/>
          </w:tcPr>
          <w:p w14:paraId="67927E4F">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危废暂存间</w:t>
            </w:r>
          </w:p>
        </w:tc>
        <w:tc>
          <w:tcPr>
            <w:tcW w:w="1290" w:type="dxa"/>
            <w:tcBorders>
              <w:tl2br w:val="nil"/>
              <w:tr2bl w:val="nil"/>
            </w:tcBorders>
            <w:noWrap w:val="0"/>
            <w:vAlign w:val="center"/>
          </w:tcPr>
          <w:p w14:paraId="19FA318E">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危废暂存间</w:t>
            </w:r>
          </w:p>
        </w:tc>
        <w:tc>
          <w:tcPr>
            <w:tcW w:w="1376" w:type="dxa"/>
            <w:tcBorders>
              <w:tl2br w:val="nil"/>
              <w:tr2bl w:val="nil"/>
            </w:tcBorders>
            <w:noWrap w:val="0"/>
            <w:vAlign w:val="center"/>
          </w:tcPr>
          <w:p w14:paraId="27988C8C">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废矿物油、废活性炭、溶剂型胶粘剂包装桶</w:t>
            </w:r>
          </w:p>
        </w:tc>
        <w:tc>
          <w:tcPr>
            <w:tcW w:w="1376" w:type="dxa"/>
            <w:tcBorders>
              <w:tl2br w:val="nil"/>
              <w:tr2bl w:val="nil"/>
            </w:tcBorders>
            <w:noWrap w:val="0"/>
            <w:vAlign w:val="center"/>
          </w:tcPr>
          <w:p w14:paraId="73D389DD">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危险物质泄漏</w:t>
            </w:r>
          </w:p>
        </w:tc>
        <w:tc>
          <w:tcPr>
            <w:tcW w:w="1376" w:type="dxa"/>
            <w:tcBorders>
              <w:tl2br w:val="nil"/>
              <w:tr2bl w:val="nil"/>
            </w:tcBorders>
            <w:noWrap w:val="0"/>
            <w:vAlign w:val="center"/>
          </w:tcPr>
          <w:p w14:paraId="0EFB2D9B">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地表水、地下水</w:t>
            </w:r>
          </w:p>
        </w:tc>
        <w:tc>
          <w:tcPr>
            <w:tcW w:w="1376" w:type="dxa"/>
            <w:tcBorders>
              <w:tl2br w:val="nil"/>
              <w:tr2bl w:val="nil"/>
            </w:tcBorders>
            <w:noWrap w:val="0"/>
            <w:vAlign w:val="center"/>
          </w:tcPr>
          <w:p w14:paraId="0D1657E0">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附近水体、地下水</w:t>
            </w:r>
          </w:p>
        </w:tc>
      </w:tr>
      <w:tr w14:paraId="2818B1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24E867A9">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2</w:t>
            </w:r>
          </w:p>
        </w:tc>
        <w:tc>
          <w:tcPr>
            <w:tcW w:w="990" w:type="dxa"/>
            <w:tcBorders>
              <w:tl2br w:val="nil"/>
              <w:tr2bl w:val="nil"/>
            </w:tcBorders>
            <w:noWrap w:val="0"/>
            <w:vAlign w:val="center"/>
          </w:tcPr>
          <w:p w14:paraId="0D04E238">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废水处理设施</w:t>
            </w:r>
          </w:p>
        </w:tc>
        <w:tc>
          <w:tcPr>
            <w:tcW w:w="1290" w:type="dxa"/>
            <w:tcBorders>
              <w:tl2br w:val="nil"/>
              <w:tr2bl w:val="nil"/>
            </w:tcBorders>
            <w:noWrap w:val="0"/>
            <w:vAlign w:val="center"/>
          </w:tcPr>
          <w:p w14:paraId="61D06439">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冷却水系统</w:t>
            </w:r>
          </w:p>
        </w:tc>
        <w:tc>
          <w:tcPr>
            <w:tcW w:w="1376" w:type="dxa"/>
            <w:tcBorders>
              <w:tl2br w:val="nil"/>
              <w:tr2bl w:val="nil"/>
            </w:tcBorders>
            <w:noWrap w:val="0"/>
            <w:vAlign w:val="center"/>
          </w:tcPr>
          <w:p w14:paraId="5D8B2B2D">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CODcr等</w:t>
            </w:r>
          </w:p>
        </w:tc>
        <w:tc>
          <w:tcPr>
            <w:tcW w:w="1376" w:type="dxa"/>
            <w:tcBorders>
              <w:tl2br w:val="nil"/>
              <w:tr2bl w:val="nil"/>
            </w:tcBorders>
            <w:noWrap w:val="0"/>
            <w:vAlign w:val="center"/>
          </w:tcPr>
          <w:p w14:paraId="4D74688A">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泄漏、渗漏</w:t>
            </w:r>
          </w:p>
        </w:tc>
        <w:tc>
          <w:tcPr>
            <w:tcW w:w="1376" w:type="dxa"/>
            <w:tcBorders>
              <w:tl2br w:val="nil"/>
              <w:tr2bl w:val="nil"/>
            </w:tcBorders>
            <w:noWrap w:val="0"/>
            <w:vAlign w:val="center"/>
          </w:tcPr>
          <w:p w14:paraId="460976AB">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地下水</w:t>
            </w:r>
          </w:p>
        </w:tc>
        <w:tc>
          <w:tcPr>
            <w:tcW w:w="1376" w:type="dxa"/>
            <w:tcBorders>
              <w:tl2br w:val="nil"/>
              <w:tr2bl w:val="nil"/>
            </w:tcBorders>
            <w:noWrap w:val="0"/>
            <w:vAlign w:val="center"/>
          </w:tcPr>
          <w:p w14:paraId="6CE2BFCD">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附近地下水</w:t>
            </w:r>
          </w:p>
        </w:tc>
      </w:tr>
      <w:tr w14:paraId="11F084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5233DA98">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3</w:t>
            </w:r>
          </w:p>
        </w:tc>
        <w:tc>
          <w:tcPr>
            <w:tcW w:w="990" w:type="dxa"/>
            <w:tcBorders>
              <w:tl2br w:val="nil"/>
              <w:tr2bl w:val="nil"/>
            </w:tcBorders>
            <w:noWrap w:val="0"/>
            <w:vAlign w:val="center"/>
          </w:tcPr>
          <w:p w14:paraId="422A9153">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废气处理设施</w:t>
            </w:r>
          </w:p>
        </w:tc>
        <w:tc>
          <w:tcPr>
            <w:tcW w:w="1290" w:type="dxa"/>
            <w:tcBorders>
              <w:tl2br w:val="nil"/>
              <w:tr2bl w:val="nil"/>
            </w:tcBorders>
            <w:noWrap w:val="0"/>
            <w:vAlign w:val="center"/>
          </w:tcPr>
          <w:p w14:paraId="4BAC5FA3">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废气处理设施</w:t>
            </w:r>
          </w:p>
        </w:tc>
        <w:tc>
          <w:tcPr>
            <w:tcW w:w="1376" w:type="dxa"/>
            <w:tcBorders>
              <w:tl2br w:val="nil"/>
              <w:tr2bl w:val="nil"/>
            </w:tcBorders>
            <w:noWrap w:val="0"/>
            <w:vAlign w:val="center"/>
          </w:tcPr>
          <w:p w14:paraId="0BAE757F">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颗粒物、有机废气、氯化氢</w:t>
            </w:r>
          </w:p>
        </w:tc>
        <w:tc>
          <w:tcPr>
            <w:tcW w:w="1376" w:type="dxa"/>
            <w:tcBorders>
              <w:tl2br w:val="nil"/>
              <w:tr2bl w:val="nil"/>
            </w:tcBorders>
            <w:noWrap w:val="0"/>
            <w:vAlign w:val="center"/>
          </w:tcPr>
          <w:p w14:paraId="30134D5C">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事故排放</w:t>
            </w:r>
          </w:p>
        </w:tc>
        <w:tc>
          <w:tcPr>
            <w:tcW w:w="1376" w:type="dxa"/>
            <w:tcBorders>
              <w:tl2br w:val="nil"/>
              <w:tr2bl w:val="nil"/>
            </w:tcBorders>
            <w:noWrap w:val="0"/>
            <w:vAlign w:val="center"/>
          </w:tcPr>
          <w:p w14:paraId="253F8E57">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环境空气</w:t>
            </w:r>
          </w:p>
        </w:tc>
        <w:tc>
          <w:tcPr>
            <w:tcW w:w="1376" w:type="dxa"/>
            <w:tcBorders>
              <w:tl2br w:val="nil"/>
              <w:tr2bl w:val="nil"/>
            </w:tcBorders>
            <w:noWrap w:val="0"/>
            <w:vAlign w:val="center"/>
          </w:tcPr>
          <w:p w14:paraId="7C3BD437">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周边居民、环境空气</w:t>
            </w:r>
          </w:p>
        </w:tc>
      </w:tr>
      <w:tr w14:paraId="23AEB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0" w:type="dxa"/>
            <w:tcBorders>
              <w:tl2br w:val="nil"/>
              <w:tr2bl w:val="nil"/>
            </w:tcBorders>
            <w:noWrap w:val="0"/>
            <w:vAlign w:val="center"/>
          </w:tcPr>
          <w:p w14:paraId="4699F3A4">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4</w:t>
            </w:r>
          </w:p>
        </w:tc>
        <w:tc>
          <w:tcPr>
            <w:tcW w:w="990" w:type="dxa"/>
            <w:tcBorders>
              <w:tl2br w:val="nil"/>
              <w:tr2bl w:val="nil"/>
            </w:tcBorders>
            <w:noWrap w:val="0"/>
            <w:vAlign w:val="center"/>
          </w:tcPr>
          <w:p w14:paraId="4B1ECD59">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生产车间</w:t>
            </w:r>
          </w:p>
        </w:tc>
        <w:tc>
          <w:tcPr>
            <w:tcW w:w="1290" w:type="dxa"/>
            <w:tcBorders>
              <w:tl2br w:val="nil"/>
              <w:tr2bl w:val="nil"/>
            </w:tcBorders>
            <w:noWrap w:val="0"/>
            <w:vAlign w:val="center"/>
          </w:tcPr>
          <w:p w14:paraId="3805ABEF">
            <w:pPr>
              <w:pStyle w:val="24"/>
              <w:bidi w:val="0"/>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生产设施、原料区、产品区</w:t>
            </w:r>
          </w:p>
        </w:tc>
        <w:tc>
          <w:tcPr>
            <w:tcW w:w="1376" w:type="dxa"/>
            <w:tcBorders>
              <w:tl2br w:val="nil"/>
              <w:tr2bl w:val="nil"/>
            </w:tcBorders>
            <w:noWrap w:val="0"/>
            <w:vAlign w:val="center"/>
          </w:tcPr>
          <w:p w14:paraId="2AD7129C">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易燃物质</w:t>
            </w:r>
          </w:p>
        </w:tc>
        <w:tc>
          <w:tcPr>
            <w:tcW w:w="1376" w:type="dxa"/>
            <w:tcBorders>
              <w:tl2br w:val="nil"/>
              <w:tr2bl w:val="nil"/>
            </w:tcBorders>
            <w:noWrap w:val="0"/>
            <w:vAlign w:val="center"/>
          </w:tcPr>
          <w:p w14:paraId="29CB807F">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易燃物质火灾爆炸引发的次生/伴生污染</w:t>
            </w:r>
          </w:p>
        </w:tc>
        <w:tc>
          <w:tcPr>
            <w:tcW w:w="1376" w:type="dxa"/>
            <w:tcBorders>
              <w:tl2br w:val="nil"/>
              <w:tr2bl w:val="nil"/>
            </w:tcBorders>
            <w:noWrap w:val="0"/>
            <w:vAlign w:val="center"/>
          </w:tcPr>
          <w:p w14:paraId="666839FB">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环境空气、地下水、地表水</w:t>
            </w:r>
          </w:p>
        </w:tc>
        <w:tc>
          <w:tcPr>
            <w:tcW w:w="1376" w:type="dxa"/>
            <w:tcBorders>
              <w:tl2br w:val="nil"/>
              <w:tr2bl w:val="nil"/>
            </w:tcBorders>
            <w:noWrap w:val="0"/>
            <w:vAlign w:val="center"/>
          </w:tcPr>
          <w:p w14:paraId="7B2BC744">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周边居民、附近水体、地下水</w:t>
            </w:r>
          </w:p>
        </w:tc>
      </w:tr>
    </w:tbl>
    <w:p w14:paraId="41EB96F0">
      <w:pPr>
        <w:pStyle w:val="4"/>
        <w:rPr>
          <w:rFonts w:hint="eastAsia" w:ascii="Times New Roman" w:hAnsi="Times New Roman" w:cs="Times New Roman"/>
          <w:color w:val="auto"/>
          <w:u w:val="none" w:color="auto"/>
          <w:lang w:val="en-US" w:eastAsia="zh-CN"/>
        </w:rPr>
      </w:pPr>
      <w:bookmarkStart w:id="1236" w:name="_Toc20014"/>
      <w:bookmarkStart w:id="1237" w:name="_Toc21287"/>
      <w:bookmarkStart w:id="1238" w:name="_Toc8174"/>
      <w:r>
        <w:rPr>
          <w:rFonts w:hint="eastAsia" w:ascii="Times New Roman" w:hAnsi="Times New Roman" w:cs="Times New Roman"/>
          <w:color w:val="auto"/>
          <w:u w:val="none" w:color="auto"/>
          <w:lang w:val="en-US" w:eastAsia="zh-CN"/>
        </w:rPr>
        <w:t>6.3.4风险事件影响分析</w:t>
      </w:r>
      <w:bookmarkEnd w:id="1236"/>
      <w:bookmarkEnd w:id="1237"/>
      <w:bookmarkEnd w:id="1238"/>
    </w:p>
    <w:p w14:paraId="4CF15755">
      <w:pPr>
        <w:pStyle w:val="20"/>
        <w:rPr>
          <w:rFonts w:hint="eastAsia"/>
          <w:b/>
          <w:bCs/>
          <w:color w:val="auto"/>
          <w:u w:val="none" w:color="auto"/>
          <w:lang w:val="en-US" w:eastAsia="zh-CN"/>
        </w:rPr>
      </w:pPr>
      <w:r>
        <w:rPr>
          <w:rFonts w:hint="eastAsia"/>
          <w:b/>
          <w:bCs/>
          <w:color w:val="auto"/>
          <w:u w:val="none" w:color="auto"/>
          <w:lang w:val="en-US" w:eastAsia="zh-CN"/>
        </w:rPr>
        <w:t>1、废气事故排放的环境风险</w:t>
      </w:r>
    </w:p>
    <w:p w14:paraId="1F41F3F7">
      <w:pPr>
        <w:pStyle w:val="20"/>
        <w:rPr>
          <w:rFonts w:hint="eastAsia"/>
          <w:color w:val="auto"/>
          <w:u w:val="none" w:color="auto"/>
          <w:lang w:val="en-US" w:eastAsia="zh-CN"/>
        </w:rPr>
      </w:pPr>
      <w:r>
        <w:rPr>
          <w:rFonts w:hint="eastAsia"/>
          <w:color w:val="auto"/>
          <w:u w:val="none" w:color="auto"/>
          <w:lang w:val="en-US" w:eastAsia="zh-CN"/>
        </w:rPr>
        <w:t>本项目主要有机废气采用两级活性炭吸附装置进行处理，若废气处理设备出现故障，会使生产车间的有机废气发生外泄，影响所在区域的大气环境质量。建设单位应建立健全规章制度，废气处理设施责任到人，定期进行维护和检修；车间工作人员进行相应培训，培训合格后方才上岗，工作人员熟练掌握一定的应急处置能力；环保设备采用自动化控制，一旦废气处理设施发生故障，会自动停产处理。因此废气处理设施故障对环境影响可控。</w:t>
      </w:r>
    </w:p>
    <w:p w14:paraId="55FE771C">
      <w:pPr>
        <w:pStyle w:val="20"/>
        <w:rPr>
          <w:rFonts w:hint="default"/>
          <w:color w:val="auto"/>
          <w:u w:val="none" w:color="auto"/>
          <w:lang w:val="en-US" w:eastAsia="zh-CN"/>
        </w:rPr>
      </w:pPr>
      <w:r>
        <w:rPr>
          <w:rFonts w:hint="eastAsia"/>
          <w:b/>
          <w:bCs/>
          <w:color w:val="auto"/>
          <w:u w:val="none" w:color="auto"/>
          <w:lang w:val="en-US" w:eastAsia="zh-CN"/>
        </w:rPr>
        <w:t>2、废水事故排放环境风险</w:t>
      </w:r>
    </w:p>
    <w:p w14:paraId="700C3460">
      <w:pPr>
        <w:pStyle w:val="20"/>
        <w:rPr>
          <w:rFonts w:hint="eastAsia"/>
          <w:color w:val="auto"/>
          <w:u w:val="none" w:color="auto"/>
          <w:lang w:val="en-US" w:eastAsia="zh-CN"/>
        </w:rPr>
      </w:pPr>
      <w:r>
        <w:rPr>
          <w:rFonts w:hint="eastAsia"/>
          <w:color w:val="auto"/>
          <w:u w:val="none" w:color="auto"/>
          <w:lang w:val="en-US" w:eastAsia="zh-CN"/>
        </w:rPr>
        <w:t>项目采用冷却水系统冷却产品及设备。在极端情况下，储水设施或管道发生破损，废水渗漏至车间地面，同时车间地面防渗层破损，通过地面破裂处下渗土壤层进而污染地下水的情景，对区域地下水水质会造成影响。应尽量避免非正常状况发生。企业应加强设施维护和日常监管防止出现废水渗漏，发生渗漏时，企业应及时检测发现及修复渗漏。当发生污染物泄漏事故后，必须立即启动应急预案，分析污染事故的发展趋势，迅速控制或切断事件灾害链，对废水进行封闭、截流，抽出废水，使污染地下水扩散得到有效抑制，最大限度地保护下游地下水水质安全，将损失降到最低限度。</w:t>
      </w:r>
    </w:p>
    <w:p w14:paraId="287DE6E8">
      <w:pPr>
        <w:pStyle w:val="20"/>
        <w:rPr>
          <w:rFonts w:hint="eastAsia"/>
          <w:b/>
          <w:bCs/>
          <w:color w:val="auto"/>
          <w:u w:val="none" w:color="auto"/>
          <w:lang w:val="en-US" w:eastAsia="zh-CN"/>
        </w:rPr>
      </w:pPr>
      <w:r>
        <w:rPr>
          <w:rFonts w:hint="eastAsia"/>
          <w:b/>
          <w:bCs/>
          <w:color w:val="auto"/>
          <w:u w:val="none" w:color="auto"/>
          <w:lang w:val="en-US" w:eastAsia="zh-CN"/>
        </w:rPr>
        <w:t>3、危险废物泄漏事故影响分析</w:t>
      </w:r>
    </w:p>
    <w:p w14:paraId="149A1574">
      <w:pPr>
        <w:pStyle w:val="20"/>
        <w:rPr>
          <w:rFonts w:hint="eastAsia"/>
          <w:color w:val="auto"/>
          <w:u w:val="none" w:color="auto"/>
          <w:lang w:val="en-US" w:eastAsia="zh-CN"/>
        </w:rPr>
      </w:pPr>
      <w:r>
        <w:rPr>
          <w:rFonts w:hint="eastAsia"/>
          <w:color w:val="auto"/>
          <w:u w:val="none" w:color="auto"/>
          <w:lang w:val="en-US" w:eastAsia="zh-CN"/>
        </w:rPr>
        <w:t>危险废物中液体物质少，主要为废矿物油，危险废物暂存间按要求进行硬化防渗处理，设有导流设施，能及时将跑冒滴漏物料导流至内部事故收集池。危险废物建立健全的管理制度，并安排专人进行管理，对物资出入库均进行登记；配有适当的消防应急设备。由于项目使用矿物油等用量较少，跑冒滴漏物料能够被截流在车间内部，及时处理。因此正常情况下，危险废物泄漏可以得到有效处置，对外环境影响较小。</w:t>
      </w:r>
    </w:p>
    <w:p w14:paraId="55CB256C">
      <w:pPr>
        <w:pStyle w:val="20"/>
        <w:rPr>
          <w:rFonts w:hint="default"/>
          <w:b/>
          <w:bCs/>
          <w:color w:val="auto"/>
          <w:u w:val="none" w:color="auto"/>
          <w:lang w:val="en-US" w:eastAsia="zh-CN"/>
        </w:rPr>
      </w:pPr>
      <w:r>
        <w:rPr>
          <w:rFonts w:hint="eastAsia"/>
          <w:b/>
          <w:bCs/>
          <w:color w:val="auto"/>
          <w:u w:val="none" w:color="auto"/>
          <w:lang w:val="en-US" w:eastAsia="zh-CN"/>
        </w:rPr>
        <w:t>4、火灾、爆炸风险事故影响分析</w:t>
      </w:r>
    </w:p>
    <w:p w14:paraId="3219D6AE">
      <w:pPr>
        <w:pStyle w:val="20"/>
        <w:rPr>
          <w:rFonts w:hint="eastAsia"/>
          <w:color w:val="auto"/>
          <w:u w:val="none" w:color="auto"/>
          <w:lang w:val="en-US" w:eastAsia="zh-CN"/>
        </w:rPr>
      </w:pPr>
      <w:r>
        <w:rPr>
          <w:rFonts w:hint="eastAsia"/>
          <w:color w:val="auto"/>
          <w:u w:val="none" w:color="auto"/>
          <w:lang w:val="en-US" w:eastAsia="zh-CN"/>
        </w:rPr>
        <w:t>项目原材料与产品均为易燃物质，在发生火灾情况下，原材料和产品不完全燃烧可能产生大量的烟尘及有毒物质，主要为CO、SO</w:t>
      </w:r>
      <w:r>
        <w:rPr>
          <w:rFonts w:hint="eastAsia"/>
          <w:color w:val="auto"/>
          <w:u w:val="none" w:color="auto"/>
          <w:vertAlign w:val="subscript"/>
          <w:lang w:val="en-US" w:eastAsia="zh-CN"/>
        </w:rPr>
        <w:t>2</w:t>
      </w:r>
      <w:r>
        <w:rPr>
          <w:rFonts w:hint="eastAsia"/>
          <w:color w:val="auto"/>
          <w:u w:val="none" w:color="auto"/>
          <w:lang w:val="en-US" w:eastAsia="zh-CN"/>
        </w:rPr>
        <w:t>、NOx等，PVC塑料燃烧时还可能产生HCl和二噁英等有毒有害废气，火灾事故下产生的次生污染将对厂区及周边大气环境产生影响。</w:t>
      </w:r>
    </w:p>
    <w:p w14:paraId="6300583D">
      <w:pPr>
        <w:pStyle w:val="20"/>
        <w:rPr>
          <w:rFonts w:hint="eastAsia"/>
          <w:color w:val="auto"/>
          <w:u w:val="none" w:color="auto"/>
          <w:lang w:val="en-US" w:eastAsia="zh-CN"/>
        </w:rPr>
      </w:pPr>
      <w:r>
        <w:rPr>
          <w:rFonts w:hint="eastAsia"/>
          <w:color w:val="auto"/>
          <w:u w:val="none" w:color="auto"/>
          <w:lang w:val="en-US" w:eastAsia="zh-CN"/>
        </w:rPr>
        <w:t>一旦发生火灾，将会产生大量的财产损失，甚至危及人员生命。火灾时将产生大量烟雾，其主要成分为除一般有机物完全燃烧产生的二氧化碳、水蒸汽外，还将有大量不完全燃烧生成的一氧化碳、小分子有机物、烟尘，特别是一氧化碳形成的毒性烟雾，对环境和人体健康危害很大。一般情况下，火场附近一氧化碳的浓度较高（浓度可达0.02%），而距火场30m处，一氧化碳的浓度逐渐降低（0.001%）。因此，近距离靠近火场会有造成一氧化碳中毒的危险。资料显示，在火灾造成的人员死亡中，3/4的人死于有害气体，而有害气体中一氧化碳是主要的有毒物质。烟尘是燃烧的主要产物，烟尘对空气污染的影响主要取决于颗粒的大小，颗粒越小危害越大。烟尘对人体的影响主要体现在吸入效应上。烟尘微粒可吸附有害气体，引起人的呼吸疾病。在火场之外的空间内，由于新鲜空气与烟雾之间的对流，烟的浓度被稀释，对人体的伤害较小。含硫物质燃烧后典型产物为二氧化硫，二氧化硫是酸雨形成的源头之一，对人体呼吸道有强刺激作用，可致肺水肿造成直接死亡。</w:t>
      </w:r>
    </w:p>
    <w:p w14:paraId="71CEBE7E">
      <w:pPr>
        <w:pStyle w:val="20"/>
        <w:rPr>
          <w:rFonts w:hint="eastAsia"/>
          <w:color w:val="auto"/>
          <w:u w:val="none" w:color="auto"/>
          <w:lang w:val="en-US" w:eastAsia="zh-CN"/>
        </w:rPr>
      </w:pPr>
      <w:r>
        <w:rPr>
          <w:rFonts w:hint="eastAsia"/>
          <w:color w:val="auto"/>
          <w:u w:val="none" w:color="auto"/>
          <w:lang w:val="en-US" w:eastAsia="zh-CN"/>
        </w:rPr>
        <w:t>PVC塑料燃烧时可能产生二噁英，</w:t>
      </w:r>
      <w:r>
        <w:rPr>
          <w:rFonts w:hint="default" w:ascii="Times New Roman" w:hAnsi="Times New Roman" w:eastAsia="宋体" w:cs="Times New Roman"/>
          <w:color w:val="auto"/>
          <w:sz w:val="24"/>
          <w:szCs w:val="24"/>
          <w:highlight w:val="none"/>
          <w:u w:val="none" w:color="auto"/>
          <w:lang w:val="en-US" w:eastAsia="zh-CN"/>
        </w:rPr>
        <w:t>二噁英</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简写为PCDD/Fs</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是一类毒性很强的三环芳香族有机化合物，由2个或1个氧原子联接2个被氯取代的苯环组成，每个苯环上可以取0~4个氯原子，所以共有75个PCDD异构体和135个PCDF异构体。PCDD/Fs的毒性与氯原子取代的8个位置有关，人们最为关注的是2,3,7,8四个共平面取代位置均有氯原子的PCDD/Fs同系物，共有17种。其中毒性最强的是2,3,7,8-四氯代二苯并对二噁英，其毒性相当于氰化钾(KCN)毒性的1000倍，因此被称为“地球上毒性最强的毒物”，又因其一旦渗透到环境之中，就很难自然降解消除</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火灾条件下二噁英的迁移途径主要包括，①</w:t>
      </w:r>
      <w:r>
        <w:rPr>
          <w:rFonts w:hint="default" w:ascii="Times New Roman" w:hAnsi="Times New Roman" w:eastAsia="宋体" w:cs="Times New Roman"/>
          <w:color w:val="auto"/>
          <w:sz w:val="24"/>
          <w:szCs w:val="24"/>
          <w:highlight w:val="none"/>
          <w:u w:val="none" w:color="auto"/>
          <w:lang w:eastAsia="zh-CN"/>
        </w:rPr>
        <w:t>大气扩散：二噁英可通过烟羽远距离迁移，吸附于颗粒物或气溶胶表面，</w:t>
      </w:r>
      <w:r>
        <w:rPr>
          <w:rFonts w:hint="default" w:ascii="Times New Roman" w:hAnsi="Times New Roman" w:eastAsia="宋体" w:cs="Times New Roman"/>
          <w:color w:val="auto"/>
          <w:sz w:val="24"/>
          <w:szCs w:val="24"/>
          <w:highlight w:val="none"/>
          <w:u w:val="none" w:color="auto"/>
          <w:lang w:val="en-US" w:eastAsia="zh-CN"/>
        </w:rPr>
        <w:t>并根据</w:t>
      </w:r>
      <w:r>
        <w:rPr>
          <w:rFonts w:hint="default" w:ascii="Times New Roman" w:hAnsi="Times New Roman" w:eastAsia="宋体" w:cs="Times New Roman"/>
          <w:color w:val="auto"/>
          <w:sz w:val="24"/>
          <w:szCs w:val="24"/>
          <w:highlight w:val="none"/>
          <w:u w:val="none" w:color="auto"/>
          <w:lang w:eastAsia="zh-CN"/>
        </w:rPr>
        <w:t>气象条件（如风速、逆温层）和地形特征</w:t>
      </w:r>
      <w:r>
        <w:rPr>
          <w:rFonts w:hint="default" w:ascii="Times New Roman" w:hAnsi="Times New Roman" w:eastAsia="宋体" w:cs="Times New Roman"/>
          <w:color w:val="auto"/>
          <w:sz w:val="24"/>
          <w:szCs w:val="24"/>
          <w:highlight w:val="none"/>
          <w:u w:val="none" w:color="auto"/>
          <w:lang w:val="en-US" w:eastAsia="zh-CN"/>
        </w:rPr>
        <w:t>迁移至火灾事故点周围</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②</w:t>
      </w:r>
      <w:r>
        <w:rPr>
          <w:rFonts w:hint="default" w:ascii="Times New Roman" w:hAnsi="Times New Roman" w:eastAsia="宋体" w:cs="Times New Roman"/>
          <w:color w:val="auto"/>
          <w:sz w:val="24"/>
          <w:szCs w:val="24"/>
          <w:highlight w:val="none"/>
          <w:u w:val="none" w:color="auto"/>
          <w:lang w:eastAsia="zh-CN"/>
        </w:rPr>
        <w:t>土壤与水体沉积：二噁英具强脂溶性和持久性，火灾后可能通过干湿沉降进入土壤及水体，长期滞留并富集于沉积物中。</w:t>
      </w:r>
      <w:r>
        <w:rPr>
          <w:rFonts w:hint="default" w:ascii="Times New Roman" w:hAnsi="Times New Roman" w:eastAsia="宋体" w:cs="Times New Roman"/>
          <w:color w:val="auto"/>
          <w:sz w:val="24"/>
          <w:szCs w:val="24"/>
          <w:highlight w:val="none"/>
          <w:u w:val="none" w:color="auto"/>
          <w:lang w:val="en-US" w:eastAsia="zh-CN"/>
        </w:rPr>
        <w:t>③</w:t>
      </w:r>
      <w:r>
        <w:rPr>
          <w:rFonts w:hint="default" w:ascii="Times New Roman" w:hAnsi="Times New Roman" w:eastAsia="宋体" w:cs="Times New Roman"/>
          <w:color w:val="auto"/>
          <w:sz w:val="24"/>
          <w:szCs w:val="24"/>
          <w:highlight w:val="none"/>
          <w:u w:val="none" w:color="auto"/>
          <w:lang w:eastAsia="zh-CN"/>
        </w:rPr>
        <w:t>生物累积：通过食物链富集，水生生物（如鱼类）和陆生植物（如农作物）可能成为二噁英进入人体的载体。火灾短期内释放高浓度二噁英，可能对救援人员及附近居民造成呼吸系统刺激和免疫抑制。长期低剂量暴露可能引发致癌（如肺癌、肝癌）、生殖毒性（如生育能力下降）及内分泌干扰等。</w:t>
      </w:r>
      <w:r>
        <w:rPr>
          <w:rFonts w:hint="default" w:ascii="Times New Roman" w:hAnsi="Times New Roman" w:eastAsia="宋体" w:cs="Times New Roman"/>
          <w:color w:val="auto"/>
          <w:sz w:val="24"/>
          <w:szCs w:val="24"/>
          <w:highlight w:val="none"/>
          <w:u w:val="none" w:color="auto"/>
          <w:lang w:val="en-US" w:eastAsia="zh-CN"/>
        </w:rPr>
        <w:t>同时二噁英对生态环境也会造成一定影响，二噁英能够抑制植物光合作用，导致叶片坏死或生长迟缓，还能够吸附于土壤后破坏微生物群落，影响土壤理化性质</w:t>
      </w:r>
      <w:r>
        <w:rPr>
          <w:rFonts w:hint="eastAsia"/>
          <w:color w:val="auto"/>
          <w:u w:val="none" w:color="auto"/>
          <w:lang w:val="en-US" w:eastAsia="zh-CN"/>
        </w:rPr>
        <w:t>。</w:t>
      </w:r>
    </w:p>
    <w:p w14:paraId="2354EAAC">
      <w:pPr>
        <w:pStyle w:val="20"/>
        <w:rPr>
          <w:rFonts w:hint="default"/>
          <w:color w:val="auto"/>
          <w:u w:val="none" w:color="auto"/>
          <w:lang w:val="en-US" w:eastAsia="zh-CN"/>
        </w:rPr>
      </w:pPr>
      <w:r>
        <w:rPr>
          <w:rFonts w:hint="default"/>
          <w:color w:val="auto"/>
          <w:u w:val="none" w:color="auto"/>
          <w:lang w:val="en-US" w:eastAsia="zh-CN"/>
        </w:rPr>
        <w:t>为了扑灭火灾还将产生消防废水，消防废水水质复杂，水量变化大，特别是可能直接夹带原料，因此如果没有进入事故池直接排放，对下游自然环境可能造成严重影响，具体影响包括：污染地表水，造成水体多因子超标失去灌溉等功能；污染地下水导致无法作为饮用水或生活用水；污染土壤，导致土壤中有毒物质浓度超标或 pH 显著变化</w:t>
      </w:r>
      <w:r>
        <w:rPr>
          <w:rFonts w:hint="eastAsia"/>
          <w:color w:val="auto"/>
          <w:u w:val="none" w:color="auto"/>
          <w:lang w:val="en-US" w:eastAsia="zh-CN"/>
        </w:rPr>
        <w:t>。</w:t>
      </w:r>
    </w:p>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14:paraId="55EF7BEF">
      <w:pPr>
        <w:pStyle w:val="4"/>
        <w:rPr>
          <w:rFonts w:hint="default" w:ascii="Times New Roman" w:hAnsi="Times New Roman" w:cs="Times New Roman"/>
          <w:color w:val="auto"/>
          <w:u w:val="none" w:color="auto"/>
          <w:lang w:val="en-US" w:eastAsia="zh-CN"/>
        </w:rPr>
      </w:pPr>
      <w:bookmarkStart w:id="1239" w:name="_Toc29076"/>
      <w:bookmarkStart w:id="1240" w:name="_Toc26343"/>
      <w:bookmarkStart w:id="1241" w:name="_Toc12900"/>
      <w:bookmarkStart w:id="1242" w:name="_Toc28914"/>
      <w:bookmarkStart w:id="1243" w:name="_Toc23418"/>
      <w:bookmarkStart w:id="1244" w:name="_Toc7648"/>
      <w:bookmarkStart w:id="1245" w:name="_Toc31062"/>
      <w:bookmarkStart w:id="1246" w:name="_Toc15008"/>
      <w:bookmarkStart w:id="1247" w:name="_Toc11761"/>
      <w:bookmarkStart w:id="1248" w:name="_Toc15924"/>
      <w:bookmarkStart w:id="1249" w:name="_Toc170311285"/>
      <w:bookmarkStart w:id="1250" w:name="_Toc170204836"/>
      <w:bookmarkStart w:id="1251" w:name="_Toc130791054"/>
      <w:bookmarkStart w:id="1252" w:name="_Toc169409751"/>
      <w:bookmarkStart w:id="1253" w:name="_Toc169409084"/>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事故风险防范措施</w:t>
      </w:r>
      <w:bookmarkEnd w:id="1239"/>
      <w:bookmarkEnd w:id="1240"/>
      <w:bookmarkEnd w:id="1241"/>
      <w:bookmarkEnd w:id="1242"/>
      <w:bookmarkEnd w:id="1243"/>
      <w:bookmarkEnd w:id="1244"/>
      <w:bookmarkEnd w:id="1245"/>
      <w:bookmarkEnd w:id="1246"/>
      <w:bookmarkEnd w:id="1247"/>
      <w:bookmarkEnd w:id="1248"/>
    </w:p>
    <w:p w14:paraId="7F5792B7">
      <w:pPr>
        <w:pStyle w:val="20"/>
        <w:bidi w:val="0"/>
        <w:rPr>
          <w:rFonts w:hint="default"/>
          <w:b/>
          <w:bCs/>
          <w:color w:val="auto"/>
          <w:u w:val="none" w:color="auto"/>
          <w:lang w:val="en-US" w:eastAsia="zh-CN"/>
        </w:rPr>
      </w:pPr>
      <w:r>
        <w:rPr>
          <w:rFonts w:hint="eastAsia"/>
          <w:b/>
          <w:bCs/>
          <w:color w:val="auto"/>
          <w:u w:val="none" w:color="auto"/>
          <w:lang w:val="en-US" w:eastAsia="zh-CN"/>
        </w:rPr>
        <w:t>1、</w:t>
      </w:r>
      <w:r>
        <w:rPr>
          <w:rFonts w:hint="default"/>
          <w:b/>
          <w:bCs/>
          <w:color w:val="auto"/>
          <w:u w:val="none" w:color="auto"/>
          <w:lang w:val="en-US" w:eastAsia="zh-CN"/>
        </w:rPr>
        <w:t>风险物质贮存和运输风险防范措施</w:t>
      </w:r>
    </w:p>
    <w:p w14:paraId="4CDB9F4C">
      <w:pPr>
        <w:pStyle w:val="20"/>
        <w:bidi w:val="0"/>
        <w:rPr>
          <w:color w:val="auto"/>
          <w:u w:val="none" w:color="auto"/>
        </w:rPr>
      </w:pPr>
      <w:r>
        <w:rPr>
          <w:color w:val="auto"/>
          <w:u w:val="none" w:color="auto"/>
        </w:rPr>
        <w:t>项目</w:t>
      </w:r>
      <w:r>
        <w:rPr>
          <w:rFonts w:hint="eastAsia"/>
          <w:color w:val="auto"/>
          <w:u w:val="none" w:color="auto"/>
          <w:lang w:eastAsia="zh-CN"/>
        </w:rPr>
        <w:t>生产线</w:t>
      </w:r>
      <w:r>
        <w:rPr>
          <w:color w:val="auto"/>
          <w:u w:val="none" w:color="auto"/>
        </w:rPr>
        <w:t>涉及的原材料</w:t>
      </w:r>
      <w:r>
        <w:rPr>
          <w:rFonts w:hint="eastAsia"/>
          <w:color w:val="auto"/>
          <w:u w:val="none" w:color="auto"/>
          <w:lang w:eastAsia="zh-CN"/>
        </w:rPr>
        <w:t>再生塑料，属于</w:t>
      </w:r>
      <w:r>
        <w:rPr>
          <w:color w:val="auto"/>
          <w:u w:val="none" w:color="auto"/>
        </w:rPr>
        <w:t>高分子材料，是可燃物质。</w:t>
      </w:r>
      <w:r>
        <w:rPr>
          <w:rFonts w:hint="eastAsia"/>
          <w:color w:val="auto"/>
          <w:u w:val="none" w:color="auto"/>
          <w:lang w:eastAsia="zh-CN"/>
        </w:rPr>
        <w:t>其</w:t>
      </w:r>
      <w:r>
        <w:rPr>
          <w:color w:val="auto"/>
          <w:u w:val="none" w:color="auto"/>
        </w:rPr>
        <w:t>燃烧时的分解产物主要为CO、CO</w:t>
      </w:r>
      <w:r>
        <w:rPr>
          <w:color w:val="auto"/>
          <w:u w:val="none" w:color="auto"/>
          <w:vertAlign w:val="subscript"/>
        </w:rPr>
        <w:t>2</w:t>
      </w:r>
      <w:r>
        <w:rPr>
          <w:color w:val="auto"/>
          <w:u w:val="none" w:color="auto"/>
        </w:rPr>
        <w:t>、H</w:t>
      </w:r>
      <w:r>
        <w:rPr>
          <w:color w:val="auto"/>
          <w:u w:val="none" w:color="auto"/>
          <w:vertAlign w:val="subscript"/>
        </w:rPr>
        <w:t>2</w:t>
      </w:r>
      <w:r>
        <w:rPr>
          <w:color w:val="auto"/>
          <w:u w:val="none" w:color="auto"/>
        </w:rPr>
        <w:t>O等，不完全燃烧时还有可能产生烟尘、塑料高温分解单体等有机物。CO有窒息作用，渗入肺部，导致血液中毒；烟尘会对人员呼吸系统产生重大危害，有机单体也会进入呼吸系统对人员身体健康产生不利影响，因此，塑料</w:t>
      </w:r>
      <w:r>
        <w:rPr>
          <w:rFonts w:hint="eastAsia"/>
          <w:color w:val="auto"/>
          <w:u w:val="none" w:color="auto"/>
          <w:lang w:eastAsia="zh-CN"/>
        </w:rPr>
        <w:t>及塑料制品</w:t>
      </w:r>
      <w:r>
        <w:rPr>
          <w:color w:val="auto"/>
          <w:u w:val="none" w:color="auto"/>
        </w:rPr>
        <w:t>一旦发生火灾，需采取相应的防范治理措施，避免释放的烟雾和气体对厂区内工作人员及周边居住区村民的身体造成影响。</w:t>
      </w:r>
    </w:p>
    <w:p w14:paraId="25A3767C">
      <w:pPr>
        <w:pStyle w:val="20"/>
        <w:bidi w:val="0"/>
        <w:rPr>
          <w:rFonts w:hint="eastAsia"/>
          <w:color w:val="auto"/>
          <w:u w:val="none" w:color="auto"/>
          <w:lang w:eastAsia="zh-CN"/>
        </w:rPr>
      </w:pPr>
      <w:r>
        <w:rPr>
          <w:rFonts w:hint="eastAsia"/>
          <w:color w:val="auto"/>
          <w:u w:val="none" w:color="auto"/>
          <w:lang w:eastAsia="zh-CN"/>
        </w:rPr>
        <w:t>建设单位针对风险物质的储存和使用，应做好以下措施：</w:t>
      </w:r>
    </w:p>
    <w:p w14:paraId="0789F0AD">
      <w:pPr>
        <w:pStyle w:val="20"/>
        <w:bidi w:val="0"/>
        <w:rPr>
          <w:rFonts w:hint="eastAsia"/>
          <w:color w:val="auto"/>
          <w:u w:val="none" w:color="auto"/>
          <w:lang w:eastAsia="zh-CN"/>
        </w:rPr>
      </w:pPr>
      <w:r>
        <w:rPr>
          <w:rFonts w:hint="eastAsia"/>
          <w:color w:val="auto"/>
          <w:u w:val="none" w:color="auto"/>
          <w:lang w:eastAsia="zh-CN"/>
        </w:rPr>
        <w:t>①原材料再生塑料储存于阴凉、通风处。库温不超过30℃，相对湿度不超过85％。保持干燥通风。</w:t>
      </w:r>
    </w:p>
    <w:p w14:paraId="6F2A4AA3">
      <w:pPr>
        <w:pStyle w:val="20"/>
        <w:bidi w:val="0"/>
        <w:rPr>
          <w:rFonts w:hint="eastAsia"/>
          <w:color w:val="auto"/>
          <w:u w:val="none" w:color="auto"/>
          <w:lang w:eastAsia="zh-CN"/>
        </w:rPr>
      </w:pPr>
      <w:r>
        <w:rPr>
          <w:rFonts w:hint="eastAsia"/>
          <w:color w:val="auto"/>
          <w:u w:val="none" w:color="auto"/>
          <w:lang w:eastAsia="zh-CN"/>
        </w:rPr>
        <w:t>②定期对原辅材料使用过程中的相关人员，如联络员、仓管员、直接使用人员进行过程监查，定期对上述人员进行相关知识教育和岗位职责培训。</w:t>
      </w:r>
    </w:p>
    <w:p w14:paraId="35F2FA05">
      <w:pPr>
        <w:pStyle w:val="20"/>
        <w:bidi w:val="0"/>
        <w:rPr>
          <w:rFonts w:hint="eastAsia"/>
          <w:color w:val="auto"/>
          <w:u w:val="none" w:color="auto"/>
          <w:lang w:eastAsia="zh-CN"/>
        </w:rPr>
      </w:pPr>
      <w:r>
        <w:rPr>
          <w:rFonts w:hint="eastAsia"/>
          <w:color w:val="auto"/>
          <w:u w:val="none" w:color="auto"/>
          <w:lang w:val="en-US" w:eastAsia="zh-CN"/>
        </w:rPr>
        <w:t>③</w:t>
      </w:r>
      <w:r>
        <w:rPr>
          <w:rFonts w:hint="eastAsia"/>
          <w:color w:val="auto"/>
          <w:u w:val="none" w:color="auto"/>
          <w:lang w:eastAsia="zh-CN"/>
        </w:rPr>
        <w:t>生产车间按照消防栓设计规范，车间设置灭火器。</w:t>
      </w:r>
    </w:p>
    <w:p w14:paraId="01D8520F">
      <w:pPr>
        <w:pStyle w:val="20"/>
        <w:bidi w:val="0"/>
        <w:rPr>
          <w:rFonts w:hint="eastAsia"/>
          <w:color w:val="auto"/>
          <w:u w:val="none" w:color="auto"/>
          <w:lang w:eastAsia="zh-CN"/>
        </w:rPr>
      </w:pPr>
      <w:r>
        <w:rPr>
          <w:rFonts w:hint="eastAsia"/>
          <w:color w:val="auto"/>
          <w:u w:val="none" w:color="auto"/>
          <w:lang w:val="en-US" w:eastAsia="zh-CN"/>
        </w:rPr>
        <w:t>④</w:t>
      </w:r>
      <w:r>
        <w:rPr>
          <w:rFonts w:hint="eastAsia"/>
          <w:color w:val="auto"/>
          <w:u w:val="none" w:color="auto"/>
          <w:lang w:eastAsia="zh-CN"/>
        </w:rPr>
        <w:t>加强管理，严禁火种进入生产车间。</w:t>
      </w:r>
    </w:p>
    <w:p w14:paraId="2ACFCF68">
      <w:pPr>
        <w:pStyle w:val="20"/>
        <w:bidi w:val="0"/>
        <w:rPr>
          <w:rFonts w:hint="eastAsia"/>
          <w:color w:val="auto"/>
          <w:u w:val="none" w:color="auto"/>
          <w:lang w:eastAsia="zh-CN"/>
        </w:rPr>
      </w:pPr>
      <w:r>
        <w:rPr>
          <w:rFonts w:hint="eastAsia"/>
          <w:color w:val="auto"/>
          <w:u w:val="none" w:color="auto"/>
          <w:lang w:val="en-US" w:eastAsia="zh-CN"/>
        </w:rPr>
        <w:t>⑤</w:t>
      </w:r>
      <w:r>
        <w:rPr>
          <w:rFonts w:hint="eastAsia"/>
          <w:color w:val="auto"/>
          <w:u w:val="none" w:color="auto"/>
          <w:lang w:eastAsia="zh-CN"/>
        </w:rPr>
        <w:t>危废暂存间的液态危险废物（废</w:t>
      </w:r>
      <w:r>
        <w:rPr>
          <w:rFonts w:hint="eastAsia"/>
          <w:color w:val="auto"/>
          <w:u w:val="none" w:color="auto"/>
          <w:lang w:val="en-US" w:eastAsia="zh-CN"/>
        </w:rPr>
        <w:t>矿物油</w:t>
      </w:r>
      <w:r>
        <w:rPr>
          <w:rFonts w:hint="eastAsia"/>
          <w:color w:val="auto"/>
          <w:u w:val="none" w:color="auto"/>
          <w:lang w:eastAsia="zh-CN"/>
        </w:rPr>
        <w:t>）存放区，应设置防渗漏托盘。</w:t>
      </w:r>
    </w:p>
    <w:p w14:paraId="7B75F8D7">
      <w:pPr>
        <w:pStyle w:val="20"/>
        <w:bidi w:val="0"/>
        <w:rPr>
          <w:rFonts w:hint="default"/>
          <w:b/>
          <w:bCs/>
          <w:color w:val="auto"/>
          <w:u w:val="none" w:color="auto"/>
          <w:lang w:val="en-US" w:eastAsia="zh-CN"/>
        </w:rPr>
      </w:pPr>
      <w:r>
        <w:rPr>
          <w:rFonts w:hint="eastAsia"/>
          <w:b/>
          <w:bCs/>
          <w:color w:val="auto"/>
          <w:u w:val="none" w:color="auto"/>
          <w:lang w:val="en-US" w:eastAsia="zh-CN"/>
        </w:rPr>
        <w:t>2、</w:t>
      </w:r>
      <w:r>
        <w:rPr>
          <w:rFonts w:hint="default"/>
          <w:b/>
          <w:bCs/>
          <w:color w:val="auto"/>
          <w:u w:val="none" w:color="auto"/>
          <w:lang w:val="en-US" w:eastAsia="zh-CN"/>
        </w:rPr>
        <w:t>操作过程中安全防范措施</w:t>
      </w:r>
    </w:p>
    <w:p w14:paraId="74C46E48">
      <w:pPr>
        <w:pStyle w:val="20"/>
        <w:bidi w:val="0"/>
        <w:rPr>
          <w:rFonts w:hint="default"/>
          <w:color w:val="auto"/>
          <w:u w:val="none" w:color="auto"/>
          <w:lang w:val="en-GB" w:eastAsia="zh-CN"/>
        </w:rPr>
      </w:pPr>
      <w:r>
        <w:rPr>
          <w:rFonts w:hint="default"/>
          <w:color w:val="auto"/>
          <w:u w:val="none" w:color="auto"/>
          <w:lang w:val="en-GB" w:eastAsia="zh-CN"/>
        </w:rPr>
        <w:t>生产过程中若发生事故，不但会引起环境的破坏，而且还会给企业造成巨大的</w:t>
      </w:r>
      <w:r>
        <w:rPr>
          <w:rFonts w:hint="eastAsia"/>
          <w:color w:val="auto"/>
          <w:u w:val="none" w:color="auto"/>
          <w:lang w:val="en-US" w:eastAsia="zh-CN"/>
        </w:rPr>
        <w:t>经济</w:t>
      </w:r>
      <w:r>
        <w:rPr>
          <w:rFonts w:hint="default"/>
          <w:color w:val="auto"/>
          <w:u w:val="none" w:color="auto"/>
          <w:lang w:val="en-GB" w:eastAsia="zh-CN"/>
        </w:rPr>
        <w:t>损失。根据调查统计，事故的发生因素主要包括：设计缺陷、设备质量差、管理失误以及违章操作等。因此，公司采用了以下防范措施：</w:t>
      </w:r>
    </w:p>
    <w:p w14:paraId="1B43B8B1">
      <w:pPr>
        <w:pStyle w:val="20"/>
        <w:bidi w:val="0"/>
        <w:rPr>
          <w:rFonts w:hint="default"/>
          <w:color w:val="auto"/>
          <w:u w:val="none" w:color="auto"/>
          <w:lang w:val="en-GB" w:eastAsia="zh-CN"/>
        </w:rPr>
      </w:pPr>
      <w:r>
        <w:rPr>
          <w:rFonts w:hint="default"/>
          <w:color w:val="auto"/>
          <w:u w:val="none" w:color="auto"/>
          <w:lang w:val="en-GB" w:eastAsia="zh-CN"/>
        </w:rPr>
        <w:t>（1）严格把好工程设计、施工根据厂区各生产单元的特性，对车间分别考虑防火、防爆、防雷及排风的要求。</w:t>
      </w:r>
    </w:p>
    <w:p w14:paraId="5EC2AC88">
      <w:pPr>
        <w:pStyle w:val="20"/>
        <w:bidi w:val="0"/>
        <w:rPr>
          <w:rFonts w:hint="default"/>
          <w:color w:val="auto"/>
          <w:u w:val="none" w:color="auto"/>
          <w:lang w:val="en-GB" w:eastAsia="zh-CN"/>
        </w:rPr>
      </w:pPr>
      <w:r>
        <w:rPr>
          <w:rFonts w:hint="default"/>
          <w:color w:val="auto"/>
          <w:u w:val="none" w:color="auto"/>
          <w:lang w:val="en-GB" w:eastAsia="zh-CN"/>
        </w:rPr>
        <w:t>设计中严格执行国家有关的标准规范和劳动安全卫生的法规、制度；选用高质量的管道、管件等设备，降低因设备质量引起的污染物泄漏事故发生；各生产车间必须配别消防灭火设施和留有消防通道；</w:t>
      </w:r>
    </w:p>
    <w:p w14:paraId="3BB3AAF9">
      <w:pPr>
        <w:pStyle w:val="20"/>
        <w:bidi w:val="0"/>
        <w:rPr>
          <w:rFonts w:hint="default"/>
          <w:color w:val="auto"/>
          <w:u w:val="none" w:color="auto"/>
          <w:lang w:val="en-GB" w:eastAsia="zh-CN"/>
        </w:rPr>
      </w:pPr>
      <w:r>
        <w:rPr>
          <w:rFonts w:hint="default"/>
          <w:color w:val="auto"/>
          <w:u w:val="none" w:color="auto"/>
          <w:lang w:val="en-GB" w:eastAsia="zh-CN"/>
        </w:rPr>
        <w:t>（2）完善规章制度建立健全的车间规章制度，加强员工教育，提高员工对突发性事故的警觉和认识；强化风险意识，加强安全管理，减少风险事故的发生。</w:t>
      </w:r>
    </w:p>
    <w:p w14:paraId="2CF9F764">
      <w:pPr>
        <w:pStyle w:val="20"/>
        <w:bidi w:val="0"/>
        <w:rPr>
          <w:rFonts w:hint="default"/>
          <w:color w:val="auto"/>
          <w:u w:val="none" w:color="auto"/>
        </w:rPr>
      </w:pPr>
      <w:r>
        <w:rPr>
          <w:rFonts w:hint="default"/>
          <w:color w:val="auto"/>
          <w:u w:val="none" w:color="auto"/>
          <w:lang w:val="en-GB" w:eastAsia="zh-CN"/>
        </w:rPr>
        <w:t>（3）加强技术培训，提高职工安全意识加强对员工的培训，提高员工技能，使所有操作人员熟悉自己的岗位，树立严谨的操作作风；定期进行安全环保宣传教育及事故演练，提高员工的应急事故处置能力，在任何紧急情况下都能及时、独立、正确地实施相关应急措施。</w:t>
      </w:r>
    </w:p>
    <w:p w14:paraId="0711CE9B">
      <w:pPr>
        <w:pStyle w:val="20"/>
        <w:bidi w:val="0"/>
        <w:rPr>
          <w:rFonts w:hint="default" w:ascii="Times New Roman" w:hAnsi="Times New Roman" w:eastAsia="宋体" w:cs="Times New Roman"/>
          <w:b/>
          <w:bCs/>
          <w:color w:val="auto"/>
          <w:sz w:val="24"/>
          <w:szCs w:val="24"/>
          <w:u w:val="none" w:color="auto"/>
          <w:lang w:val="en-US" w:eastAsia="zh-CN"/>
        </w:rPr>
      </w:pPr>
      <w:r>
        <w:rPr>
          <w:rFonts w:hint="eastAsia"/>
          <w:b/>
          <w:bCs/>
          <w:color w:val="auto"/>
          <w:sz w:val="24"/>
          <w:szCs w:val="24"/>
          <w:u w:val="none" w:color="auto"/>
          <w:lang w:val="en-US" w:eastAsia="zh-CN"/>
        </w:rPr>
        <w:t>3、</w:t>
      </w:r>
      <w:r>
        <w:rPr>
          <w:rFonts w:hint="default" w:ascii="Times New Roman" w:hAnsi="Times New Roman" w:eastAsia="宋体" w:cs="Times New Roman"/>
          <w:b/>
          <w:bCs/>
          <w:color w:val="auto"/>
          <w:sz w:val="24"/>
          <w:szCs w:val="24"/>
          <w:u w:val="none" w:color="auto"/>
          <w:lang w:val="en-US" w:eastAsia="zh-CN"/>
        </w:rPr>
        <w:t>工程设计安全防范措施</w:t>
      </w:r>
    </w:p>
    <w:p w14:paraId="3C827F1E">
      <w:pPr>
        <w:pStyle w:val="20"/>
        <w:bidi w:val="0"/>
        <w:rPr>
          <w:rFonts w:hint="default"/>
          <w:color w:val="auto"/>
          <w:u w:val="none" w:color="auto"/>
          <w:lang w:val="en-US" w:eastAsia="zh-CN"/>
        </w:rPr>
      </w:pPr>
      <w:r>
        <w:rPr>
          <w:rFonts w:hint="default"/>
          <w:color w:val="auto"/>
          <w:u w:val="none" w:color="auto"/>
          <w:lang w:val="en-US" w:eastAsia="zh-CN"/>
        </w:rPr>
        <w:t>工程设计是控制风险事故发生的一个重要因素，只有严格把好工程设计关、施工关，严格执行工程设计国家相应标准规范，从源头上消除事故隐患。</w:t>
      </w:r>
    </w:p>
    <w:p w14:paraId="2C31A17D">
      <w:pPr>
        <w:pStyle w:val="20"/>
        <w:bidi w:val="0"/>
        <w:rPr>
          <w:rFonts w:hint="default"/>
          <w:color w:val="auto"/>
          <w:u w:val="none" w:color="auto"/>
          <w:lang w:val="en-US" w:eastAsia="zh-CN"/>
        </w:rPr>
      </w:pPr>
      <w:r>
        <w:rPr>
          <w:rFonts w:hint="default"/>
          <w:color w:val="auto"/>
          <w:u w:val="none" w:color="auto"/>
          <w:lang w:val="en-US" w:eastAsia="zh-CN"/>
        </w:rPr>
        <w:t>（1）工程设计严格执行国家、行业等有关部门的设计规范和标准；</w:t>
      </w:r>
    </w:p>
    <w:p w14:paraId="73F84F9F">
      <w:pPr>
        <w:pStyle w:val="20"/>
        <w:bidi w:val="0"/>
        <w:rPr>
          <w:rFonts w:hint="default"/>
          <w:color w:val="auto"/>
          <w:u w:val="none" w:color="auto"/>
          <w:lang w:val="en-US" w:eastAsia="zh-CN"/>
        </w:rPr>
      </w:pPr>
      <w:r>
        <w:rPr>
          <w:rFonts w:hint="default"/>
          <w:color w:val="auto"/>
          <w:u w:val="none" w:color="auto"/>
          <w:lang w:val="en-US" w:eastAsia="zh-CN"/>
        </w:rPr>
        <w:t>（2）采用技术先进工艺和安全可靠的设备，尽量采用自动化控制系统，降低工人劳动强度和工作环境；</w:t>
      </w:r>
    </w:p>
    <w:p w14:paraId="6A699E69">
      <w:pPr>
        <w:pStyle w:val="20"/>
        <w:bidi w:val="0"/>
        <w:rPr>
          <w:rFonts w:hint="default"/>
          <w:color w:val="auto"/>
          <w:u w:val="none" w:color="auto"/>
          <w:lang w:val="en-US" w:eastAsia="zh-CN"/>
        </w:rPr>
      </w:pPr>
      <w:r>
        <w:rPr>
          <w:rFonts w:hint="default"/>
          <w:color w:val="auto"/>
          <w:u w:val="none" w:color="auto"/>
          <w:lang w:val="en-US" w:eastAsia="zh-CN"/>
        </w:rPr>
        <w:t>（3）车间内设备布置严格执行国家有关防火防爆的规定，各生产单元之间要留有足够的安全距离，并按规定设计消防通道；</w:t>
      </w:r>
    </w:p>
    <w:p w14:paraId="3354D27D">
      <w:pPr>
        <w:pStyle w:val="20"/>
        <w:bidi w:val="0"/>
        <w:rPr>
          <w:rFonts w:hint="default"/>
          <w:color w:val="auto"/>
          <w:u w:val="none" w:color="auto"/>
          <w:lang w:val="en-US" w:eastAsia="zh-CN"/>
        </w:rPr>
      </w:pPr>
      <w:r>
        <w:rPr>
          <w:rFonts w:hint="default"/>
          <w:color w:val="auto"/>
          <w:u w:val="none" w:color="auto"/>
          <w:lang w:val="en-US" w:eastAsia="zh-CN"/>
        </w:rPr>
        <w:t>（</w:t>
      </w:r>
      <w:r>
        <w:rPr>
          <w:rFonts w:hint="eastAsia"/>
          <w:color w:val="auto"/>
          <w:u w:val="none" w:color="auto"/>
          <w:lang w:val="en-US" w:eastAsia="zh-CN"/>
        </w:rPr>
        <w:t>4</w:t>
      </w:r>
      <w:r>
        <w:rPr>
          <w:rFonts w:hint="default"/>
          <w:color w:val="auto"/>
          <w:u w:val="none" w:color="auto"/>
          <w:lang w:val="en-US" w:eastAsia="zh-CN"/>
        </w:rPr>
        <w:t>）厂房采取妥善的防雷措施，防止雷击造成事故的发生；</w:t>
      </w:r>
    </w:p>
    <w:p w14:paraId="5B3A20F1">
      <w:pPr>
        <w:pStyle w:val="20"/>
        <w:bidi w:val="0"/>
        <w:rPr>
          <w:rFonts w:hint="default"/>
          <w:color w:val="auto"/>
          <w:u w:val="none" w:color="auto"/>
          <w:lang w:val="en-US" w:eastAsia="zh-CN"/>
        </w:rPr>
      </w:pPr>
      <w:r>
        <w:rPr>
          <w:rFonts w:hint="default"/>
          <w:color w:val="auto"/>
          <w:u w:val="none" w:color="auto"/>
          <w:lang w:val="en-US" w:eastAsia="zh-CN"/>
        </w:rPr>
        <w:t>（</w:t>
      </w:r>
      <w:r>
        <w:rPr>
          <w:rFonts w:hint="eastAsia"/>
          <w:color w:val="auto"/>
          <w:u w:val="none" w:color="auto"/>
          <w:lang w:val="en-US" w:eastAsia="zh-CN"/>
        </w:rPr>
        <w:t>5</w:t>
      </w:r>
      <w:r>
        <w:rPr>
          <w:rFonts w:hint="default"/>
          <w:color w:val="auto"/>
          <w:u w:val="none" w:color="auto"/>
          <w:lang w:val="en-US" w:eastAsia="zh-CN"/>
        </w:rPr>
        <w:t>）车间内合理配置消防器材，主要车间消火栓箱内及罐区设立手动报警和起泵按钮，并将起泵信号线路引至消防控制室；设置感温感烟火灾报警器，报警信号与消防控制室链接。</w:t>
      </w:r>
    </w:p>
    <w:p w14:paraId="1603957B">
      <w:pPr>
        <w:pStyle w:val="20"/>
        <w:bidi w:val="0"/>
        <w:rPr>
          <w:rFonts w:hint="eastAsia"/>
          <w:color w:val="auto"/>
          <w:u w:val="none" w:color="auto"/>
          <w:lang w:val="en-US" w:eastAsia="zh-CN"/>
        </w:rPr>
      </w:pPr>
      <w:r>
        <w:rPr>
          <w:rFonts w:hint="eastAsia"/>
          <w:b/>
          <w:bCs/>
          <w:color w:val="auto"/>
          <w:u w:val="none" w:color="auto"/>
          <w:lang w:val="en-US" w:eastAsia="zh-CN"/>
        </w:rPr>
        <w:t>4、环保设施风险防范措施</w:t>
      </w:r>
    </w:p>
    <w:p w14:paraId="3897201A">
      <w:pPr>
        <w:pStyle w:val="20"/>
        <w:bidi w:val="0"/>
        <w:rPr>
          <w:rFonts w:hint="default"/>
          <w:color w:val="auto"/>
          <w:u w:val="none" w:color="auto"/>
          <w:lang w:val="en-US" w:eastAsia="zh-CN"/>
        </w:rPr>
      </w:pPr>
      <w:r>
        <w:rPr>
          <w:rFonts w:hint="default"/>
          <w:color w:val="auto"/>
          <w:u w:val="none" w:color="auto"/>
          <w:lang w:val="en-US" w:eastAsia="zh-CN"/>
        </w:rPr>
        <w:t>（1）企业环保设施主要是废气治理设施，应由专人负责相应环保设施正常运行。</w:t>
      </w:r>
    </w:p>
    <w:p w14:paraId="59674DC3">
      <w:pPr>
        <w:pStyle w:val="20"/>
        <w:bidi w:val="0"/>
        <w:rPr>
          <w:rFonts w:hint="default"/>
          <w:color w:val="auto"/>
          <w:u w:val="none" w:color="auto"/>
          <w:lang w:val="en-US" w:eastAsia="zh-CN"/>
        </w:rPr>
      </w:pPr>
      <w:r>
        <w:rPr>
          <w:rFonts w:hint="default"/>
          <w:color w:val="auto"/>
          <w:u w:val="none" w:color="auto"/>
          <w:lang w:val="en-US" w:eastAsia="zh-CN"/>
        </w:rPr>
        <w:t>（2）建立废气处理设施运行管理制度和操作责任制度，照章办事，严格管理，杜绝各种责任事故发生。</w:t>
      </w:r>
    </w:p>
    <w:p w14:paraId="40EB30CC">
      <w:pPr>
        <w:pStyle w:val="20"/>
        <w:bidi w:val="0"/>
        <w:rPr>
          <w:rFonts w:hint="default"/>
          <w:color w:val="auto"/>
          <w:u w:val="none" w:color="auto"/>
          <w:lang w:val="en-US" w:eastAsia="zh-CN"/>
        </w:rPr>
      </w:pPr>
      <w:r>
        <w:rPr>
          <w:rFonts w:hint="default"/>
          <w:color w:val="auto"/>
          <w:u w:val="none" w:color="auto"/>
          <w:lang w:val="en-US" w:eastAsia="zh-CN"/>
        </w:rPr>
        <w:t>（3）建立安全操作规程，在平时严格按规程办事，定期对环保设施管理人员的理论知识和操作技能进行培训和检查。</w:t>
      </w:r>
    </w:p>
    <w:p w14:paraId="263DF7E5">
      <w:pPr>
        <w:pStyle w:val="20"/>
        <w:bidi w:val="0"/>
        <w:rPr>
          <w:rFonts w:hint="default"/>
          <w:color w:val="auto"/>
          <w:u w:val="none" w:color="auto"/>
          <w:lang w:val="en-US" w:eastAsia="zh-CN"/>
        </w:rPr>
      </w:pPr>
      <w:r>
        <w:rPr>
          <w:rFonts w:hint="default"/>
          <w:color w:val="auto"/>
          <w:u w:val="none" w:color="auto"/>
          <w:lang w:val="en-US" w:eastAsia="zh-CN"/>
        </w:rPr>
        <w:t>（4）废气等环保措施必须确保日常运行，如发现人为原因不开启废气等环保治理设施，责任人应受行政和经济处罚，并承担事故排放责任。若环保治理措施因故不能运行，则生产必须停止。</w:t>
      </w:r>
    </w:p>
    <w:p w14:paraId="0504BAF8">
      <w:pPr>
        <w:pStyle w:val="20"/>
        <w:bidi w:val="0"/>
        <w:rPr>
          <w:rFonts w:hint="default"/>
          <w:color w:val="auto"/>
          <w:u w:val="none" w:color="auto"/>
          <w:lang w:val="en-US" w:eastAsia="zh-CN"/>
        </w:rPr>
      </w:pPr>
      <w:r>
        <w:rPr>
          <w:rFonts w:hint="default"/>
          <w:color w:val="auto"/>
          <w:u w:val="none" w:color="auto"/>
          <w:lang w:val="en-US" w:eastAsia="zh-CN"/>
        </w:rPr>
        <w:t>（5）为确保处理效率，在车间设备检修期间，环保处理系统也应同时进行检修，日常应有专人负责进行维护。</w:t>
      </w:r>
    </w:p>
    <w:p w14:paraId="1781F276">
      <w:pPr>
        <w:pStyle w:val="20"/>
        <w:bidi w:val="0"/>
        <w:rPr>
          <w:rFonts w:hint="default"/>
          <w:color w:val="auto"/>
          <w:u w:val="none" w:color="auto"/>
          <w:lang w:val="en-US" w:eastAsia="zh-CN"/>
        </w:rPr>
      </w:pPr>
      <w:r>
        <w:rPr>
          <w:rFonts w:hint="default"/>
          <w:color w:val="auto"/>
          <w:u w:val="none" w:color="auto"/>
          <w:lang w:val="en-US" w:eastAsia="zh-CN"/>
        </w:rPr>
        <w:t>（6）制定严格的废水排放制度，确保清污分流</w:t>
      </w:r>
      <w:r>
        <w:rPr>
          <w:rFonts w:hint="eastAsia"/>
          <w:color w:val="auto"/>
          <w:u w:val="none" w:color="auto"/>
          <w:lang w:val="en-US" w:eastAsia="zh-CN"/>
        </w:rPr>
        <w:t>，雨污分流</w:t>
      </w:r>
      <w:r>
        <w:rPr>
          <w:rFonts w:hint="default"/>
          <w:color w:val="auto"/>
          <w:u w:val="none" w:color="auto"/>
          <w:lang w:val="en-US" w:eastAsia="zh-CN"/>
        </w:rPr>
        <w:t>。</w:t>
      </w:r>
    </w:p>
    <w:p w14:paraId="47E06503">
      <w:pPr>
        <w:pStyle w:val="20"/>
        <w:bidi w:val="0"/>
        <w:rPr>
          <w:rFonts w:hint="eastAsia"/>
          <w:b/>
          <w:bCs/>
          <w:color w:val="auto"/>
          <w:u w:val="none" w:color="auto"/>
          <w:lang w:val="en-US" w:eastAsia="zh-CN"/>
        </w:rPr>
      </w:pPr>
      <w:r>
        <w:rPr>
          <w:rFonts w:hint="eastAsia"/>
          <w:b/>
          <w:bCs/>
          <w:color w:val="auto"/>
          <w:u w:val="none" w:color="auto"/>
          <w:lang w:val="en-US" w:eastAsia="zh-CN"/>
        </w:rPr>
        <w:t>5、火灾事故应急措施</w:t>
      </w:r>
    </w:p>
    <w:p w14:paraId="4D288FB4">
      <w:pPr>
        <w:pStyle w:val="20"/>
        <w:bidi w:val="0"/>
        <w:rPr>
          <w:rFonts w:hint="default"/>
          <w:b w:val="0"/>
          <w:bCs w:val="0"/>
          <w:color w:val="auto"/>
          <w:u w:val="none" w:color="auto"/>
          <w:lang w:val="en-US" w:eastAsia="zh-CN"/>
        </w:rPr>
      </w:pPr>
      <w:r>
        <w:rPr>
          <w:rFonts w:hint="default"/>
          <w:b w:val="0"/>
          <w:bCs w:val="0"/>
          <w:color w:val="auto"/>
          <w:u w:val="none" w:color="auto"/>
          <w:lang w:val="en-US" w:eastAsia="zh-CN"/>
        </w:rPr>
        <w:t>（1）根据《建筑设计防火规范》设置固定式消防系统和小型移动性的灭火系统，各仓库及生产车间内部及周围均设置移动性的消防设施，当火灾发现及时处于萌芽状态时，可以采用移动式灭火剂进行灭火。为及早发现火灾并在火灾初期阶段及时扑灭，建议企业设置温度监测及自动喷洒系统。</w:t>
      </w:r>
    </w:p>
    <w:p w14:paraId="0F836CCB">
      <w:pPr>
        <w:pStyle w:val="20"/>
        <w:bidi w:val="0"/>
        <w:rPr>
          <w:rFonts w:hint="default"/>
          <w:b w:val="0"/>
          <w:bCs w:val="0"/>
          <w:color w:val="auto"/>
          <w:u w:val="none" w:color="auto"/>
          <w:lang w:val="en-US" w:eastAsia="zh-CN"/>
        </w:rPr>
      </w:pPr>
      <w:r>
        <w:rPr>
          <w:rFonts w:hint="default"/>
          <w:b w:val="0"/>
          <w:bCs w:val="0"/>
          <w:color w:val="auto"/>
          <w:u w:val="none" w:color="auto"/>
          <w:lang w:val="en-US" w:eastAsia="zh-CN"/>
        </w:rPr>
        <w:t>（2）发生火灾时，火灾灾情轻，完全可以控制的，当事人应马上进行扑救。一旦火灾有蔓延的苗头，不能控制时，要及时切断电源，按动工艺装置区内的手动报警按钮，将信号送达控制室，再由工作人员拨打火警电话（119）通知消防人员灭火。</w:t>
      </w:r>
    </w:p>
    <w:p w14:paraId="112A64DC">
      <w:pPr>
        <w:pStyle w:val="20"/>
        <w:bidi w:val="0"/>
        <w:rPr>
          <w:rFonts w:hint="default"/>
          <w:b w:val="0"/>
          <w:bCs w:val="0"/>
          <w:color w:val="auto"/>
          <w:u w:val="none" w:color="auto"/>
          <w:lang w:val="en-US" w:eastAsia="zh-CN"/>
        </w:rPr>
      </w:pPr>
      <w:r>
        <w:rPr>
          <w:rFonts w:hint="default"/>
          <w:b w:val="0"/>
          <w:bCs w:val="0"/>
          <w:color w:val="auto"/>
          <w:u w:val="none" w:color="auto"/>
          <w:lang w:val="en-US" w:eastAsia="zh-CN"/>
        </w:rPr>
        <w:t>（3）若正常上班时间发生火灾事故，应及时报告当班主管或公司中层以上领导，并通知当班的义务消防员到达火灾现场；在节假日值班期间，则直接报告企业值班人员，并积极参加火灾扑救工作。</w:t>
      </w:r>
    </w:p>
    <w:p w14:paraId="683C51EF">
      <w:pPr>
        <w:pStyle w:val="20"/>
        <w:bidi w:val="0"/>
        <w:rPr>
          <w:rFonts w:hint="default"/>
          <w:b w:val="0"/>
          <w:bCs w:val="0"/>
          <w:color w:val="auto"/>
          <w:u w:val="none" w:color="auto"/>
          <w:lang w:val="en-US" w:eastAsia="zh-CN"/>
        </w:rPr>
      </w:pPr>
      <w:r>
        <w:rPr>
          <w:rFonts w:hint="default"/>
          <w:b w:val="0"/>
          <w:bCs w:val="0"/>
          <w:color w:val="auto"/>
          <w:u w:val="none" w:color="auto"/>
          <w:lang w:val="en-US" w:eastAsia="zh-CN"/>
        </w:rPr>
        <w:t>（4）火灾出现后，接报的领导或行政值班人员要立即赶到现场指挥救灾工作，核查火灾报警是否真正落实，并组织好保安力量做好火灾现场的保护及治安秩序的维持等工作。在公安消防队到之前，组织当班的义务消防员队伍第一时间到达火灾现场，进行力所能及的扑救工作；在公安消防队到达现场后，协助公安消防队展开全面扑救以及火灾原因的调查工作。</w:t>
      </w:r>
    </w:p>
    <w:p w14:paraId="56E5EAE6">
      <w:pPr>
        <w:pStyle w:val="20"/>
        <w:bidi w:val="0"/>
        <w:rPr>
          <w:rFonts w:hint="default"/>
          <w:b w:val="0"/>
          <w:bCs w:val="0"/>
          <w:color w:val="auto"/>
          <w:u w:val="none" w:color="auto"/>
          <w:lang w:val="en-US" w:eastAsia="zh-CN"/>
        </w:rPr>
      </w:pPr>
      <w:r>
        <w:rPr>
          <w:rFonts w:hint="default"/>
          <w:b w:val="0"/>
          <w:bCs w:val="0"/>
          <w:color w:val="auto"/>
          <w:u w:val="none" w:color="auto"/>
          <w:lang w:val="en-US" w:eastAsia="zh-CN"/>
        </w:rPr>
        <w:t>（5）火灾出现后，事故现场人员的疏散：人员自行撤离到上风口处，由警戒疏散组负责清点本厂工作人员和现场救助人员人数，并应组织相关人员有秩序地疏散，疏散顺序从最危险地段人员先开始，相互兼顾照应，并根据事故的影响估计指明集合地点。人员在安全地点集合后，值班人员清点人数后，向指挥部报告人员情况。发现缺员，应报告所缺员工的姓名和事故前所处位置等。</w:t>
      </w:r>
    </w:p>
    <w:p w14:paraId="71A87592">
      <w:pPr>
        <w:pStyle w:val="20"/>
        <w:bidi w:val="0"/>
        <w:rPr>
          <w:rFonts w:hint="default"/>
          <w:b w:val="0"/>
          <w:bCs w:val="0"/>
          <w:color w:val="auto"/>
          <w:u w:val="none" w:color="auto"/>
          <w:lang w:val="en-US" w:eastAsia="zh-CN"/>
        </w:rPr>
      </w:pPr>
      <w:r>
        <w:rPr>
          <w:rFonts w:hint="default"/>
          <w:b w:val="0"/>
          <w:bCs w:val="0"/>
          <w:color w:val="auto"/>
          <w:u w:val="none" w:color="auto"/>
          <w:lang w:val="en-US" w:eastAsia="zh-CN"/>
        </w:rPr>
        <w:t>（6）火灾出现后，非事故现场人员紧急疏散：事故报警后，本厂应急指挥部发出撤离命令，接命令后，警戒疏散组成员组织疏散，人员接通知后，自行撤离到安全区域。疏散顺序从最危险地段人员先开始，相互兼顾照应，并根据事故的影响估计指明集合地点。人员在安全地点集合后，负责人清点人数后，向当班主管报告人员情况。发现缺员，应报告所缺人员的姓名和事故前所处位置等。</w:t>
      </w:r>
    </w:p>
    <w:p w14:paraId="19980D4B">
      <w:pPr>
        <w:pStyle w:val="20"/>
        <w:bidi w:val="0"/>
        <w:rPr>
          <w:rFonts w:hint="default"/>
          <w:b w:val="0"/>
          <w:bCs w:val="0"/>
          <w:color w:val="auto"/>
          <w:u w:val="none" w:color="auto"/>
          <w:lang w:val="en-US" w:eastAsia="zh-CN"/>
        </w:rPr>
      </w:pPr>
      <w:r>
        <w:rPr>
          <w:rFonts w:hint="default"/>
          <w:b w:val="0"/>
          <w:bCs w:val="0"/>
          <w:color w:val="auto"/>
          <w:u w:val="none" w:color="auto"/>
          <w:lang w:val="en-US" w:eastAsia="zh-CN"/>
        </w:rPr>
        <w:t>（7）火灾出现后，周边单位、居民紧急疏散：当火灾事故危及项目周边单位，由应急总指挥部下命令，通讯联络组向政府以及周边单位、居住区发送事故报警信息。事态严重紧急时，通讯联络组直接联系政府发布消息，提出要求组织撤离疏散或者请救援助。在发布消息时，必须发布事态的缓急程度，提出撤离的具体方法和方式。撤离方式有步行和车辆运输两种。撤离方法中应明确应采取的预防措施、注意事项、撤离方向和撤离距离。</w:t>
      </w:r>
    </w:p>
    <w:p w14:paraId="57A618FE">
      <w:pPr>
        <w:pStyle w:val="20"/>
        <w:bidi w:val="0"/>
        <w:rPr>
          <w:rFonts w:hint="default"/>
          <w:b w:val="0"/>
          <w:bCs w:val="0"/>
          <w:color w:val="auto"/>
          <w:u w:val="none" w:color="auto"/>
          <w:lang w:val="en-US" w:eastAsia="zh-CN"/>
        </w:rPr>
      </w:pPr>
      <w:r>
        <w:rPr>
          <w:rFonts w:hint="default"/>
          <w:b w:val="0"/>
          <w:bCs w:val="0"/>
          <w:color w:val="auto"/>
          <w:u w:val="none" w:color="auto"/>
          <w:lang w:val="en-US" w:eastAsia="zh-CN"/>
        </w:rPr>
        <w:t>（8）火灾扑灭后，由专家根据调查取证情况，依据相关制度，拟定追究事故责任部门和责任人员责任的意见，报领导小组审批，对于触犯刑律的，移交司法机关追究刑事责任。</w:t>
      </w:r>
    </w:p>
    <w:p w14:paraId="4C102B21">
      <w:pPr>
        <w:pStyle w:val="4"/>
        <w:rPr>
          <w:rFonts w:hint="default" w:ascii="Times New Roman" w:hAnsi="Times New Roman" w:cs="Times New Roman"/>
          <w:color w:val="auto"/>
          <w:u w:val="none" w:color="auto"/>
          <w:lang w:val="en-US" w:eastAsia="zh-CN"/>
        </w:rPr>
      </w:pPr>
      <w:bookmarkStart w:id="1254" w:name="_Toc6949"/>
      <w:bookmarkStart w:id="1255" w:name="_Toc30138"/>
      <w:bookmarkStart w:id="1256" w:name="_Toc6942"/>
      <w:bookmarkStart w:id="1257" w:name="_Toc28864"/>
      <w:bookmarkStart w:id="1258" w:name="_Toc30061"/>
      <w:bookmarkStart w:id="1259" w:name="_Toc20930"/>
      <w:bookmarkStart w:id="1260" w:name="_Toc10144"/>
      <w:bookmarkStart w:id="1261" w:name="_Toc674"/>
      <w:bookmarkStart w:id="1262" w:name="_Toc11999"/>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应急预案</w:t>
      </w:r>
      <w:bookmarkEnd w:id="1254"/>
      <w:bookmarkEnd w:id="1255"/>
      <w:bookmarkEnd w:id="1256"/>
      <w:bookmarkEnd w:id="1257"/>
      <w:bookmarkEnd w:id="1258"/>
      <w:bookmarkEnd w:id="1259"/>
      <w:bookmarkEnd w:id="1260"/>
      <w:bookmarkEnd w:id="1261"/>
      <w:bookmarkEnd w:id="1262"/>
    </w:p>
    <w:p w14:paraId="626BF24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1、事故应急救援措施</w:t>
      </w:r>
    </w:p>
    <w:p w14:paraId="13A48268">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应急预案应当着眼于最大限度降低因火灾或其他意外的突发或非突发事件导致的危险废物泄漏到土壤或水体中而产生的对人体健康和环境的危害。对于项目主要风险（主要是火灾事故）应采取以下应急措施：</w:t>
      </w:r>
    </w:p>
    <w:p w14:paraId="2A2C39B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旦发生火情，全体工作人员立即进入灭火状态，应急处理人员戴自给式的呼吸器，穿消防防护服。同时，及时通知消防部门，派专人上路迎接消防车辆到来。防火责任人立即敢赴现场、坚决采取果断措施，防止火患扩大。当消防车赶到现场时，要积极做好配合、提供现场情况资料，以最快速度扑灭大火。迅速转移员工到安全地带，设立警戒线，非消防人员不得进入；在安全的情况下，转移火源附近的易燃易爆物品；关闭雨水排入口，防止消防废水排入城市排水系统。</w:t>
      </w:r>
    </w:p>
    <w:p w14:paraId="57FF034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2、应急响应方案</w:t>
      </w:r>
    </w:p>
    <w:p w14:paraId="2C5FDD9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对于项目主要风险（火灾爆炸事故），制定应急响应方案，建立应急反应体系，当事件一旦发生时可迅速加以控制，使危害和损失降低到尽可能低的程度。作为事故风险防范和应急对策的重要组成部分，应急组织机构应制定应急计划，其基本内容应包括应急组织、应急设施（设备器材）、应急通讯联络、应急监测、应急安全保卫、应急撤离措施、应急救援、应急状态终止、事故后果评价、应急报告等。</w:t>
      </w:r>
    </w:p>
    <w:p w14:paraId="5344596F">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建设单位应根据本项目实际情况，结合《湖南省突发环境事件应急预案管理办法（修订版）》（湘环发〔2024〕49号）</w:t>
      </w:r>
      <w:r>
        <w:rPr>
          <w:rFonts w:hint="eastAsia" w:ascii="Times New Roman" w:hAnsi="Times New Roman" w:cs="Times New Roman"/>
          <w:color w:val="auto"/>
          <w:u w:val="none" w:color="auto"/>
          <w:lang w:val="en-US" w:eastAsia="zh-CN"/>
        </w:rPr>
        <w:t>的相关要求确定是否编制项目突发环境事件</w:t>
      </w:r>
      <w:r>
        <w:rPr>
          <w:rFonts w:hint="default" w:ascii="Times New Roman" w:hAnsi="Times New Roman" w:cs="Times New Roman"/>
          <w:color w:val="auto"/>
          <w:u w:val="none" w:color="auto"/>
        </w:rPr>
        <w:t>应急预案，以使相关事故发生时，能够及时采取切实可行的措施进行有效处理，防止事故的扩大，将事故损失降低到最小程度。事故发生时应尽快与当地消防部门取得联系，尽可能多地借助于政府力量，将灾害影响降低至最小；项目应定期组织消防训练，使之可正确使用消防器材，在发生事故时，能够在专业消防队到来之前采取一些必要的缓解措施；发生事故时，保卫部门应立即组织人员维持好事故现场周围的秩序，各部门要负责本部门周围的秩序，严禁无关人员进入事故现场，保证消防人员扑救工作顺利进行。</w:t>
      </w:r>
    </w:p>
    <w:bookmarkEnd w:id="1249"/>
    <w:bookmarkEnd w:id="1250"/>
    <w:bookmarkEnd w:id="1251"/>
    <w:bookmarkEnd w:id="1252"/>
    <w:bookmarkEnd w:id="1253"/>
    <w:p w14:paraId="3B13A4DD">
      <w:pPr>
        <w:pStyle w:val="4"/>
        <w:rPr>
          <w:rFonts w:hint="default" w:ascii="Times New Roman" w:hAnsi="Times New Roman" w:cs="Times New Roman"/>
          <w:color w:val="auto"/>
          <w:u w:val="none" w:color="auto"/>
          <w:lang w:val="en-US" w:eastAsia="zh-CN"/>
        </w:rPr>
      </w:pPr>
      <w:bookmarkStart w:id="1263" w:name="_Toc16268_WPSOffice_Level2"/>
      <w:bookmarkStart w:id="1264" w:name="_Toc4094"/>
      <w:bookmarkStart w:id="1265" w:name="_Toc4095_WPSOffice_Level2"/>
      <w:bookmarkStart w:id="1266" w:name="_Toc10620"/>
      <w:bookmarkStart w:id="1267" w:name="_Toc28459_WPSOffice_Level2"/>
      <w:bookmarkStart w:id="1268" w:name="_Toc29276"/>
      <w:bookmarkStart w:id="1269" w:name="_Toc6074"/>
      <w:bookmarkStart w:id="1270" w:name="_Toc11781_WPSOffice_Level2"/>
      <w:bookmarkStart w:id="1271" w:name="_Toc7500"/>
      <w:bookmarkStart w:id="1272" w:name="_Toc927"/>
      <w:bookmarkStart w:id="1273" w:name="_Toc15598"/>
      <w:bookmarkStart w:id="1274" w:name="_Toc26591"/>
      <w:bookmarkStart w:id="1275" w:name="_Toc10231"/>
      <w:bookmarkStart w:id="1276" w:name="_Toc24068"/>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lang w:val="en-US" w:eastAsia="zh-CN"/>
        </w:rPr>
        <w:t>.3.</w:t>
      </w:r>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环境风险评价结论</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14:paraId="603AAE19">
      <w:pPr>
        <w:pStyle w:val="20"/>
        <w:ind w:left="0" w:leftChars="0" w:firstLine="480" w:firstLineChars="200"/>
        <w:outlineLvl w:val="9"/>
        <w:rPr>
          <w:rFonts w:hint="default" w:ascii="Times New Roman" w:hAnsi="Times New Roman" w:cs="Times New Roman"/>
          <w:color w:val="auto"/>
          <w:u w:val="none" w:color="auto"/>
          <w:lang w:bidi="ar"/>
        </w:rPr>
      </w:pPr>
      <w:r>
        <w:rPr>
          <w:rFonts w:hint="default" w:ascii="Times New Roman" w:hAnsi="Times New Roman" w:cs="Times New Roman"/>
          <w:color w:val="auto"/>
          <w:u w:val="none" w:color="auto"/>
          <w:lang w:bidi="ar"/>
        </w:rPr>
        <w:t>通过对本项目风险识别，认为项目涉及的塑料颗粒、</w:t>
      </w:r>
      <w:r>
        <w:rPr>
          <w:rFonts w:hint="eastAsia" w:cs="Times New Roman"/>
          <w:color w:val="auto"/>
          <w:u w:val="none" w:color="auto"/>
          <w:lang w:val="en-US" w:eastAsia="zh-CN" w:bidi="ar"/>
        </w:rPr>
        <w:t>粉尘</w:t>
      </w:r>
      <w:r>
        <w:rPr>
          <w:rFonts w:hint="default" w:ascii="Times New Roman" w:hAnsi="Times New Roman" w:cs="Times New Roman"/>
          <w:color w:val="auto"/>
          <w:u w:val="none" w:color="auto"/>
          <w:lang w:bidi="ar"/>
        </w:rPr>
        <w:t>以及产品等化学物质在使用和贮运过程中均存在的风险影响，经对项目贮运系统和生产系统进行分析，根据类比调查，火灾事故属低概率的风险事故，综合计算得出本项目环境风险</w:t>
      </w:r>
      <w:r>
        <w:rPr>
          <w:rFonts w:hint="eastAsia" w:ascii="Times New Roman" w:hAnsi="Times New Roman" w:cs="Times New Roman"/>
          <w:color w:val="auto"/>
          <w:u w:val="none" w:color="auto"/>
          <w:lang w:val="en-US" w:eastAsia="zh-CN" w:bidi="ar"/>
        </w:rPr>
        <w:t>可控</w:t>
      </w:r>
      <w:r>
        <w:rPr>
          <w:rFonts w:hint="default" w:ascii="Times New Roman" w:hAnsi="Times New Roman" w:cs="Times New Roman"/>
          <w:color w:val="auto"/>
          <w:u w:val="none" w:color="auto"/>
          <w:lang w:bidi="ar"/>
        </w:rPr>
        <w:t>。因此，</w:t>
      </w:r>
      <w:r>
        <w:rPr>
          <w:rFonts w:hint="default" w:ascii="Times New Roman" w:hAnsi="Times New Roman" w:eastAsia="宋体" w:cs="Times New Roman"/>
          <w:color w:val="auto"/>
          <w:sz w:val="24"/>
          <w:szCs w:val="24"/>
          <w:highlight w:val="none"/>
          <w:u w:val="none" w:color="auto"/>
        </w:rPr>
        <w:t>在严格落实各项</w:t>
      </w:r>
      <w:r>
        <w:rPr>
          <w:rFonts w:hint="default" w:ascii="Times New Roman" w:hAnsi="Times New Roman" w:eastAsia="宋体" w:cs="Times New Roman"/>
          <w:color w:val="auto"/>
          <w:sz w:val="24"/>
          <w:szCs w:val="24"/>
          <w:highlight w:val="none"/>
          <w:u w:val="none" w:color="auto"/>
          <w:lang w:val="en-US" w:eastAsia="zh-CN"/>
        </w:rPr>
        <w:t>环境风险</w:t>
      </w:r>
      <w:r>
        <w:rPr>
          <w:rFonts w:hint="default" w:ascii="Times New Roman" w:hAnsi="Times New Roman" w:eastAsia="宋体" w:cs="Times New Roman"/>
          <w:color w:val="auto"/>
          <w:sz w:val="24"/>
          <w:szCs w:val="24"/>
          <w:highlight w:val="none"/>
          <w:u w:val="none" w:color="auto"/>
        </w:rPr>
        <w:t>事故防范和应急措施，加强管理</w:t>
      </w:r>
      <w:r>
        <w:rPr>
          <w:rFonts w:hint="default" w:ascii="Times New Roman" w:hAnsi="Times New Roman" w:eastAsia="宋体" w:cs="Times New Roman"/>
          <w:color w:val="auto"/>
          <w:sz w:val="24"/>
          <w:szCs w:val="24"/>
          <w:highlight w:val="none"/>
          <w:u w:val="none" w:color="auto"/>
          <w:lang w:val="en-US" w:eastAsia="zh-CN"/>
        </w:rPr>
        <w:t>的情况下</w:t>
      </w:r>
      <w:r>
        <w:rPr>
          <w:rFonts w:hint="default" w:ascii="Times New Roman" w:hAnsi="Times New Roman" w:eastAsia="宋体" w:cs="Times New Roman"/>
          <w:color w:val="auto"/>
          <w:sz w:val="24"/>
          <w:szCs w:val="24"/>
          <w:highlight w:val="none"/>
          <w:u w:val="none" w:color="auto"/>
        </w:rPr>
        <w:t>，可最大限度地减少可能发生的环境风险。一旦发生事故，可将影响范围控制在较小程度之内，减轻对环境的影响。本项目建设营运的</w:t>
      </w:r>
      <w:r>
        <w:rPr>
          <w:rFonts w:hint="default" w:ascii="Times New Roman" w:hAnsi="Times New Roman" w:eastAsia="宋体" w:cs="Times New Roman"/>
          <w:color w:val="auto"/>
          <w:sz w:val="24"/>
          <w:szCs w:val="24"/>
          <w:highlight w:val="none"/>
          <w:u w:val="none" w:color="auto"/>
          <w:lang w:eastAsia="zh-CN"/>
        </w:rPr>
        <w:t>环境</w:t>
      </w:r>
      <w:r>
        <w:rPr>
          <w:rFonts w:hint="default" w:ascii="Times New Roman" w:hAnsi="Times New Roman" w:eastAsia="宋体" w:cs="Times New Roman"/>
          <w:color w:val="auto"/>
          <w:sz w:val="24"/>
          <w:szCs w:val="24"/>
          <w:highlight w:val="none"/>
          <w:u w:val="none" w:color="auto"/>
        </w:rPr>
        <w:t>风险</w:t>
      </w:r>
      <w:r>
        <w:rPr>
          <w:rFonts w:hint="default" w:ascii="Times New Roman" w:hAnsi="Times New Roman" w:eastAsia="宋体" w:cs="Times New Roman"/>
          <w:color w:val="auto"/>
          <w:sz w:val="24"/>
          <w:szCs w:val="24"/>
          <w:highlight w:val="none"/>
          <w:u w:val="none" w:color="auto"/>
          <w:lang w:eastAsia="zh-CN"/>
        </w:rPr>
        <w:t>总体可控</w:t>
      </w:r>
      <w:r>
        <w:rPr>
          <w:rFonts w:hint="default" w:ascii="Times New Roman" w:hAnsi="Times New Roman" w:cs="Times New Roman"/>
          <w:color w:val="auto"/>
          <w:u w:val="none" w:color="auto"/>
          <w:lang w:bidi="ar"/>
        </w:rPr>
        <w:t>。</w:t>
      </w:r>
    </w:p>
    <w:p w14:paraId="340AF71A">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6</w:t>
      </w:r>
      <w:r>
        <w:rPr>
          <w:rFonts w:hint="default"/>
          <w:color w:val="auto"/>
          <w:u w:val="none" w:color="auto"/>
          <w:lang w:val="en-US" w:eastAsia="zh-CN"/>
        </w:rPr>
        <w:t>.3</w:t>
      </w:r>
      <w:r>
        <w:rPr>
          <w:rFonts w:hint="default"/>
          <w:color w:val="auto"/>
          <w:u w:val="none" w:color="auto"/>
        </w:rPr>
        <w:t>-</w:t>
      </w:r>
      <w:r>
        <w:rPr>
          <w:rFonts w:hint="eastAsia"/>
          <w:color w:val="auto"/>
          <w:u w:val="none" w:color="auto"/>
          <w:lang w:val="en-US" w:eastAsia="zh-CN"/>
        </w:rPr>
        <w:t>9</w:t>
      </w:r>
      <w:r>
        <w:rPr>
          <w:rFonts w:hint="default"/>
          <w:color w:val="auto"/>
          <w:u w:val="none" w:color="auto"/>
        </w:rPr>
        <w:t xml:space="preserve">  项目环境风险简单分析内容表</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1320"/>
        <w:gridCol w:w="1915"/>
        <w:gridCol w:w="1170"/>
        <w:gridCol w:w="1392"/>
        <w:gridCol w:w="991"/>
      </w:tblGrid>
      <w:tr w14:paraId="5B376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14:paraId="01921482">
            <w:pPr>
              <w:pStyle w:val="24"/>
              <w:bidi w:val="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公司</w:t>
            </w:r>
            <w:r>
              <w:rPr>
                <w:rFonts w:hint="default" w:ascii="Times New Roman" w:hAnsi="Times New Roman" w:cs="Times New Roman"/>
                <w:color w:val="auto"/>
                <w:u w:val="none" w:color="auto"/>
              </w:rPr>
              <w:t>名称</w:t>
            </w:r>
          </w:p>
        </w:tc>
        <w:tc>
          <w:tcPr>
            <w:tcW w:w="6788" w:type="dxa"/>
            <w:gridSpan w:val="5"/>
            <w:noWrap w:val="0"/>
            <w:vAlign w:val="center"/>
          </w:tcPr>
          <w:p w14:paraId="38C91505">
            <w:pPr>
              <w:pStyle w:val="24"/>
              <w:bidi w:val="0"/>
              <w:rPr>
                <w:rFonts w:hint="default" w:ascii="Times New Roman" w:hAnsi="Times New Roman" w:cs="Times New Roman"/>
                <w:color w:val="auto"/>
                <w:u w:val="none" w:color="auto"/>
                <w:lang w:val="en-US" w:eastAsia="zh-CN"/>
              </w:rPr>
            </w:pPr>
            <w:r>
              <w:rPr>
                <w:rFonts w:hint="eastAsia"/>
                <w:color w:val="auto"/>
                <w:lang w:eastAsia="zh-CN"/>
              </w:rPr>
              <w:t>湖南铭腾新材料有限公司</w:t>
            </w:r>
          </w:p>
        </w:tc>
      </w:tr>
      <w:tr w14:paraId="6E58D1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14:paraId="64E4F7F0">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建设地点</w:t>
            </w:r>
          </w:p>
        </w:tc>
        <w:tc>
          <w:tcPr>
            <w:tcW w:w="1320" w:type="dxa"/>
            <w:noWrap w:val="0"/>
            <w:vAlign w:val="center"/>
          </w:tcPr>
          <w:p w14:paraId="286EAE90">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湖南</w:t>
            </w:r>
            <w:r>
              <w:rPr>
                <w:rFonts w:hint="default" w:ascii="Times New Roman" w:hAnsi="Times New Roman" w:cs="Times New Roman"/>
                <w:color w:val="auto"/>
                <w:u w:val="none" w:color="auto"/>
              </w:rPr>
              <w:t>）省</w:t>
            </w:r>
          </w:p>
        </w:tc>
        <w:tc>
          <w:tcPr>
            <w:tcW w:w="1915" w:type="dxa"/>
            <w:noWrap w:val="0"/>
            <w:vAlign w:val="center"/>
          </w:tcPr>
          <w:p w14:paraId="259A92F4">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岳阳</w:t>
            </w:r>
            <w:r>
              <w:rPr>
                <w:rFonts w:hint="default" w:ascii="Times New Roman" w:hAnsi="Times New Roman" w:cs="Times New Roman"/>
                <w:color w:val="auto"/>
                <w:u w:val="none" w:color="auto"/>
              </w:rPr>
              <w:t>）市</w:t>
            </w:r>
          </w:p>
        </w:tc>
        <w:tc>
          <w:tcPr>
            <w:tcW w:w="1170" w:type="dxa"/>
            <w:noWrap w:val="0"/>
            <w:vAlign w:val="center"/>
          </w:tcPr>
          <w:p w14:paraId="204DFED4">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）区</w:t>
            </w:r>
          </w:p>
        </w:tc>
        <w:tc>
          <w:tcPr>
            <w:tcW w:w="1392" w:type="dxa"/>
            <w:noWrap w:val="0"/>
            <w:vAlign w:val="center"/>
          </w:tcPr>
          <w:p w14:paraId="3EF345FD">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eastAsia="zh-CN"/>
              </w:rPr>
              <w:t>汨罗市</w:t>
            </w:r>
            <w:r>
              <w:rPr>
                <w:rFonts w:hint="default" w:ascii="Times New Roman" w:hAnsi="Times New Roman" w:cs="Times New Roman"/>
                <w:color w:val="auto"/>
                <w:u w:val="none" w:color="auto"/>
              </w:rPr>
              <w:t>）县</w:t>
            </w:r>
          </w:p>
        </w:tc>
        <w:tc>
          <w:tcPr>
            <w:tcW w:w="991" w:type="dxa"/>
            <w:noWrap w:val="0"/>
            <w:vAlign w:val="center"/>
          </w:tcPr>
          <w:p w14:paraId="10739DF2">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（/）区</w:t>
            </w:r>
          </w:p>
        </w:tc>
      </w:tr>
      <w:tr w14:paraId="0C6CE4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14:paraId="7B558629">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地理坐标</w:t>
            </w:r>
          </w:p>
        </w:tc>
        <w:tc>
          <w:tcPr>
            <w:tcW w:w="1320" w:type="dxa"/>
            <w:noWrap w:val="0"/>
            <w:vAlign w:val="center"/>
          </w:tcPr>
          <w:p w14:paraId="01C6B2C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经度</w:t>
            </w:r>
          </w:p>
        </w:tc>
        <w:tc>
          <w:tcPr>
            <w:tcW w:w="1915" w:type="dxa"/>
            <w:noWrap w:val="0"/>
            <w:vAlign w:val="center"/>
          </w:tcPr>
          <w:p w14:paraId="6D1D1E05">
            <w:pPr>
              <w:pStyle w:val="24"/>
              <w:bidi w:val="0"/>
              <w:rPr>
                <w:rFonts w:hint="default" w:ascii="Times New Roman" w:hAnsi="Times New Roman" w:cs="Times New Roman"/>
                <w:color w:val="auto"/>
                <w:u w:val="none" w:color="auto"/>
              </w:rPr>
            </w:pPr>
            <w:r>
              <w:rPr>
                <w:rFonts w:hint="eastAsia"/>
                <w:color w:val="auto"/>
                <w:sz w:val="21"/>
                <w:szCs w:val="21"/>
                <w:u w:val="none" w:color="auto"/>
              </w:rPr>
              <w:t>113.142796</w:t>
            </w:r>
          </w:p>
        </w:tc>
        <w:tc>
          <w:tcPr>
            <w:tcW w:w="1170" w:type="dxa"/>
            <w:noWrap w:val="0"/>
            <w:vAlign w:val="center"/>
          </w:tcPr>
          <w:p w14:paraId="3AD3A5B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纬度</w:t>
            </w:r>
          </w:p>
        </w:tc>
        <w:tc>
          <w:tcPr>
            <w:tcW w:w="2383" w:type="dxa"/>
            <w:gridSpan w:val="2"/>
            <w:noWrap w:val="0"/>
            <w:vAlign w:val="center"/>
          </w:tcPr>
          <w:p w14:paraId="5CDFFB77">
            <w:pPr>
              <w:pStyle w:val="24"/>
              <w:bidi w:val="0"/>
              <w:rPr>
                <w:rFonts w:hint="default" w:ascii="Times New Roman" w:hAnsi="Times New Roman" w:cs="Times New Roman"/>
                <w:color w:val="auto"/>
                <w:u w:val="none" w:color="auto"/>
              </w:rPr>
            </w:pPr>
            <w:r>
              <w:rPr>
                <w:rFonts w:hint="eastAsia"/>
                <w:color w:val="auto"/>
                <w:sz w:val="21"/>
                <w:szCs w:val="21"/>
                <w:u w:val="none" w:color="auto"/>
              </w:rPr>
              <w:t>28.766586</w:t>
            </w:r>
          </w:p>
        </w:tc>
      </w:tr>
      <w:tr w14:paraId="008B3D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14:paraId="5F265EA0">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主要危险物质分布</w:t>
            </w:r>
          </w:p>
        </w:tc>
        <w:tc>
          <w:tcPr>
            <w:tcW w:w="6788" w:type="dxa"/>
            <w:gridSpan w:val="5"/>
            <w:noWrap w:val="0"/>
            <w:vAlign w:val="center"/>
          </w:tcPr>
          <w:p w14:paraId="684411D8">
            <w:pPr>
              <w:pStyle w:val="31"/>
              <w:bidi w:val="0"/>
              <w:rPr>
                <w:rFonts w:hint="eastAsia"/>
                <w:color w:val="auto"/>
                <w:u w:val="none" w:color="auto"/>
                <w:lang w:val="en-US" w:eastAsia="zh-CN"/>
              </w:rPr>
            </w:pPr>
            <w:r>
              <w:rPr>
                <w:rFonts w:hint="eastAsia"/>
                <w:color w:val="auto"/>
                <w:u w:val="none" w:color="auto"/>
                <w:lang w:val="en-US" w:eastAsia="zh-CN"/>
              </w:rPr>
              <w:t>废活性炭、废矿物油、溶剂型胶粘剂包装桶：危废暂存间；</w:t>
            </w:r>
          </w:p>
          <w:p w14:paraId="0DE947C3">
            <w:pPr>
              <w:pStyle w:val="31"/>
              <w:bidi w:val="0"/>
              <w:rPr>
                <w:rFonts w:hint="default" w:eastAsia="宋体"/>
                <w:color w:val="auto"/>
                <w:u w:val="none" w:color="auto"/>
                <w:lang w:val="en-US" w:eastAsia="zh-CN"/>
              </w:rPr>
            </w:pPr>
            <w:r>
              <w:rPr>
                <w:rFonts w:hint="eastAsia"/>
                <w:color w:val="auto"/>
                <w:u w:val="none" w:color="auto"/>
                <w:lang w:val="en-US" w:eastAsia="zh-CN"/>
              </w:rPr>
              <w:t>矿物油、胶粘剂：仓库</w:t>
            </w:r>
          </w:p>
        </w:tc>
      </w:tr>
      <w:tr w14:paraId="26182B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14:paraId="1A596A45">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环境影响途径及危害后果（大气、地表水、地下水等）</w:t>
            </w:r>
          </w:p>
        </w:tc>
        <w:tc>
          <w:tcPr>
            <w:tcW w:w="6788" w:type="dxa"/>
            <w:gridSpan w:val="5"/>
            <w:noWrap w:val="0"/>
            <w:vAlign w:val="center"/>
          </w:tcPr>
          <w:p w14:paraId="0C285D54">
            <w:pPr>
              <w:pStyle w:val="24"/>
              <w:numPr>
                <w:ilvl w:val="0"/>
                <w:numId w:val="8"/>
              </w:numPr>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火灾事故</w:t>
            </w:r>
            <w:r>
              <w:rPr>
                <w:rFonts w:hint="default" w:ascii="Times New Roman" w:hAnsi="Times New Roman" w:cs="Times New Roman"/>
                <w:color w:val="auto"/>
                <w:u w:val="none" w:color="auto"/>
              </w:rPr>
              <w:t>会污染周边大气环境。</w:t>
            </w:r>
          </w:p>
          <w:p w14:paraId="3BC40557">
            <w:pPr>
              <w:pStyle w:val="24"/>
              <w:bidi w:val="0"/>
              <w:rPr>
                <w:rFonts w:hint="default" w:ascii="Times New Roman" w:hAnsi="Times New Roman" w:cs="Times New Roman"/>
                <w:color w:val="auto"/>
                <w:u w:val="none" w:color="auto"/>
                <w:lang w:eastAsia="zh-CN"/>
              </w:rPr>
            </w:pP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2</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危险</w:t>
            </w:r>
            <w:r>
              <w:rPr>
                <w:rFonts w:hint="eastAsia"/>
                <w:b w:val="0"/>
                <w:bCs w:val="0"/>
                <w:color w:val="auto"/>
                <w:u w:val="none" w:color="auto"/>
                <w:lang w:val="en-US" w:eastAsia="zh-CN"/>
              </w:rPr>
              <w:t>物质泄漏事故。</w:t>
            </w:r>
          </w:p>
          <w:p w14:paraId="68D7F4A0">
            <w:pPr>
              <w:pStyle w:val="24"/>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eastAsia="zh-CN"/>
              </w:rPr>
              <w:t>）废气事故排放污染周边大气环境。</w:t>
            </w:r>
          </w:p>
          <w:p w14:paraId="23593718">
            <w:pPr>
              <w:pStyle w:val="24"/>
              <w:bidi w:val="0"/>
              <w:rPr>
                <w:rFonts w:hint="default" w:eastAsia="宋体"/>
                <w:color w:val="auto"/>
                <w:u w:val="none" w:color="auto"/>
                <w:lang w:val="en-US" w:eastAsia="zh-CN"/>
              </w:rPr>
            </w:pPr>
            <w:r>
              <w:rPr>
                <w:rFonts w:hint="eastAsia"/>
                <w:color w:val="auto"/>
                <w:u w:val="none" w:color="auto"/>
                <w:lang w:eastAsia="zh-CN"/>
              </w:rPr>
              <w:t>（</w:t>
            </w:r>
            <w:r>
              <w:rPr>
                <w:rFonts w:hint="eastAsia"/>
                <w:color w:val="auto"/>
                <w:u w:val="none" w:color="auto"/>
                <w:lang w:val="en-US" w:eastAsia="zh-CN"/>
              </w:rPr>
              <w:t>4</w:t>
            </w:r>
            <w:r>
              <w:rPr>
                <w:rFonts w:hint="eastAsia"/>
                <w:color w:val="auto"/>
                <w:u w:val="none" w:color="auto"/>
                <w:lang w:eastAsia="zh-CN"/>
              </w:rPr>
              <w:t>）</w:t>
            </w:r>
            <w:r>
              <w:rPr>
                <w:rFonts w:hint="eastAsia"/>
                <w:color w:val="auto"/>
                <w:u w:val="none" w:color="auto"/>
                <w:lang w:val="en-US" w:eastAsia="zh-CN"/>
              </w:rPr>
              <w:t>废水事故排放污染周边水体、地下水</w:t>
            </w:r>
          </w:p>
        </w:tc>
      </w:tr>
      <w:tr w14:paraId="448B19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14:paraId="3D62792E">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风险防范措施要求</w:t>
            </w:r>
          </w:p>
        </w:tc>
        <w:tc>
          <w:tcPr>
            <w:tcW w:w="6788" w:type="dxa"/>
            <w:gridSpan w:val="5"/>
            <w:noWrap w:val="0"/>
            <w:vAlign w:val="center"/>
          </w:tcPr>
          <w:p w14:paraId="40F15E1F">
            <w:pPr>
              <w:pStyle w:val="24"/>
              <w:bidi w:val="0"/>
              <w:rPr>
                <w:rFonts w:hint="default"/>
                <w:color w:val="auto"/>
                <w:u w:val="none" w:color="auto"/>
                <w:lang w:val="en-US" w:eastAsia="zh-CN"/>
              </w:rPr>
            </w:pPr>
            <w:r>
              <w:rPr>
                <w:rFonts w:hint="eastAsia"/>
                <w:color w:val="auto"/>
                <w:u w:val="none" w:color="auto"/>
                <w:lang w:val="en-US" w:eastAsia="zh-CN"/>
              </w:rPr>
              <w:t>①</w:t>
            </w:r>
            <w:r>
              <w:rPr>
                <w:rFonts w:hint="default"/>
                <w:color w:val="auto"/>
                <w:u w:val="none" w:color="auto"/>
              </w:rPr>
              <w:t>定期对原辅材料使用过程中的相关人员，如联络员、仓管员、直接使用人员进行过程监查，定期对上述人员进行相关知识教育和岗位职责培训。</w:t>
            </w:r>
          </w:p>
          <w:p w14:paraId="587EBB91">
            <w:pPr>
              <w:pStyle w:val="24"/>
              <w:bidi w:val="0"/>
              <w:rPr>
                <w:rFonts w:hint="default"/>
                <w:color w:val="auto"/>
                <w:u w:val="none" w:color="auto"/>
                <w:lang w:val="en-US" w:eastAsia="zh-CN"/>
              </w:rPr>
            </w:pPr>
            <w:r>
              <w:rPr>
                <w:rFonts w:hint="eastAsia"/>
                <w:color w:val="auto"/>
                <w:u w:val="none" w:color="auto"/>
                <w:lang w:val="en-US" w:eastAsia="zh-CN"/>
              </w:rPr>
              <w:t>②</w:t>
            </w:r>
            <w:r>
              <w:rPr>
                <w:rFonts w:hint="default"/>
                <w:color w:val="auto"/>
                <w:u w:val="none" w:color="auto"/>
              </w:rPr>
              <w:t>对</w:t>
            </w:r>
            <w:r>
              <w:rPr>
                <w:rFonts w:hint="eastAsia"/>
                <w:color w:val="auto"/>
                <w:u w:val="none" w:color="auto"/>
                <w:lang w:eastAsia="zh-CN"/>
              </w:rPr>
              <w:t>生产线的</w:t>
            </w:r>
            <w:r>
              <w:rPr>
                <w:rFonts w:hint="default"/>
                <w:color w:val="auto"/>
                <w:u w:val="none" w:color="auto"/>
              </w:rPr>
              <w:t>废气净化系统应定期检修、保养；废气处理设施应设相应的备用风机，一旦发生事故，立即停产，及时抢修</w:t>
            </w:r>
            <w:r>
              <w:rPr>
                <w:rFonts w:hint="eastAsia"/>
                <w:color w:val="auto"/>
                <w:u w:val="none" w:color="auto"/>
                <w:lang w:val="en-US" w:eastAsia="zh-CN"/>
              </w:rPr>
              <w:t>。</w:t>
            </w:r>
          </w:p>
          <w:p w14:paraId="6487F978">
            <w:pPr>
              <w:pStyle w:val="24"/>
              <w:bidi w:val="0"/>
              <w:rPr>
                <w:rFonts w:hint="eastAsia"/>
                <w:color w:val="auto"/>
                <w:u w:val="none" w:color="auto"/>
                <w:lang w:val="en-US" w:eastAsia="zh-CN"/>
              </w:rPr>
            </w:pPr>
            <w:r>
              <w:rPr>
                <w:rFonts w:hint="eastAsia"/>
                <w:color w:val="auto"/>
                <w:u w:val="none" w:color="auto"/>
                <w:lang w:val="en-US" w:eastAsia="zh-CN"/>
              </w:rPr>
              <w:t>③</w:t>
            </w:r>
            <w:r>
              <w:rPr>
                <w:rFonts w:hint="default"/>
                <w:color w:val="auto"/>
                <w:u w:val="none" w:color="auto"/>
                <w:lang w:val="en-US" w:eastAsia="zh-CN"/>
              </w:rPr>
              <w:t>生产车间</w:t>
            </w:r>
            <w:r>
              <w:rPr>
                <w:rFonts w:hint="eastAsia"/>
                <w:color w:val="auto"/>
                <w:u w:val="none" w:color="auto"/>
                <w:lang w:val="en-US" w:eastAsia="zh-CN"/>
              </w:rPr>
              <w:t>应密闭、保持洁净</w:t>
            </w:r>
            <w:r>
              <w:rPr>
                <w:rFonts w:hint="default"/>
                <w:color w:val="auto"/>
                <w:u w:val="none" w:color="auto"/>
                <w:lang w:val="en-US" w:eastAsia="zh-CN"/>
              </w:rPr>
              <w:t>，同时生产车间和原辅料及产品仓库禁止</w:t>
            </w:r>
            <w:r>
              <w:rPr>
                <w:rFonts w:hint="eastAsia"/>
                <w:color w:val="auto"/>
                <w:u w:val="none" w:color="auto"/>
                <w:lang w:val="en-US" w:eastAsia="zh-CN"/>
              </w:rPr>
              <w:t>烟火。</w:t>
            </w:r>
          </w:p>
          <w:p w14:paraId="6ADC6F17">
            <w:pPr>
              <w:pStyle w:val="24"/>
              <w:bidi w:val="0"/>
              <w:rPr>
                <w:rFonts w:hint="eastAsia"/>
                <w:color w:val="auto"/>
                <w:u w:val="none" w:color="auto"/>
                <w:lang w:val="en-US" w:eastAsia="zh-CN"/>
              </w:rPr>
            </w:pPr>
            <w:r>
              <w:rPr>
                <w:rFonts w:hint="eastAsia"/>
                <w:color w:val="auto"/>
                <w:u w:val="none" w:color="auto"/>
                <w:lang w:val="en-US" w:eastAsia="zh-CN"/>
              </w:rPr>
              <w:t>④制定严格的废水排放制度，确保清污分流，雨污分流。</w:t>
            </w:r>
          </w:p>
          <w:p w14:paraId="109CD3F5">
            <w:pPr>
              <w:pStyle w:val="24"/>
              <w:bidi w:val="0"/>
              <w:rPr>
                <w:rFonts w:hint="default" w:ascii="Times New Roman" w:hAnsi="Times New Roman" w:cs="Times New Roman"/>
                <w:color w:val="auto"/>
                <w:u w:val="none" w:color="auto"/>
              </w:rPr>
            </w:pPr>
            <w:r>
              <w:rPr>
                <w:rFonts w:hint="eastAsia"/>
                <w:color w:val="auto"/>
                <w:u w:val="none" w:color="auto"/>
                <w:lang w:val="en-US" w:eastAsia="zh-CN"/>
              </w:rPr>
              <w:t>⑤危废暂存间应严格按照《危险废物贮存污染控制标准》（GB18597- 2023）相关要求建设，各类危废应分开收集、分区堆放，其最长贮存期应不超过1年，危险废物转移过程中严格执行转移联单制度，并做好台账，防止危险废物在转移过程中发生遗失事故。</w:t>
            </w:r>
          </w:p>
        </w:tc>
      </w:tr>
      <w:tr w14:paraId="7E1098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16" w:type="dxa"/>
            <w:noWrap w:val="0"/>
            <w:vAlign w:val="center"/>
          </w:tcPr>
          <w:p w14:paraId="461FB367">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填表说明（列出项目相关信息及评价说明）</w:t>
            </w:r>
          </w:p>
        </w:tc>
        <w:tc>
          <w:tcPr>
            <w:tcW w:w="6788" w:type="dxa"/>
            <w:gridSpan w:val="5"/>
            <w:noWrap w:val="0"/>
            <w:vAlign w:val="center"/>
          </w:tcPr>
          <w:p w14:paraId="6AAAF3B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本项目环境风险潜势为</w:t>
            </w:r>
            <w:r>
              <w:rPr>
                <w:rFonts w:hint="default" w:ascii="Times New Roman" w:hAnsi="Times New Roman" w:cs="Times New Roman"/>
                <w:color w:val="auto"/>
                <w:u w:val="none" w:color="auto"/>
              </w:rPr>
              <w:fldChar w:fldCharType="begin"/>
            </w:r>
            <w:r>
              <w:rPr>
                <w:rFonts w:hint="default" w:ascii="Times New Roman" w:hAnsi="Times New Roman" w:cs="Times New Roman"/>
                <w:color w:val="auto"/>
                <w:u w:val="none" w:color="auto"/>
              </w:rPr>
              <w:instrText xml:space="preserve"> = 1 \* ROMAN </w:instrText>
            </w:r>
            <w:r>
              <w:rPr>
                <w:rFonts w:hint="default" w:ascii="Times New Roman" w:hAnsi="Times New Roman" w:cs="Times New Roman"/>
                <w:color w:val="auto"/>
                <w:u w:val="none" w:color="auto"/>
              </w:rPr>
              <w:fldChar w:fldCharType="separate"/>
            </w:r>
            <w:r>
              <w:rPr>
                <w:rFonts w:hint="default" w:ascii="Times New Roman" w:hAnsi="Times New Roman" w:cs="Times New Roman"/>
                <w:color w:val="auto"/>
                <w:u w:val="none" w:color="auto"/>
              </w:rPr>
              <w:t>I</w:t>
            </w:r>
            <w:r>
              <w:rPr>
                <w:rFonts w:hint="default" w:ascii="Times New Roman" w:hAnsi="Times New Roman" w:cs="Times New Roman"/>
                <w:color w:val="auto"/>
                <w:u w:val="none" w:color="auto"/>
              </w:rPr>
              <w:fldChar w:fldCharType="end"/>
            </w:r>
            <w:r>
              <w:rPr>
                <w:rFonts w:hint="default" w:ascii="Times New Roman" w:hAnsi="Times New Roman" w:cs="Times New Roman"/>
                <w:color w:val="auto"/>
                <w:u w:val="none" w:color="auto"/>
              </w:rPr>
              <w:t>，通过采取相应的风险防范措施，项目的环境风险可控。一旦发生事故，建设单位应立即执行事故应急预案，采取合理的事故应急处理措施，将事故影响降到最低限度。</w:t>
            </w:r>
          </w:p>
        </w:tc>
      </w:tr>
    </w:tbl>
    <w:p w14:paraId="1FBAF756">
      <w:pPr>
        <w:pStyle w:val="20"/>
        <w:ind w:left="0" w:leftChars="0" w:firstLine="480" w:firstLineChars="200"/>
        <w:outlineLvl w:val="9"/>
        <w:rPr>
          <w:rFonts w:hint="default" w:ascii="Times New Roman" w:hAnsi="Times New Roman" w:cs="Times New Roman"/>
          <w:color w:val="auto"/>
          <w:u w:val="none" w:color="auto"/>
          <w:lang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9472158">
      <w:pPr>
        <w:pStyle w:val="2"/>
        <w:bidi w:val="0"/>
        <w:rPr>
          <w:rFonts w:hint="default"/>
          <w:color w:val="auto"/>
          <w:u w:val="none" w:color="auto"/>
        </w:rPr>
      </w:pPr>
      <w:bookmarkStart w:id="1277" w:name="_Toc19816"/>
      <w:bookmarkStart w:id="1278" w:name="_Toc23699"/>
      <w:bookmarkStart w:id="1279" w:name="_Toc486321347"/>
      <w:bookmarkStart w:id="1280" w:name="_Toc12782_WPSOffice_Level1"/>
      <w:bookmarkStart w:id="1281" w:name="_Toc17862_WPSOffice_Level1"/>
      <w:bookmarkStart w:id="1282" w:name="_Toc23932"/>
      <w:bookmarkStart w:id="1283" w:name="_Toc18634_WPSOffice_Level1"/>
      <w:bookmarkStart w:id="1284" w:name="_Toc6363"/>
      <w:bookmarkStart w:id="1285" w:name="_Toc14146_WPSOffice_Level1"/>
      <w:bookmarkStart w:id="1286" w:name="_Toc16845"/>
      <w:bookmarkStart w:id="1287" w:name="_Toc2096"/>
      <w:r>
        <w:rPr>
          <w:rFonts w:hint="eastAsia"/>
          <w:color w:val="auto"/>
          <w:u w:val="none" w:color="auto"/>
          <w:lang w:val="en-US" w:eastAsia="zh-CN"/>
        </w:rPr>
        <w:t>7</w:t>
      </w:r>
      <w:r>
        <w:rPr>
          <w:rFonts w:hint="default"/>
          <w:color w:val="auto"/>
          <w:u w:val="none" w:color="auto"/>
        </w:rPr>
        <w:t>、环境保护措施及其可行性论证</w:t>
      </w:r>
      <w:bookmarkEnd w:id="1277"/>
      <w:bookmarkEnd w:id="1278"/>
      <w:bookmarkEnd w:id="1279"/>
      <w:bookmarkEnd w:id="1280"/>
      <w:bookmarkEnd w:id="1281"/>
      <w:bookmarkEnd w:id="1282"/>
      <w:bookmarkEnd w:id="1283"/>
      <w:bookmarkEnd w:id="1284"/>
      <w:bookmarkEnd w:id="1285"/>
    </w:p>
    <w:p w14:paraId="0C3E51B0">
      <w:pPr>
        <w:pStyle w:val="3"/>
        <w:bidi w:val="0"/>
        <w:rPr>
          <w:rFonts w:hint="default"/>
          <w:color w:val="auto"/>
          <w:u w:val="none" w:color="auto"/>
        </w:rPr>
      </w:pPr>
      <w:bookmarkStart w:id="1288" w:name="_Toc12427_WPSOffice_Level2"/>
      <w:bookmarkStart w:id="1289" w:name="_Toc5611"/>
      <w:bookmarkStart w:id="1290" w:name="_Toc7717_WPSOffice_Level2"/>
      <w:bookmarkStart w:id="1291" w:name="_Toc4219_WPSOffice_Level2"/>
      <w:bookmarkStart w:id="1292" w:name="_Toc32432_WPSOffice_Level2"/>
      <w:bookmarkStart w:id="1293" w:name="_Toc31334"/>
      <w:bookmarkStart w:id="1294" w:name="_Toc24309"/>
      <w:bookmarkStart w:id="1295" w:name="_Toc27661"/>
      <w:r>
        <w:rPr>
          <w:rFonts w:hint="eastAsia"/>
          <w:color w:val="auto"/>
          <w:u w:val="none" w:color="auto"/>
          <w:lang w:val="en-US" w:eastAsia="zh-CN"/>
        </w:rPr>
        <w:t>7</w:t>
      </w:r>
      <w:r>
        <w:rPr>
          <w:rFonts w:hint="default"/>
          <w:color w:val="auto"/>
          <w:u w:val="none" w:color="auto"/>
          <w:lang w:val="en-US" w:eastAsia="zh-CN"/>
        </w:rPr>
        <w:t>.1</w:t>
      </w:r>
      <w:r>
        <w:rPr>
          <w:rFonts w:hint="default"/>
          <w:color w:val="auto"/>
          <w:u w:val="none" w:color="auto"/>
        </w:rPr>
        <w:t>施工期污染防治措施</w:t>
      </w:r>
      <w:bookmarkEnd w:id="1288"/>
      <w:bookmarkEnd w:id="1289"/>
      <w:bookmarkEnd w:id="1290"/>
      <w:bookmarkEnd w:id="1291"/>
      <w:bookmarkEnd w:id="1292"/>
      <w:bookmarkEnd w:id="1293"/>
      <w:bookmarkEnd w:id="1294"/>
      <w:bookmarkEnd w:id="1295"/>
    </w:p>
    <w:p w14:paraId="533C6391">
      <w:pPr>
        <w:pStyle w:val="4"/>
        <w:rPr>
          <w:rFonts w:hint="default" w:ascii="Times New Roman" w:hAnsi="Times New Roman" w:eastAsia="宋体" w:cs="Times New Roman"/>
          <w:color w:val="auto"/>
          <w:u w:val="none"/>
        </w:rPr>
      </w:pPr>
      <w:bookmarkStart w:id="1296" w:name="_Toc28049"/>
      <w:bookmarkStart w:id="1297" w:name="_Toc173"/>
      <w:bookmarkStart w:id="1298" w:name="_Toc2506"/>
      <w:bookmarkStart w:id="1299" w:name="_Toc22753"/>
      <w:bookmarkStart w:id="1300" w:name="_Toc7185_WPSOffice_Level2"/>
      <w:bookmarkStart w:id="1301" w:name="_Toc27860"/>
      <w:bookmarkStart w:id="1302" w:name="_Toc12403_WPSOffice_Level2"/>
      <w:bookmarkStart w:id="1303" w:name="_Toc10973_WPSOffice_Level2"/>
      <w:bookmarkStart w:id="1304" w:name="_Toc5965_WPSOffice_Level2"/>
      <w:r>
        <w:rPr>
          <w:rFonts w:hint="eastAsia" w:ascii="Times New Roman" w:hAnsi="Times New Roman" w:eastAsia="宋体" w:cs="Times New Roman"/>
          <w:color w:val="auto"/>
          <w:u w:val="none"/>
          <w:lang w:val="en-US" w:eastAsia="zh-CN"/>
        </w:rPr>
        <w:t>7</w:t>
      </w:r>
      <w:r>
        <w:rPr>
          <w:rFonts w:hint="default" w:ascii="Times New Roman" w:hAnsi="Times New Roman" w:eastAsia="宋体" w:cs="Times New Roman"/>
          <w:color w:val="auto"/>
          <w:u w:val="none"/>
        </w:rPr>
        <w:t>.1.1废气防治措施</w:t>
      </w:r>
      <w:bookmarkEnd w:id="1296"/>
      <w:bookmarkEnd w:id="1297"/>
      <w:bookmarkEnd w:id="1298"/>
      <w:bookmarkEnd w:id="1299"/>
    </w:p>
    <w:p w14:paraId="6323D154">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（1）项目全部使用商品混凝土，防止搅拌过程中的粉尘产生。</w:t>
      </w:r>
    </w:p>
    <w:p w14:paraId="32AE214E">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（2）项目四周周边设置不低于2.1米的遮挡围护设施，施工道路以及出入口5米内硬化。</w:t>
      </w:r>
    </w:p>
    <w:p w14:paraId="4EC9D495">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（3）出入口内侧必须安装专用运输车辆轮胎清洗设备及相应的排水和泥浆沉淀设施。</w:t>
      </w:r>
    </w:p>
    <w:p w14:paraId="06B5C65D">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（4）设置密目网，防止和减少建筑施工过程中物料、渣土外逸，粉尘飞扬及废弃物、杂物飘散。土堆、料堆要有遮盖或喷洒覆盖剂。</w:t>
      </w:r>
    </w:p>
    <w:p w14:paraId="1413977A">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（5）主要交通道路经常洒水抑尘，减少运输过程中扬尘的产生。</w:t>
      </w:r>
    </w:p>
    <w:p w14:paraId="44962CE7">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（6）要尽可能减少运输车辆进出的出入口数量，及时清运施工弃土，不能及时清运的，必须采取覆盖措施。</w:t>
      </w:r>
    </w:p>
    <w:p w14:paraId="25D2A16A">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（7）严禁运输车辆在装运过程中沿途抛、洒、滴、漏。运输建筑散体物料、垃圾和工程渣土的施工运输车辆驶出施工现场时，装载的垃圾渣土高度不得超过车辆槽帮上沿。零星建筑废土逐步推行袋装转运。</w:t>
      </w:r>
    </w:p>
    <w:p w14:paraId="730FADA9">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（8）建筑工地扫尾阶段，房内清扫出的垃圾必须装袋清运；外架拆除必须先用水喷洒后拆除，避免粉尘飞扬。</w:t>
      </w:r>
    </w:p>
    <w:p w14:paraId="05AD72FD">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采用上述处理措施后，项目施工扬尘能得到有效控制。</w:t>
      </w:r>
    </w:p>
    <w:p w14:paraId="67A629EE">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此外，施工期的废气还有施工机械尾气，其为移动源分散排放，对周围环境空气影响较小。因此，</w:t>
      </w:r>
      <w:r>
        <w:rPr>
          <w:rFonts w:hint="eastAsia" w:cs="Times New Roman"/>
          <w:color w:val="auto"/>
          <w:u w:val="none"/>
          <w:lang w:val="en-US" w:eastAsia="zh-CN"/>
        </w:rPr>
        <w:t>施工期</w:t>
      </w:r>
      <w:r>
        <w:rPr>
          <w:rFonts w:hint="default" w:ascii="Times New Roman" w:hAnsi="Times New Roman" w:eastAsia="宋体" w:cs="Times New Roman"/>
          <w:color w:val="auto"/>
          <w:u w:val="none"/>
        </w:rPr>
        <w:t>大气污染防治措施可行。</w:t>
      </w:r>
      <w:bookmarkStart w:id="1305" w:name="_Toc359485689"/>
    </w:p>
    <w:p w14:paraId="50AB41EE">
      <w:pPr>
        <w:pStyle w:val="4"/>
        <w:rPr>
          <w:rFonts w:hint="default" w:ascii="Times New Roman" w:hAnsi="Times New Roman" w:eastAsia="宋体" w:cs="Times New Roman"/>
          <w:color w:val="auto"/>
          <w:u w:val="none"/>
        </w:rPr>
      </w:pPr>
      <w:bookmarkStart w:id="1306" w:name="_Toc29409"/>
      <w:bookmarkStart w:id="1307" w:name="_Toc9936"/>
      <w:bookmarkStart w:id="1308" w:name="_Toc30476"/>
      <w:bookmarkStart w:id="1309" w:name="_Toc13217"/>
      <w:r>
        <w:rPr>
          <w:rFonts w:hint="eastAsia" w:ascii="Times New Roman" w:hAnsi="Times New Roman" w:eastAsia="宋体" w:cs="Times New Roman"/>
          <w:color w:val="auto"/>
          <w:u w:val="none"/>
          <w:lang w:val="en-US" w:eastAsia="zh-CN"/>
        </w:rPr>
        <w:t>7</w:t>
      </w:r>
      <w:r>
        <w:rPr>
          <w:rFonts w:hint="default" w:ascii="Times New Roman" w:hAnsi="Times New Roman" w:eastAsia="宋体" w:cs="Times New Roman"/>
          <w:color w:val="auto"/>
          <w:u w:val="none"/>
        </w:rPr>
        <w:t>.1.2废水防治措施</w:t>
      </w:r>
      <w:bookmarkEnd w:id="1305"/>
      <w:bookmarkEnd w:id="1306"/>
      <w:bookmarkEnd w:id="1307"/>
      <w:bookmarkEnd w:id="1308"/>
      <w:bookmarkEnd w:id="1309"/>
    </w:p>
    <w:p w14:paraId="0049E60D">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在施工场地四周设置临时排水沟、临时沉沙池，将施工泥浆水和地表径流收集采用混凝沉淀法进行处理</w:t>
      </w:r>
      <w:r>
        <w:rPr>
          <w:rFonts w:hint="eastAsia" w:cs="Times New Roman"/>
          <w:color w:val="auto"/>
          <w:u w:val="none"/>
          <w:lang w:eastAsia="zh-CN"/>
        </w:rPr>
        <w:t>，</w:t>
      </w:r>
      <w:r>
        <w:rPr>
          <w:rFonts w:hint="default" w:ascii="Times New Roman" w:hAnsi="Times New Roman" w:eastAsia="宋体" w:cs="Times New Roman"/>
          <w:color w:val="auto"/>
          <w:u w:val="none"/>
        </w:rPr>
        <w:t>上清液回用于场地洒水抑尘，沉渣定期清运填埋。</w:t>
      </w:r>
    </w:p>
    <w:p w14:paraId="46D5B0AA">
      <w:pPr>
        <w:pStyle w:val="20"/>
        <w:rPr>
          <w:rFonts w:hint="default" w:ascii="Times New Roman" w:hAnsi="Times New Roman" w:eastAsia="宋体" w:cs="Times New Roman"/>
          <w:color w:val="auto"/>
          <w:u w:val="none"/>
        </w:rPr>
      </w:pPr>
      <w:bookmarkStart w:id="1310" w:name="_Toc359485690"/>
      <w:r>
        <w:rPr>
          <w:rFonts w:hint="default" w:ascii="Times New Roman" w:hAnsi="Times New Roman" w:eastAsia="宋体" w:cs="Times New Roman"/>
          <w:color w:val="auto"/>
          <w:u w:val="none"/>
        </w:rPr>
        <w:t>施工期生活污水</w:t>
      </w:r>
      <w:r>
        <w:rPr>
          <w:rFonts w:hint="eastAsia" w:cs="Times New Roman"/>
          <w:color w:val="auto"/>
          <w:u w:val="none"/>
          <w:lang w:val="en-US" w:eastAsia="zh-CN"/>
        </w:rPr>
        <w:t>经临时化粪池处理后进入</w:t>
      </w:r>
      <w:r>
        <w:rPr>
          <w:rFonts w:hint="eastAsia"/>
          <w:color w:val="auto"/>
          <w:u w:val="none" w:color="auto"/>
          <w:lang w:val="en-US" w:eastAsia="zh-CN"/>
        </w:rPr>
        <w:t>湖南汨罗高新技术产业开发区（循环园区）污水处理厂</w:t>
      </w:r>
      <w:r>
        <w:rPr>
          <w:rFonts w:hint="eastAsia" w:ascii="Times New Roman" w:hAnsi="Times New Roman" w:eastAsia="宋体" w:cs="Times New Roman"/>
          <w:color w:val="auto"/>
          <w:u w:val="none" w:color="auto"/>
          <w:lang w:val="en-US" w:eastAsia="zh-CN"/>
        </w:rPr>
        <w:t>处理</w:t>
      </w:r>
      <w:r>
        <w:rPr>
          <w:rFonts w:hint="default" w:ascii="Times New Roman" w:hAnsi="Times New Roman" w:eastAsia="宋体" w:cs="Times New Roman"/>
          <w:color w:val="auto"/>
          <w:u w:val="none"/>
        </w:rPr>
        <w:t>。</w:t>
      </w:r>
    </w:p>
    <w:p w14:paraId="54E1761A">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采取上述措施，经济合理，技术可行，处理效果明显，有效减少了施工期污水对环境的影响，因此措施可行。</w:t>
      </w:r>
    </w:p>
    <w:p w14:paraId="43AA0AC5">
      <w:pPr>
        <w:pStyle w:val="4"/>
        <w:rPr>
          <w:rFonts w:hint="default" w:ascii="Times New Roman" w:hAnsi="Times New Roman" w:eastAsia="宋体" w:cs="Times New Roman"/>
          <w:color w:val="auto"/>
          <w:u w:val="none"/>
        </w:rPr>
      </w:pPr>
      <w:bookmarkStart w:id="1311" w:name="_Toc17668"/>
      <w:bookmarkStart w:id="1312" w:name="_Toc30090"/>
      <w:bookmarkStart w:id="1313" w:name="_Toc29126"/>
      <w:bookmarkStart w:id="1314" w:name="_Toc5989"/>
      <w:r>
        <w:rPr>
          <w:rFonts w:hint="eastAsia" w:ascii="Times New Roman" w:hAnsi="Times New Roman" w:eastAsia="宋体" w:cs="Times New Roman"/>
          <w:color w:val="auto"/>
          <w:u w:val="none"/>
          <w:lang w:val="en-US" w:eastAsia="zh-CN"/>
        </w:rPr>
        <w:t>7</w:t>
      </w:r>
      <w:r>
        <w:rPr>
          <w:rFonts w:hint="default" w:ascii="Times New Roman" w:hAnsi="Times New Roman" w:eastAsia="宋体" w:cs="Times New Roman"/>
          <w:color w:val="auto"/>
          <w:u w:val="none"/>
        </w:rPr>
        <w:t>.1.3固体废物防治措施</w:t>
      </w:r>
      <w:bookmarkEnd w:id="1310"/>
      <w:bookmarkEnd w:id="1311"/>
      <w:bookmarkEnd w:id="1312"/>
      <w:bookmarkEnd w:id="1313"/>
      <w:bookmarkEnd w:id="1314"/>
    </w:p>
    <w:p w14:paraId="5C2ED762">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施工期间固体废物主要来自项目建筑新建过程产生的建筑垃圾、施工人员的生活垃圾等。针对不同固体废物在施工现场应采取定点临时堆放，分类收集，分别处理的防治措施。</w:t>
      </w:r>
    </w:p>
    <w:p w14:paraId="5C4EE94B">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工程建设过程中产生的建筑材料的边角废料等，通过回收、平整场地利用和填筑道路等措施，避免固废进入环境，从根本上减少固体废物的处理量和固废运输对环境的影响。</w:t>
      </w:r>
      <w:r>
        <w:rPr>
          <w:rFonts w:hint="eastAsia" w:cs="Times New Roman"/>
          <w:color w:val="auto"/>
          <w:u w:val="none"/>
          <w:lang w:val="en-US" w:eastAsia="zh-CN"/>
        </w:rPr>
        <w:t>无法回收利用的</w:t>
      </w:r>
      <w:r>
        <w:rPr>
          <w:rFonts w:hint="default" w:ascii="Times New Roman" w:hAnsi="Times New Roman" w:eastAsia="宋体" w:cs="Times New Roman"/>
          <w:color w:val="auto"/>
          <w:u w:val="none" w:color="auto"/>
        </w:rPr>
        <w:t>建筑垃圾要定点堆放，在堆放到一定量后，由专业建筑垃圾回收公司清运统一处理，严禁擅自堆放和倾倒到附近的水</w:t>
      </w:r>
      <w:r>
        <w:rPr>
          <w:rFonts w:hint="default" w:ascii="Times New Roman" w:hAnsi="Times New Roman" w:eastAsia="宋体" w:cs="Times New Roman"/>
          <w:color w:val="auto"/>
          <w:u w:val="none" w:color="auto"/>
          <w:lang w:eastAsia="zh-CN"/>
        </w:rPr>
        <w:t>体</w:t>
      </w:r>
      <w:r>
        <w:rPr>
          <w:rFonts w:hint="eastAsia"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rPr>
        <w:t>施工人员的生活垃圾及时收集到指定的垃圾箱（桶）内，由当地环卫部门统一及时清运处理。</w:t>
      </w:r>
    </w:p>
    <w:p w14:paraId="458F5959">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车辆运输散体物和废弃物时，必须密封、覆盖，不得沿途撒漏；运载土方的车辆必须在规定的时间内，按指定路段行驶，禁止在处置场地以外倾倒工程渣土，禁止在处置场地将工程渣土与其他城市生活垃圾混合倾倒。</w:t>
      </w:r>
    </w:p>
    <w:p w14:paraId="3F99CCE4">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施工结束后，及时清理施工现场，废弃的建筑材料送到指定地点处置。</w:t>
      </w:r>
    </w:p>
    <w:p w14:paraId="42BF5EDA">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采取上述措施后，施工固体废物均可得到有效处理处置，措施可行。</w:t>
      </w:r>
      <w:bookmarkStart w:id="1315" w:name="_Toc359485691"/>
    </w:p>
    <w:p w14:paraId="17D05725">
      <w:pPr>
        <w:pStyle w:val="4"/>
        <w:rPr>
          <w:rFonts w:hint="default" w:ascii="Times New Roman" w:hAnsi="Times New Roman" w:eastAsia="宋体" w:cs="Times New Roman"/>
          <w:color w:val="auto"/>
          <w:u w:val="none"/>
        </w:rPr>
      </w:pPr>
      <w:bookmarkStart w:id="1316" w:name="_Toc14424"/>
      <w:bookmarkStart w:id="1317" w:name="_Toc32472"/>
      <w:bookmarkStart w:id="1318" w:name="_Toc6261"/>
      <w:bookmarkStart w:id="1319" w:name="_Toc10652"/>
      <w:r>
        <w:rPr>
          <w:rFonts w:hint="eastAsia" w:ascii="Times New Roman" w:hAnsi="Times New Roman" w:eastAsia="宋体" w:cs="Times New Roman"/>
          <w:color w:val="auto"/>
          <w:u w:val="none"/>
          <w:lang w:val="en-US" w:eastAsia="zh-CN"/>
        </w:rPr>
        <w:t>7</w:t>
      </w:r>
      <w:r>
        <w:rPr>
          <w:rFonts w:hint="default" w:ascii="Times New Roman" w:hAnsi="Times New Roman" w:eastAsia="宋体" w:cs="Times New Roman"/>
          <w:color w:val="auto"/>
          <w:u w:val="none"/>
        </w:rPr>
        <w:t>.1.4噪声污染防治措施</w:t>
      </w:r>
      <w:bookmarkEnd w:id="1315"/>
      <w:bookmarkEnd w:id="1316"/>
      <w:bookmarkEnd w:id="1317"/>
      <w:bookmarkEnd w:id="1318"/>
      <w:bookmarkEnd w:id="1319"/>
    </w:p>
    <w:p w14:paraId="11B3DE9F">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施工机械的噪声需要采取一定的防治措施：</w:t>
      </w:r>
    </w:p>
    <w:p w14:paraId="6FE1F4F6">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（1）合理选择施工机械，应选用低噪、高效的施工设备，施工过程中对施工设备进行维修保养，避免由于设备性能减退使噪声增大。</w:t>
      </w:r>
    </w:p>
    <w:p w14:paraId="424027D8">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（2）合理选择施工方法，并加强管理，施工过程中应做到文明</w:t>
      </w:r>
      <w:r>
        <w:rPr>
          <w:rFonts w:hint="eastAsia" w:cs="Times New Roman"/>
          <w:color w:val="auto"/>
          <w:u w:val="none"/>
          <w:lang w:val="en-US" w:eastAsia="zh-CN"/>
        </w:rPr>
        <w:t>施工</w:t>
      </w:r>
      <w:r>
        <w:rPr>
          <w:rFonts w:hint="default" w:ascii="Times New Roman" w:hAnsi="Times New Roman" w:eastAsia="宋体" w:cs="Times New Roman"/>
          <w:color w:val="auto"/>
          <w:u w:val="none"/>
        </w:rPr>
        <w:t>。</w:t>
      </w:r>
    </w:p>
    <w:p w14:paraId="20E5AAAE">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合理选择施工时间，施工过程中应严格控制各施工机械的施工时间，主要噪声源尽量安排在昼间非正常休息时间内进行的要求，中午12：00~14:00及夜间22：00～翌日6：00禁止机械施工，同时应避免高噪声设备同时施工。</w:t>
      </w:r>
    </w:p>
    <w:p w14:paraId="394B43B0">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（4）建设工程工地应</w:t>
      </w:r>
      <w:r>
        <w:rPr>
          <w:rFonts w:hint="eastAsia" w:cs="Times New Roman"/>
          <w:color w:val="auto"/>
          <w:u w:val="none"/>
          <w:lang w:val="en-US" w:eastAsia="zh-CN"/>
        </w:rPr>
        <w:t>采取</w:t>
      </w:r>
      <w:r>
        <w:rPr>
          <w:rFonts w:hint="default" w:ascii="Times New Roman" w:hAnsi="Times New Roman" w:eastAsia="宋体" w:cs="Times New Roman"/>
          <w:color w:val="auto"/>
          <w:u w:val="none"/>
        </w:rPr>
        <w:t>高噪声设备设置隔音、减噪措施，施工场地出口避开环境敏感点位，各种木材、金属的切割工作一律在现场的作业棚内进行，作业棚搭成封闭式。</w:t>
      </w:r>
    </w:p>
    <w:p w14:paraId="105B5502">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（5）合理选择物料运输路线，物料运输过程中应尽量选择敏感目标相对较少的线路，从沿线敏感目标附近经过和出入现场时应低速行驶，禁鸣喇叭。</w:t>
      </w:r>
    </w:p>
    <w:p w14:paraId="03334B71">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6）对施工场地噪声除采取以上降噪措施外，建设过程中施工单位还应与邻近的村民建立良好的关系，及时让他们了解施工进度及采取的降噪措施，并取得大家的共同理解。若因工艺或特殊需要必须连续施工，施工单位应在施工前报请有关部门批准，并向施工场地周围的村民发布公告，以征得公众的理解和支持。</w:t>
      </w:r>
    </w:p>
    <w:p w14:paraId="55AEE051">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采取上述措施之后，切实保障了施工场界周围敏感目标的正常生活、休息秩序，控制了噪声扰民纠纷的主要起因，尽管施工噪声对环境产生一定的不利影响，但其影响具有阶段性、临时性和不固定性，一旦施工活动结束，施工噪声和振动也就随之结束，因而措施可行。</w:t>
      </w:r>
    </w:p>
    <w:p w14:paraId="68B2105E">
      <w:pPr>
        <w:pStyle w:val="4"/>
        <w:rPr>
          <w:rFonts w:hint="default" w:ascii="Times New Roman" w:hAnsi="Times New Roman" w:eastAsia="宋体" w:cs="Times New Roman"/>
          <w:color w:val="auto"/>
          <w:u w:val="none"/>
        </w:rPr>
      </w:pPr>
      <w:bookmarkStart w:id="1320" w:name="_Toc23828"/>
      <w:bookmarkStart w:id="1321" w:name="_Toc18163"/>
      <w:bookmarkStart w:id="1322" w:name="_Toc30554"/>
      <w:r>
        <w:rPr>
          <w:rFonts w:hint="eastAsia" w:ascii="Times New Roman" w:hAnsi="Times New Roman" w:eastAsia="宋体" w:cs="Times New Roman"/>
          <w:color w:val="auto"/>
          <w:u w:val="none"/>
          <w:lang w:val="en-US" w:eastAsia="zh-CN"/>
        </w:rPr>
        <w:t>7</w:t>
      </w:r>
      <w:r>
        <w:rPr>
          <w:rFonts w:hint="default" w:ascii="Times New Roman" w:hAnsi="Times New Roman" w:eastAsia="宋体" w:cs="Times New Roman"/>
          <w:color w:val="auto"/>
          <w:u w:val="none"/>
        </w:rPr>
        <w:t>.1.5施工生态影响缓解措施</w:t>
      </w:r>
      <w:bookmarkEnd w:id="1320"/>
      <w:bookmarkEnd w:id="1321"/>
      <w:bookmarkEnd w:id="1322"/>
    </w:p>
    <w:p w14:paraId="4277B7FD">
      <w:pPr>
        <w:pStyle w:val="20"/>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u w:val="none" w:color="auto"/>
        </w:rPr>
        <w:t>工程施工期间，施工单位应严格执行《建设工程施工场地文明施工及环境管理暂行规定》，对</w:t>
      </w:r>
      <w:r>
        <w:rPr>
          <w:rFonts w:hint="default" w:ascii="Times New Roman" w:hAnsi="Times New Roman" w:eastAsia="宋体" w:cs="Times New Roman"/>
          <w:color w:val="auto"/>
          <w:u w:val="none" w:color="auto"/>
          <w:lang w:eastAsia="zh-CN"/>
        </w:rPr>
        <w:t>地表水</w:t>
      </w:r>
      <w:r>
        <w:rPr>
          <w:rFonts w:hint="default" w:ascii="Times New Roman" w:hAnsi="Times New Roman" w:eastAsia="宋体" w:cs="Times New Roman"/>
          <w:color w:val="auto"/>
          <w:u w:val="none" w:color="auto"/>
        </w:rPr>
        <w:t>的排放进行组织设计，严禁乱排、乱流污染道路、环境。</w:t>
      </w:r>
    </w:p>
    <w:p w14:paraId="384494DF">
      <w:pPr>
        <w:pStyle w:val="2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项目用地现状已由园区开发平整完成，场地现状为空地</w:t>
      </w:r>
      <w:r>
        <w:rPr>
          <w:rFonts w:hint="default" w:ascii="Times New Roman" w:hAnsi="Times New Roman" w:eastAsia="宋体" w:cs="Times New Roman"/>
          <w:color w:val="auto"/>
          <w:u w:val="none" w:color="auto"/>
          <w:lang w:eastAsia="zh-CN"/>
        </w:rPr>
        <w:t>，</w:t>
      </w:r>
      <w:r>
        <w:rPr>
          <w:rFonts w:hint="eastAsia" w:cs="Times New Roman"/>
          <w:color w:val="auto"/>
          <w:u w:val="none" w:color="auto"/>
          <w:lang w:val="en-US" w:eastAsia="zh-CN"/>
        </w:rPr>
        <w:t>本项目</w:t>
      </w:r>
      <w:r>
        <w:rPr>
          <w:rFonts w:hint="default" w:ascii="Times New Roman" w:hAnsi="Times New Roman" w:eastAsia="宋体" w:cs="Times New Roman"/>
          <w:color w:val="auto"/>
          <w:u w:val="none" w:color="auto"/>
        </w:rPr>
        <w:t>施工期不</w:t>
      </w:r>
      <w:r>
        <w:rPr>
          <w:rFonts w:hint="eastAsia" w:cs="Times New Roman"/>
          <w:color w:val="auto"/>
          <w:u w:val="none" w:color="auto"/>
          <w:lang w:val="en-US" w:eastAsia="zh-CN"/>
        </w:rPr>
        <w:t>再</w:t>
      </w:r>
      <w:r>
        <w:rPr>
          <w:rFonts w:hint="default" w:ascii="Times New Roman" w:hAnsi="Times New Roman" w:eastAsia="宋体" w:cs="Times New Roman"/>
          <w:color w:val="auto"/>
          <w:u w:val="none" w:color="auto"/>
        </w:rPr>
        <w:t>涉及场地平整工程</w:t>
      </w:r>
      <w:r>
        <w:rPr>
          <w:rFonts w:hint="default" w:ascii="Times New Roman" w:hAnsi="Times New Roman" w:eastAsia="宋体" w:cs="Times New Roman"/>
          <w:color w:val="auto"/>
          <w:u w:val="none" w:color="auto"/>
          <w:lang w:eastAsia="zh-CN"/>
        </w:rPr>
        <w:t>，不会</w:t>
      </w:r>
      <w:r>
        <w:rPr>
          <w:rFonts w:hint="eastAsia" w:cs="Times New Roman"/>
          <w:color w:val="auto"/>
          <w:u w:val="none" w:color="auto"/>
          <w:lang w:val="en-US" w:eastAsia="zh-CN"/>
        </w:rPr>
        <w:t>再</w:t>
      </w:r>
      <w:r>
        <w:rPr>
          <w:rFonts w:hint="default" w:ascii="Times New Roman" w:hAnsi="Times New Roman" w:eastAsia="宋体" w:cs="Times New Roman"/>
          <w:color w:val="auto"/>
          <w:u w:val="none" w:color="auto"/>
          <w:lang w:eastAsia="zh-CN"/>
        </w:rPr>
        <w:t>对植被造成</w:t>
      </w:r>
      <w:r>
        <w:rPr>
          <w:rFonts w:hint="eastAsia" w:cs="Times New Roman"/>
          <w:color w:val="auto"/>
          <w:u w:val="none" w:color="auto"/>
          <w:lang w:val="en-US" w:eastAsia="zh-CN"/>
        </w:rPr>
        <w:t>直接</w:t>
      </w:r>
      <w:r>
        <w:rPr>
          <w:rFonts w:hint="default" w:ascii="Times New Roman" w:hAnsi="Times New Roman" w:eastAsia="宋体" w:cs="Times New Roman"/>
          <w:color w:val="auto"/>
          <w:u w:val="none" w:color="auto"/>
          <w:lang w:eastAsia="zh-CN"/>
        </w:rPr>
        <w:t>破坏，工程</w:t>
      </w:r>
      <w:r>
        <w:rPr>
          <w:rFonts w:hint="default" w:ascii="Times New Roman" w:hAnsi="Times New Roman" w:eastAsia="宋体" w:cs="Times New Roman"/>
          <w:color w:val="auto"/>
          <w:u w:val="none" w:color="auto"/>
        </w:rPr>
        <w:t>土石方工程量</w:t>
      </w:r>
      <w:r>
        <w:rPr>
          <w:rFonts w:hint="default" w:ascii="Times New Roman" w:hAnsi="Times New Roman" w:eastAsia="宋体" w:cs="Times New Roman"/>
          <w:color w:val="auto"/>
          <w:u w:val="none" w:color="auto"/>
          <w:lang w:eastAsia="zh-CN"/>
        </w:rPr>
        <w:t>极小</w:t>
      </w:r>
      <w:r>
        <w:rPr>
          <w:rFonts w:hint="default" w:ascii="Times New Roman" w:hAnsi="Times New Roman" w:eastAsia="宋体" w:cs="Times New Roman"/>
          <w:color w:val="auto"/>
          <w:u w:val="none" w:color="auto"/>
        </w:rPr>
        <w:t>，基本能做到场区内平衡。施工场地局部应及时进行硬化处理，临时堆土场需修建围档护坡，避免施工期因水土流失造成区域水环境污染。加强疏水导流，防止暴雨冲刷造成水土流失。应尽可能抓紧施工，缩短工期，以减轻施工期对生态环境的影响</w:t>
      </w:r>
      <w:r>
        <w:rPr>
          <w:rFonts w:hint="default" w:ascii="Times New Roman" w:hAnsi="Times New Roman" w:cs="Times New Roman"/>
          <w:color w:val="auto"/>
          <w:u w:val="none" w:color="auto"/>
          <w:lang w:val="en-US" w:eastAsia="zh-CN"/>
        </w:rPr>
        <w:t>。</w:t>
      </w:r>
    </w:p>
    <w:p w14:paraId="2FC2691E">
      <w:pPr>
        <w:pStyle w:val="3"/>
        <w:bidi w:val="0"/>
        <w:rPr>
          <w:rFonts w:hint="default"/>
          <w:color w:val="auto"/>
          <w:u w:val="none" w:color="auto"/>
        </w:rPr>
      </w:pPr>
      <w:bookmarkStart w:id="1323" w:name="_Toc4558"/>
      <w:bookmarkStart w:id="1324" w:name="_Toc11727"/>
      <w:bookmarkStart w:id="1325" w:name="_Toc28536"/>
      <w:r>
        <w:rPr>
          <w:rFonts w:hint="eastAsia"/>
          <w:color w:val="auto"/>
          <w:u w:val="none" w:color="auto"/>
          <w:lang w:val="en-US" w:eastAsia="zh-CN"/>
        </w:rPr>
        <w:t>7</w:t>
      </w:r>
      <w:r>
        <w:rPr>
          <w:rFonts w:hint="default"/>
          <w:color w:val="auto"/>
          <w:u w:val="none" w:color="auto"/>
          <w:lang w:val="en-US" w:eastAsia="zh-CN"/>
        </w:rPr>
        <w:t>.2</w:t>
      </w:r>
      <w:r>
        <w:rPr>
          <w:rFonts w:hint="default"/>
          <w:color w:val="auto"/>
          <w:u w:val="none" w:color="auto"/>
        </w:rPr>
        <w:t>运营期污染防治措施</w:t>
      </w:r>
      <w:bookmarkEnd w:id="1300"/>
      <w:bookmarkEnd w:id="1301"/>
      <w:bookmarkEnd w:id="1302"/>
      <w:bookmarkEnd w:id="1303"/>
      <w:bookmarkEnd w:id="1304"/>
      <w:bookmarkEnd w:id="1323"/>
      <w:bookmarkEnd w:id="1324"/>
      <w:bookmarkEnd w:id="1325"/>
    </w:p>
    <w:p w14:paraId="645BA7EE">
      <w:pPr>
        <w:pStyle w:val="4"/>
        <w:rPr>
          <w:rFonts w:hint="default" w:ascii="Times New Roman" w:hAnsi="Times New Roman" w:cs="Times New Roman"/>
          <w:color w:val="auto"/>
          <w:u w:val="none" w:color="auto"/>
        </w:rPr>
      </w:pPr>
      <w:bookmarkStart w:id="1326" w:name="_Toc8142"/>
      <w:bookmarkStart w:id="1327" w:name="_Toc21274"/>
      <w:bookmarkStart w:id="1328" w:name="_Toc13115"/>
      <w:bookmarkStart w:id="1329" w:name="_Toc16618"/>
      <w:bookmarkStart w:id="1330" w:name="_Toc26149"/>
      <w:bookmarkStart w:id="1331" w:name="_Toc9120"/>
      <w:bookmarkStart w:id="1332" w:name="_Toc10782"/>
      <w:bookmarkStart w:id="1333" w:name="_Toc6827_WPSOffice_Level3"/>
      <w:bookmarkStart w:id="1334" w:name="_Toc14766"/>
      <w:bookmarkStart w:id="1335" w:name="_Toc31037"/>
      <w:bookmarkStart w:id="1336" w:name="_Toc23808"/>
      <w:bookmarkStart w:id="1337" w:name="_Toc14508"/>
      <w:bookmarkStart w:id="1338" w:name="_Toc17085"/>
      <w:bookmarkStart w:id="1339" w:name="_Toc2827"/>
      <w:bookmarkStart w:id="1340" w:name="_Toc2086"/>
      <w:bookmarkStart w:id="1341" w:name="_Toc5777"/>
      <w:bookmarkStart w:id="1342" w:name="_Toc8860_WPSOffice_Level3"/>
      <w:bookmarkStart w:id="1343" w:name="_Toc11239"/>
      <w:bookmarkStart w:id="1344" w:name="_Toc30413"/>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.1废气治理措施及达标可行性分析</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14:paraId="3FD7CC3F">
      <w:pPr>
        <w:pStyle w:val="20"/>
        <w:ind w:firstLine="480"/>
        <w:rPr>
          <w:rFonts w:hint="default" w:ascii="Times New Roman" w:hAnsi="Times New Roman" w:eastAsia="宋体" w:cs="Times New Roman"/>
          <w:color w:val="auto"/>
          <w:sz w:val="24"/>
          <w:szCs w:val="24"/>
          <w:u w:val="none" w:color="auto"/>
        </w:rPr>
      </w:pPr>
      <w:bookmarkStart w:id="1345" w:name="_Toc5169"/>
      <w:bookmarkStart w:id="1346" w:name="_Toc11266"/>
      <w:bookmarkStart w:id="1347" w:name="_Toc5237_WPSOffice_Level3"/>
      <w:bookmarkStart w:id="1348" w:name="_Toc1370"/>
      <w:bookmarkStart w:id="1349" w:name="_Toc11875"/>
      <w:bookmarkStart w:id="1350" w:name="_Toc6120"/>
      <w:bookmarkStart w:id="1351" w:name="_Toc7845"/>
      <w:bookmarkStart w:id="1352" w:name="_Toc28679"/>
      <w:bookmarkStart w:id="1353" w:name="_Toc24524"/>
      <w:bookmarkStart w:id="1354" w:name="_Toc25794"/>
      <w:bookmarkStart w:id="1355" w:name="_Toc19407_WPSOffice_Level3"/>
      <w:bookmarkStart w:id="1356" w:name="_Toc17733"/>
      <w:r>
        <w:rPr>
          <w:rFonts w:hint="default" w:ascii="Times New Roman" w:hAnsi="Times New Roman" w:eastAsia="宋体" w:cs="Times New Roman"/>
          <w:color w:val="auto"/>
          <w:sz w:val="24"/>
          <w:szCs w:val="24"/>
          <w:u w:val="none" w:color="auto"/>
        </w:rPr>
        <w:t>项目生产过程中，主要废气为</w:t>
      </w:r>
      <w:r>
        <w:rPr>
          <w:rFonts w:hint="default" w:ascii="Times New Roman" w:hAnsi="Times New Roman" w:cs="Times New Roman"/>
          <w:color w:val="auto"/>
          <w:sz w:val="24"/>
          <w:szCs w:val="24"/>
          <w:u w:val="none" w:color="auto"/>
          <w:lang w:eastAsia="zh-CN"/>
        </w:rPr>
        <w:t>投料</w:t>
      </w:r>
      <w:r>
        <w:rPr>
          <w:rFonts w:hint="eastAsia" w:ascii="Times New Roman" w:hAnsi="Times New Roman" w:cs="Times New Roman"/>
          <w:color w:val="auto"/>
          <w:sz w:val="24"/>
          <w:szCs w:val="24"/>
          <w:u w:val="none" w:color="auto"/>
          <w:lang w:eastAsia="zh-CN"/>
        </w:rPr>
        <w:t>、</w:t>
      </w:r>
      <w:r>
        <w:rPr>
          <w:rFonts w:hint="eastAsia" w:ascii="Times New Roman" w:hAnsi="Times New Roman" w:cs="Times New Roman"/>
          <w:color w:val="auto"/>
          <w:sz w:val="24"/>
          <w:szCs w:val="24"/>
          <w:u w:val="none" w:color="auto"/>
          <w:lang w:val="en-US" w:eastAsia="zh-CN"/>
        </w:rPr>
        <w:t>混料</w:t>
      </w:r>
      <w:r>
        <w:rPr>
          <w:rFonts w:hint="eastAsia" w:ascii="Times New Roman" w:hAnsi="Times New Roman" w:cs="Times New Roman"/>
          <w:color w:val="auto"/>
          <w:sz w:val="24"/>
          <w:szCs w:val="24"/>
          <w:u w:val="none" w:color="auto"/>
          <w:lang w:eastAsia="zh-CN"/>
        </w:rPr>
        <w:t>、</w:t>
      </w:r>
      <w:r>
        <w:rPr>
          <w:rFonts w:hint="eastAsia" w:ascii="Times New Roman" w:hAnsi="Times New Roman" w:cs="Times New Roman"/>
          <w:color w:val="auto"/>
          <w:sz w:val="24"/>
          <w:szCs w:val="24"/>
          <w:u w:val="none" w:color="auto"/>
          <w:lang w:val="en-US" w:eastAsia="zh-CN"/>
        </w:rPr>
        <w:t>破碎、磨粉</w:t>
      </w:r>
      <w:r>
        <w:rPr>
          <w:rFonts w:hint="default" w:ascii="Times New Roman" w:hAnsi="Times New Roman" w:cs="Times New Roman"/>
          <w:color w:val="auto"/>
          <w:sz w:val="24"/>
          <w:szCs w:val="24"/>
          <w:u w:val="none" w:color="auto"/>
          <w:lang w:eastAsia="zh-CN"/>
        </w:rPr>
        <w:t>等</w:t>
      </w:r>
      <w:r>
        <w:rPr>
          <w:rFonts w:hint="default" w:ascii="Times New Roman" w:hAnsi="Times New Roman" w:eastAsia="宋体" w:cs="Times New Roman"/>
          <w:color w:val="auto"/>
          <w:sz w:val="24"/>
          <w:szCs w:val="24"/>
          <w:u w:val="none" w:color="auto"/>
        </w:rPr>
        <w:t>工段产生的粉尘</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挤出、覆膜</w:t>
      </w:r>
      <w:r>
        <w:rPr>
          <w:rFonts w:hint="default" w:ascii="Times New Roman" w:hAnsi="Times New Roman" w:cs="Times New Roman"/>
          <w:color w:val="auto"/>
          <w:sz w:val="24"/>
          <w:szCs w:val="24"/>
          <w:u w:val="none" w:color="auto"/>
          <w:lang w:eastAsia="zh-CN"/>
        </w:rPr>
        <w:t>工</w:t>
      </w:r>
      <w:r>
        <w:rPr>
          <w:rFonts w:hint="default" w:ascii="Times New Roman" w:hAnsi="Times New Roman" w:eastAsia="宋体" w:cs="Times New Roman"/>
          <w:color w:val="auto"/>
          <w:sz w:val="24"/>
          <w:szCs w:val="24"/>
          <w:u w:val="none" w:color="auto"/>
        </w:rPr>
        <w:t>段产生的</w:t>
      </w:r>
      <w:r>
        <w:rPr>
          <w:rFonts w:hint="default" w:ascii="Times New Roman" w:hAnsi="Times New Roman" w:cs="Times New Roman"/>
          <w:color w:val="auto"/>
          <w:sz w:val="24"/>
          <w:szCs w:val="24"/>
          <w:u w:val="none" w:color="auto"/>
          <w:lang w:eastAsia="zh-CN"/>
        </w:rPr>
        <w:t>非甲烷总</w:t>
      </w:r>
      <w:r>
        <w:rPr>
          <w:rFonts w:hint="eastAsia" w:ascii="Times New Roman" w:hAnsi="Times New Roman" w:cs="Times New Roman"/>
          <w:color w:val="auto"/>
          <w:sz w:val="24"/>
          <w:szCs w:val="24"/>
          <w:u w:val="none" w:color="auto"/>
          <w:lang w:val="en-US" w:eastAsia="zh-CN"/>
        </w:rPr>
        <w:t>烃，挤出工段产生的氯化氢和覆膜工段产生的二甲苯</w:t>
      </w:r>
      <w:r>
        <w:rPr>
          <w:rFonts w:hint="default" w:ascii="Times New Roman" w:hAnsi="Times New Roman" w:eastAsia="宋体" w:cs="Times New Roman"/>
          <w:color w:val="auto"/>
          <w:sz w:val="24"/>
          <w:szCs w:val="24"/>
          <w:u w:val="none" w:color="auto"/>
        </w:rPr>
        <w:t>。</w:t>
      </w:r>
    </w:p>
    <w:p w14:paraId="303909DF">
      <w:pPr>
        <w:pStyle w:val="20"/>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主要原料投料</w:t>
      </w:r>
      <w:r>
        <w:rPr>
          <w:rFonts w:hint="default" w:ascii="Times New Roman" w:hAnsi="Times New Roman" w:cs="Times New Roman"/>
          <w:color w:val="auto"/>
          <w:u w:val="none" w:color="auto"/>
        </w:rPr>
        <w:t>废气治理措施及达标可行性分析</w:t>
      </w:r>
    </w:p>
    <w:p w14:paraId="57B1EC3D">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eastAsia"/>
          <w:color w:val="auto"/>
          <w:u w:val="none" w:color="auto"/>
          <w:lang w:val="en-US" w:eastAsia="zh-CN"/>
        </w:rPr>
        <w:t>本项目设置一套全自动供料系统，本项目处理好的PVC再生塑料由磨粉机通过管道直接输入供料系统，不产生投料粉尘；其他的外购粉料中，主要原料采用叉车及提升机提升至投料口，由吨包底部进行投料，投料产生的粉尘由设备自带布袋除尘器收集回用，其他辅料采用人工投入供料系统中的小料投料设备，小料投料口为半封闭状态，本项目拟在供料系统中的小料投料设备上方设置抽风集气罩对逸散的粉尘进行收集，集气罩采用顶吸收集，结合软帘、挡板等柔性材料，贴近废气源形成封闭负压空间，经布袋除尘器处理后与后续混料、破碎、磨粉粉尘一并通过一根15m高DA001排气筒排放</w:t>
      </w:r>
      <w:r>
        <w:rPr>
          <w:rFonts w:hint="eastAsia" w:ascii="Times New Roman" w:hAnsi="Times New Roman" w:eastAsia="宋体" w:cs="Times New Roman"/>
          <w:color w:val="auto"/>
          <w:sz w:val="24"/>
          <w:szCs w:val="24"/>
          <w:u w:val="none" w:color="auto"/>
          <w:lang w:val="en-US" w:eastAsia="zh-CN"/>
        </w:rPr>
        <w:t>。</w:t>
      </w:r>
    </w:p>
    <w:p w14:paraId="17D6E5A7">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cs="Times New Roman"/>
          <w:color w:val="auto"/>
          <w:u w:val="none" w:color="auto"/>
          <w:lang w:val="en-US" w:eastAsia="zh-CN"/>
        </w:rPr>
        <w:t>（1）</w:t>
      </w:r>
      <w:r>
        <w:rPr>
          <w:rFonts w:hint="default" w:ascii="Times New Roman" w:hAnsi="Times New Roman" w:eastAsia="宋体" w:cs="Times New Roman"/>
          <w:color w:val="auto"/>
          <w:sz w:val="24"/>
          <w:szCs w:val="24"/>
          <w:u w:val="none" w:color="auto"/>
        </w:rPr>
        <w:t>本项目采用</w:t>
      </w:r>
      <w:r>
        <w:rPr>
          <w:rFonts w:hint="eastAsia" w:ascii="Times New Roman" w:hAnsi="Times New Roman" w:eastAsia="宋体" w:cs="Times New Roman"/>
          <w:color w:val="auto"/>
          <w:sz w:val="24"/>
          <w:szCs w:val="24"/>
          <w:u w:val="none" w:color="auto"/>
          <w:lang w:val="en-US" w:eastAsia="zh-CN"/>
        </w:rPr>
        <w:t>设备自带</w:t>
      </w:r>
      <w:r>
        <w:rPr>
          <w:rFonts w:hint="default" w:ascii="Times New Roman" w:hAnsi="Times New Roman" w:eastAsia="宋体" w:cs="Times New Roman"/>
          <w:color w:val="auto"/>
          <w:sz w:val="24"/>
          <w:szCs w:val="24"/>
          <w:u w:val="none" w:color="auto"/>
        </w:rPr>
        <w:t>布袋除尘器对</w:t>
      </w:r>
      <w:r>
        <w:rPr>
          <w:rFonts w:hint="eastAsia" w:ascii="Times New Roman" w:hAnsi="Times New Roman" w:eastAsia="宋体" w:cs="Times New Roman"/>
          <w:color w:val="auto"/>
          <w:sz w:val="24"/>
          <w:szCs w:val="24"/>
          <w:u w:val="none" w:color="auto"/>
          <w:lang w:val="en-US" w:eastAsia="zh-CN"/>
        </w:rPr>
        <w:t>主要外购粉料投料</w:t>
      </w:r>
      <w:r>
        <w:rPr>
          <w:rFonts w:hint="default" w:ascii="Times New Roman" w:hAnsi="Times New Roman" w:eastAsia="宋体" w:cs="Times New Roman"/>
          <w:color w:val="auto"/>
          <w:sz w:val="24"/>
          <w:szCs w:val="24"/>
          <w:u w:val="none" w:color="auto"/>
        </w:rPr>
        <w:t>粉尘进行处理</w:t>
      </w:r>
      <w:r>
        <w:rPr>
          <w:rFonts w:hint="eastAsia" w:ascii="Times New Roman" w:hAnsi="Times New Roman" w:eastAsia="宋体" w:cs="Times New Roman"/>
          <w:color w:val="auto"/>
          <w:sz w:val="24"/>
          <w:szCs w:val="24"/>
          <w:u w:val="none" w:color="auto"/>
          <w:lang w:val="en-US" w:eastAsia="zh-CN"/>
        </w:rPr>
        <w:t>及无组织排放</w:t>
      </w:r>
      <w:r>
        <w:rPr>
          <w:rFonts w:hint="default" w:ascii="Times New Roman" w:hAnsi="Times New Roman" w:eastAsia="宋体" w:cs="Times New Roman"/>
          <w:color w:val="auto"/>
          <w:sz w:val="24"/>
          <w:szCs w:val="24"/>
          <w:u w:val="none" w:color="auto"/>
        </w:rPr>
        <w:t>可行性分析</w:t>
      </w:r>
    </w:p>
    <w:p w14:paraId="4BC6D806">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布袋除尘器是用滤袋将含尘气流过滤的除尘装置，由滤袋、箱体、灰斗、清灰装置、排灰机构组成。袋式除尘器为1um的细微尘净化效率大于</w:t>
      </w:r>
      <w:r>
        <w:rPr>
          <w:rFonts w:hint="eastAsia" w:ascii="Times New Roman" w:hAnsi="Times New Roman" w:eastAsia="宋体" w:cs="Times New Roman"/>
          <w:color w:val="auto"/>
          <w:sz w:val="24"/>
          <w:szCs w:val="24"/>
          <w:u w:val="none" w:color="auto"/>
          <w:lang w:val="en-US" w:eastAsia="zh-CN"/>
        </w:rPr>
        <w:t>95</w:t>
      </w:r>
      <w:r>
        <w:rPr>
          <w:rFonts w:hint="default" w:ascii="Times New Roman" w:hAnsi="Times New Roman" w:eastAsia="宋体" w:cs="Times New Roman"/>
          <w:color w:val="auto"/>
          <w:sz w:val="24"/>
          <w:szCs w:val="24"/>
          <w:u w:val="none" w:color="auto"/>
        </w:rPr>
        <w:t>%；压力损失1000~1500pa。该设备结构简单、操作方便、可回收干料，可捕集不同性质的粉尘。</w:t>
      </w:r>
    </w:p>
    <w:p w14:paraId="464F1611">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除尘原理描述如下，含尘气体由灰斗上部进风口进入后，在挡风板的作用下，气流向上流动，流速降低，部分大颗粒粉尘由于惯性力的作用被分离出来落入灰斗。含尘气体进入中箱体经滤袋的过滤净化，粉尘被阻留在滤袋的外表面，净化后的气体经滤袋口进入上箱体，由出风口排出。随着滤袋表面粉尘不断增加，除尘器进出口压差也随之上升。当除尘器阻力达到设定值时，控制系统发出清灰指令，清灰系统开始工作。首先电磁阀接到信号后立即开启，使小膜片上部气室的压缩空气被排放，由于小膜片两端受力的改变，使被小膜片关闭的排气通道开启，大膜片上部气室的压缩空气由此通道排出，大膜片两端受力改变，使大膜片动作，将关闭的输出口打开，气包内的压缩空气经由输出管和喷吹管喷入袋内，实现清灰。当控制信号停止后，电磁阀关闭，小膜片、大膜片相继复位，喷吹停止。脉冲阀是脉冲袋式除尘器关键部件。</w:t>
      </w:r>
    </w:p>
    <w:p w14:paraId="0238DD40">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根据《排污许可证申请与核发技术规范 橡胶和塑料制品工业》（HJ1122-2020）表A.2可知，袋式除尘属于废气污染防治可行技术。</w:t>
      </w:r>
    </w:p>
    <w:p w14:paraId="3DC07CEF">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废气处理工艺流程如下图所示：</w:t>
      </w:r>
    </w:p>
    <w:p w14:paraId="24057086">
      <w:pPr>
        <w:keepNext w:val="0"/>
        <w:keepLines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drawing>
          <wp:inline distT="0" distB="0" distL="114300" distR="114300">
            <wp:extent cx="2771140" cy="2038350"/>
            <wp:effectExtent l="0" t="0" r="10160" b="0"/>
            <wp:docPr id="1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pic:cNvPicPr>
                      <a:picLocks noChangeAspect="1"/>
                    </pic:cNvPicPr>
                  </pic:nvPicPr>
                  <pic:blipFill>
                    <a:blip r:embed="rId46"/>
                    <a:stretch>
                      <a:fillRect/>
                    </a:stretch>
                  </pic:blipFill>
                  <pic:spPr>
                    <a:xfrm>
                      <a:off x="0" y="0"/>
                      <a:ext cx="2771140" cy="2038350"/>
                    </a:xfrm>
                    <a:prstGeom prst="rect">
                      <a:avLst/>
                    </a:prstGeom>
                    <a:noFill/>
                    <a:ln>
                      <a:noFill/>
                    </a:ln>
                  </pic:spPr>
                </pic:pic>
              </a:graphicData>
            </a:graphic>
          </wp:inline>
        </w:drawing>
      </w:r>
    </w:p>
    <w:p w14:paraId="647A85A4">
      <w:pPr>
        <w:pStyle w:val="30"/>
        <w:bidi w:val="0"/>
        <w:rPr>
          <w:rFonts w:hint="default"/>
          <w:color w:val="auto"/>
          <w:u w:val="none" w:color="auto"/>
        </w:rPr>
      </w:pPr>
      <w:r>
        <w:rPr>
          <w:rFonts w:hint="default" w:ascii="Times New Roman" w:hAnsi="Times New Roman" w:eastAsia="宋体" w:cs="Times New Roman"/>
          <w:color w:val="auto"/>
          <w:sz w:val="21"/>
          <w:szCs w:val="21"/>
          <w:u w:val="none" w:color="auto"/>
        </w:rPr>
        <w:t>图</w:t>
      </w:r>
      <w:r>
        <w:rPr>
          <w:rFonts w:hint="eastAsia" w:ascii="Times New Roman" w:hAnsi="Times New Roman" w:eastAsia="宋体" w:cs="Times New Roman"/>
          <w:color w:val="auto"/>
          <w:sz w:val="21"/>
          <w:szCs w:val="21"/>
          <w:u w:val="none" w:color="auto"/>
          <w:lang w:val="en-US" w:eastAsia="zh-CN"/>
        </w:rPr>
        <w:t>7</w:t>
      </w:r>
      <w:r>
        <w:rPr>
          <w:rFonts w:hint="default" w:ascii="Times New Roman" w:hAnsi="Times New Roman"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-1 布袋除尘处理工艺流程图</w:t>
      </w:r>
    </w:p>
    <w:p w14:paraId="6CA3D38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）达标可行性</w:t>
      </w:r>
    </w:p>
    <w:p w14:paraId="1B52424A">
      <w:pPr>
        <w:pStyle w:val="20"/>
        <w:ind w:firstLine="480"/>
        <w:rPr>
          <w:rFonts w:hint="default" w:ascii="Times New Roman" w:hAnsi="Times New Roman" w:cs="Times New Roman"/>
          <w:color w:val="auto"/>
          <w:sz w:val="24"/>
          <w:u w:val="none" w:color="auto"/>
          <w:lang w:eastAsia="zh-CN"/>
        </w:rPr>
      </w:pPr>
      <w:r>
        <w:rPr>
          <w:rFonts w:hint="default" w:ascii="Times New Roman" w:hAnsi="Times New Roman" w:cs="Times New Roman"/>
          <w:color w:val="auto"/>
          <w:u w:val="none" w:color="auto"/>
          <w:lang w:val="en-US" w:eastAsia="zh-CN"/>
        </w:rPr>
        <w:t>经处理后，</w:t>
      </w:r>
      <w:r>
        <w:rPr>
          <w:rFonts w:hint="eastAsia" w:ascii="Times New Roman" w:hAnsi="Times New Roman" w:cs="Times New Roman"/>
          <w:color w:val="auto"/>
          <w:u w:val="none" w:color="auto"/>
          <w:lang w:val="en-US" w:eastAsia="zh-CN"/>
        </w:rPr>
        <w:t>主要原料投料粉尘</w:t>
      </w:r>
      <w:r>
        <w:rPr>
          <w:rFonts w:hint="default" w:ascii="Times New Roman" w:hAnsi="Times New Roman" w:cs="Times New Roman"/>
          <w:color w:val="auto"/>
          <w:u w:val="none" w:color="auto"/>
          <w:lang w:val="en-US" w:eastAsia="zh-CN"/>
        </w:rPr>
        <w:t>排放量为</w:t>
      </w:r>
      <w:r>
        <w:rPr>
          <w:rFonts w:hint="eastAsia" w:ascii="Times New Roman" w:hAnsi="Times New Roman" w:eastAsia="宋体" w:cs="Times New Roman"/>
          <w:b w:val="0"/>
          <w:bCs w:val="0"/>
          <w:color w:val="auto"/>
          <w:sz w:val="24"/>
          <w:highlight w:val="none"/>
          <w:u w:val="none" w:color="auto"/>
          <w:vertAlign w:val="baseline"/>
          <w:lang w:val="en-US" w:eastAsia="zh-CN"/>
        </w:rPr>
        <w:t>0.357t/a（0.075kg/h）</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满足</w:t>
      </w:r>
      <w:r>
        <w:rPr>
          <w:rFonts w:hint="eastAsia"/>
          <w:color w:val="auto"/>
          <w:u w:val="none" w:color="auto"/>
          <w:lang w:val="en-US" w:eastAsia="zh-CN"/>
        </w:rPr>
        <w:t>《大气污染物综合排放标准》（GB 16297-1996）表2中的无组织排放限值</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1.0</w:t>
      </w:r>
      <w:r>
        <w:rPr>
          <w:rFonts w:hint="default" w:ascii="Times New Roman" w:hAnsi="Times New Roman" w:cs="Times New Roman"/>
          <w:color w:val="auto"/>
          <w:u w:val="none" w:color="auto"/>
          <w:lang w:val="en-US" w:eastAsia="zh-CN"/>
        </w:rPr>
        <w:t>mg/m</w:t>
      </w:r>
      <w:r>
        <w:rPr>
          <w:rFonts w:hint="default"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default" w:ascii="Times New Roman" w:hAnsi="Times New Roman" w:cs="Times New Roman"/>
          <w:color w:val="auto"/>
          <w:sz w:val="24"/>
          <w:u w:val="none" w:color="auto"/>
          <w:lang w:eastAsia="zh-CN"/>
        </w:rPr>
        <w:t>。</w:t>
      </w:r>
    </w:p>
    <w:p w14:paraId="444831CD">
      <w:pPr>
        <w:pStyle w:val="20"/>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破碎、磨粉、其他辅料投料、混料</w:t>
      </w:r>
      <w:r>
        <w:rPr>
          <w:rFonts w:hint="default" w:ascii="Times New Roman" w:hAnsi="Times New Roman" w:cs="Times New Roman"/>
          <w:color w:val="auto"/>
          <w:u w:val="none" w:color="auto"/>
        </w:rPr>
        <w:t>废气治理措施及达标可行性分析</w:t>
      </w:r>
    </w:p>
    <w:p w14:paraId="197ACBB2">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本项目</w:t>
      </w:r>
      <w:r>
        <w:rPr>
          <w:rFonts w:hint="eastAsia" w:ascii="Times New Roman" w:hAnsi="Times New Roman" w:cs="Times New Roman"/>
          <w:color w:val="auto"/>
          <w:u w:val="none" w:color="auto"/>
          <w:lang w:val="en-US" w:eastAsia="zh-CN"/>
        </w:rPr>
        <w:t>破碎、磨粉、其他辅料投料、混料</w:t>
      </w:r>
      <w:r>
        <w:rPr>
          <w:rFonts w:hint="eastAsia" w:ascii="Times New Roman" w:hAnsi="Times New Roman" w:eastAsia="宋体" w:cs="Times New Roman"/>
          <w:color w:val="auto"/>
          <w:sz w:val="24"/>
          <w:szCs w:val="24"/>
          <w:u w:val="none" w:color="auto"/>
          <w:lang w:val="en-US" w:eastAsia="zh-CN"/>
        </w:rPr>
        <w:t>产生的粉尘</w:t>
      </w:r>
      <w:r>
        <w:rPr>
          <w:rFonts w:hint="default" w:ascii="Times New Roman" w:hAnsi="Times New Roman" w:eastAsia="宋体" w:cs="Times New Roman"/>
          <w:color w:val="auto"/>
          <w:sz w:val="24"/>
          <w:szCs w:val="24"/>
          <w:u w:val="none" w:color="auto"/>
        </w:rPr>
        <w:t>经</w:t>
      </w:r>
      <w:r>
        <w:rPr>
          <w:rFonts w:hint="eastAsia" w:ascii="Times New Roman" w:hAnsi="Times New Roman" w:eastAsia="宋体" w:cs="Times New Roman"/>
          <w:color w:val="auto"/>
          <w:sz w:val="24"/>
          <w:szCs w:val="24"/>
          <w:u w:val="none" w:color="auto"/>
          <w:lang w:val="en-US" w:eastAsia="zh-CN"/>
        </w:rPr>
        <w:t>集气罩收集</w:t>
      </w:r>
      <w:r>
        <w:rPr>
          <w:rFonts w:hint="eastAsia" w:ascii="Times New Roman" w:hAnsi="Times New Roman" w:eastAsia="宋体" w:cs="Times New Roman"/>
          <w:color w:val="auto"/>
          <w:sz w:val="24"/>
          <w:szCs w:val="24"/>
          <w:u w:val="none" w:color="auto"/>
          <w:lang w:eastAsia="zh-CN"/>
        </w:rPr>
        <w:t>+布袋除尘器</w:t>
      </w:r>
      <w:r>
        <w:rPr>
          <w:rFonts w:hint="eastAsia" w:ascii="Times New Roman" w:hAnsi="Times New Roman" w:eastAsia="宋体" w:cs="Times New Roman"/>
          <w:color w:val="auto"/>
          <w:sz w:val="24"/>
          <w:szCs w:val="24"/>
          <w:u w:val="none" w:color="auto"/>
          <w:lang w:val="en-US" w:eastAsia="zh-CN"/>
        </w:rPr>
        <w:t>处理</w:t>
      </w:r>
      <w:r>
        <w:rPr>
          <w:rFonts w:hint="default" w:ascii="Times New Roman" w:hAnsi="Times New Roman" w:eastAsia="宋体" w:cs="Times New Roman"/>
          <w:color w:val="auto"/>
          <w:sz w:val="24"/>
          <w:szCs w:val="24"/>
          <w:u w:val="none" w:color="auto"/>
        </w:rPr>
        <w:t>后，经</w:t>
      </w:r>
      <w:r>
        <w:rPr>
          <w:rFonts w:hint="eastAsia" w:ascii="Times New Roman" w:hAnsi="Times New Roman" w:eastAsia="宋体" w:cs="Times New Roman"/>
          <w:color w:val="auto"/>
          <w:sz w:val="24"/>
          <w:szCs w:val="24"/>
          <w:u w:val="none" w:color="auto"/>
          <w:lang w:val="en-US" w:eastAsia="zh-CN"/>
        </w:rPr>
        <w:t>15</w:t>
      </w:r>
      <w:r>
        <w:rPr>
          <w:rFonts w:hint="default" w:ascii="Times New Roman" w:hAnsi="Times New Roman" w:eastAsia="宋体" w:cs="Times New Roman"/>
          <w:color w:val="auto"/>
          <w:sz w:val="24"/>
          <w:szCs w:val="24"/>
          <w:u w:val="none" w:color="auto"/>
        </w:rPr>
        <w:t>m高排气筒</w:t>
      </w:r>
      <w:r>
        <w:rPr>
          <w:rFonts w:hint="default" w:ascii="Times New Roman" w:hAnsi="Times New Roman" w:cs="Times New Roman"/>
          <w:color w:val="auto"/>
          <w:sz w:val="24"/>
          <w:szCs w:val="24"/>
          <w:u w:val="none" w:color="auto"/>
          <w:lang w:eastAsia="zh-CN"/>
        </w:rPr>
        <w:t>（</w:t>
      </w:r>
      <w:r>
        <w:rPr>
          <w:rFonts w:hint="eastAsia" w:cs="Times New Roman"/>
          <w:color w:val="auto"/>
          <w:sz w:val="24"/>
          <w:szCs w:val="24"/>
          <w:u w:val="none" w:color="auto"/>
          <w:lang w:val="en-US" w:eastAsia="zh-CN"/>
        </w:rPr>
        <w:t>DA001</w:t>
      </w:r>
      <w:r>
        <w:rPr>
          <w:rFonts w:hint="default" w:ascii="Times New Roman" w:hAnsi="Times New Roman" w:cs="Times New Roman"/>
          <w:color w:val="auto"/>
          <w:sz w:val="24"/>
          <w:szCs w:val="24"/>
          <w:u w:val="none" w:color="auto"/>
          <w:lang w:val="en-US" w:eastAsia="zh-CN"/>
        </w:rPr>
        <w:t>排气筒</w:t>
      </w:r>
      <w:r>
        <w:rPr>
          <w:rFonts w:hint="default" w:ascii="Times New Roman" w:hAnsi="Times New Roman"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粉尘收集效率约为</w:t>
      </w:r>
      <w:r>
        <w:rPr>
          <w:rFonts w:hint="eastAsia" w:ascii="Times New Roman" w:hAnsi="Times New Roman" w:eastAsia="宋体" w:cs="Times New Roman"/>
          <w:color w:val="auto"/>
          <w:sz w:val="24"/>
          <w:szCs w:val="24"/>
          <w:u w:val="none" w:color="auto"/>
          <w:lang w:val="en-US" w:eastAsia="zh-CN"/>
        </w:rPr>
        <w:t>90</w:t>
      </w:r>
      <w:r>
        <w:rPr>
          <w:rFonts w:hint="default" w:ascii="Times New Roman" w:hAnsi="Times New Roman" w:eastAsia="宋体" w:cs="Times New Roman"/>
          <w:color w:val="auto"/>
          <w:sz w:val="24"/>
          <w:szCs w:val="24"/>
          <w:u w:val="none" w:color="auto"/>
        </w:rPr>
        <w:t>%，处理效率</w:t>
      </w:r>
      <w:r>
        <w:rPr>
          <w:rFonts w:hint="eastAsia" w:ascii="Times New Roman" w:hAnsi="Times New Roman" w:eastAsia="宋体" w:cs="Times New Roman"/>
          <w:color w:val="auto"/>
          <w:sz w:val="24"/>
          <w:szCs w:val="24"/>
          <w:u w:val="none" w:color="auto"/>
          <w:lang w:val="en-US" w:eastAsia="zh-CN"/>
        </w:rPr>
        <w:t>不低于</w:t>
      </w:r>
      <w:r>
        <w:rPr>
          <w:rFonts w:hint="eastAsia" w:ascii="Times New Roman" w:hAnsi="Times New Roman" w:cs="Times New Roman"/>
          <w:color w:val="auto"/>
          <w:sz w:val="24"/>
          <w:szCs w:val="24"/>
          <w:u w:val="none" w:color="auto"/>
          <w:lang w:val="en-US" w:eastAsia="zh-CN"/>
        </w:rPr>
        <w:t>99</w:t>
      </w:r>
      <w:r>
        <w:rPr>
          <w:rFonts w:hint="default" w:ascii="Times New Roman" w:hAnsi="Times New Roman" w:eastAsia="宋体" w:cs="Times New Roman"/>
          <w:color w:val="auto"/>
          <w:sz w:val="24"/>
          <w:szCs w:val="24"/>
          <w:u w:val="none" w:color="auto"/>
        </w:rPr>
        <w:t>%</w:t>
      </w:r>
      <w:r>
        <w:rPr>
          <w:rFonts w:hint="eastAsia" w:ascii="Times New Roman" w:hAnsi="Times New Roman" w:eastAsia="宋体" w:cs="Times New Roman"/>
          <w:color w:val="auto"/>
          <w:sz w:val="24"/>
          <w:szCs w:val="24"/>
          <w:u w:val="none" w:color="auto"/>
          <w:lang w:val="en-US" w:eastAsia="zh-CN"/>
        </w:rPr>
        <w:t>。</w:t>
      </w:r>
    </w:p>
    <w:p w14:paraId="1D9A71ED">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cs="Times New Roman"/>
          <w:color w:val="auto"/>
          <w:u w:val="none" w:color="auto"/>
          <w:lang w:val="en-US" w:eastAsia="zh-CN"/>
        </w:rPr>
        <w:t>（1）</w:t>
      </w:r>
      <w:r>
        <w:rPr>
          <w:rFonts w:hint="default" w:ascii="Times New Roman" w:hAnsi="Times New Roman" w:eastAsia="宋体" w:cs="Times New Roman"/>
          <w:color w:val="auto"/>
          <w:sz w:val="24"/>
          <w:szCs w:val="24"/>
          <w:u w:val="none" w:color="auto"/>
        </w:rPr>
        <w:t>本项目采用布袋除尘器对粉尘进行处理可行性分析</w:t>
      </w:r>
    </w:p>
    <w:p w14:paraId="29D03146">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布袋除尘器是用滤袋将含尘气流过滤的除尘装置，由滤袋、箱体、灰斗、清灰装置、排灰机构组成。袋式除尘器为1um的细微尘净化效率大于</w:t>
      </w:r>
      <w:r>
        <w:rPr>
          <w:rFonts w:hint="eastAsia" w:ascii="Times New Roman" w:hAnsi="Times New Roman" w:eastAsia="宋体" w:cs="Times New Roman"/>
          <w:color w:val="auto"/>
          <w:sz w:val="24"/>
          <w:szCs w:val="24"/>
          <w:u w:val="none" w:color="auto"/>
          <w:lang w:val="en-US" w:eastAsia="zh-CN"/>
        </w:rPr>
        <w:t>95</w:t>
      </w:r>
      <w:r>
        <w:rPr>
          <w:rFonts w:hint="default" w:ascii="Times New Roman" w:hAnsi="Times New Roman" w:eastAsia="宋体" w:cs="Times New Roman"/>
          <w:color w:val="auto"/>
          <w:sz w:val="24"/>
          <w:szCs w:val="24"/>
          <w:u w:val="none" w:color="auto"/>
        </w:rPr>
        <w:t>%；压力损失1000~1500pa。该设备结构简单、操作方便、可回收干料，可捕集不同性质的粉尘。</w:t>
      </w:r>
    </w:p>
    <w:p w14:paraId="49B6C4E5">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除尘原理描述如下，含尘气体由灰斗上部进风口进入后，在挡风板的作用下，气流向上流动，流速降低，部分大颗粒粉尘由于惯性力的作用被分离出来落入灰斗。含尘气体进入中箱体经滤袋的过滤净化，粉尘被阻留在滤袋的外表面，净化后的气体经滤袋口进入上箱体，由出风口排出。随着滤袋表面粉尘不断增加，除尘器进出口压差也随之上升。当除尘器阻力达到设定值时，控制系统发出清灰指令，清灰系统开始工作。首先电磁阀接到信号后立即开启，使小膜片上部气室的压缩空气被排放，由于小膜片两端受力的改变，使被小膜片关闭的排气通道开启，大膜片上部气室的压缩空气由此通道排出，大膜片两端受力改变，使大膜片动作，将关闭的输出口打开，气包内的压缩空气经由输出管和喷吹管喷入袋内，实现清灰。当控制信号停止后，电磁阀关闭，小膜片、大膜片相继复位，喷吹停止。脉冲阀是脉冲袋式除尘器关键部件。</w:t>
      </w:r>
    </w:p>
    <w:p w14:paraId="01354EB6">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sz w:val="24"/>
          <w:szCs w:val="24"/>
          <w:u w:val="none" w:color="auto"/>
          <w:lang w:val="en-US" w:eastAsia="zh-CN"/>
        </w:rPr>
        <w:t>根据《排污许可证申请与核发技术规范 橡胶和塑料制品工业》（HJ1122-2020）表A.2可知，袋式除尘属于废气污染防治可行技术。</w:t>
      </w:r>
    </w:p>
    <w:p w14:paraId="270DE3E6">
      <w:pPr>
        <w:pStyle w:val="20"/>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废气处理工艺流程如下图所示：</w:t>
      </w:r>
    </w:p>
    <w:p w14:paraId="03A14CAD">
      <w:pPr>
        <w:keepNext w:val="0"/>
        <w:keepLines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drawing>
          <wp:inline distT="0" distB="0" distL="114300" distR="114300">
            <wp:extent cx="2771140" cy="2038350"/>
            <wp:effectExtent l="0" t="0" r="10160" b="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4"/>
                    <pic:cNvPicPr>
                      <a:picLocks noChangeAspect="1"/>
                    </pic:cNvPicPr>
                  </pic:nvPicPr>
                  <pic:blipFill>
                    <a:blip r:embed="rId46"/>
                    <a:stretch>
                      <a:fillRect/>
                    </a:stretch>
                  </pic:blipFill>
                  <pic:spPr>
                    <a:xfrm>
                      <a:off x="0" y="0"/>
                      <a:ext cx="2771140" cy="2038350"/>
                    </a:xfrm>
                    <a:prstGeom prst="rect">
                      <a:avLst/>
                    </a:prstGeom>
                    <a:noFill/>
                    <a:ln>
                      <a:noFill/>
                    </a:ln>
                  </pic:spPr>
                </pic:pic>
              </a:graphicData>
            </a:graphic>
          </wp:inline>
        </w:drawing>
      </w:r>
    </w:p>
    <w:p w14:paraId="31AB902F">
      <w:pPr>
        <w:pStyle w:val="30"/>
        <w:bidi w:val="0"/>
        <w:rPr>
          <w:rFonts w:hint="default"/>
          <w:color w:val="auto"/>
          <w:u w:val="none" w:color="auto"/>
        </w:rPr>
      </w:pPr>
      <w:r>
        <w:rPr>
          <w:rFonts w:hint="default" w:ascii="Times New Roman" w:hAnsi="Times New Roman" w:eastAsia="宋体" w:cs="Times New Roman"/>
          <w:color w:val="auto"/>
          <w:sz w:val="21"/>
          <w:szCs w:val="21"/>
          <w:u w:val="none" w:color="auto"/>
        </w:rPr>
        <w:t>图</w:t>
      </w:r>
      <w:r>
        <w:rPr>
          <w:rFonts w:hint="eastAsia" w:ascii="Times New Roman" w:hAnsi="Times New Roman" w:eastAsia="宋体" w:cs="Times New Roman"/>
          <w:color w:val="auto"/>
          <w:sz w:val="21"/>
          <w:szCs w:val="21"/>
          <w:u w:val="none" w:color="auto"/>
          <w:lang w:val="en-US" w:eastAsia="zh-CN"/>
        </w:rPr>
        <w:t>7</w:t>
      </w:r>
      <w:r>
        <w:rPr>
          <w:rFonts w:hint="default" w:ascii="Times New Roman" w:hAnsi="Times New Roman" w:cs="Times New Roman"/>
          <w:color w:val="auto"/>
          <w:sz w:val="21"/>
          <w:szCs w:val="21"/>
          <w:u w:val="none" w:color="auto"/>
          <w:lang w:val="en-US" w:eastAsia="zh-CN"/>
        </w:rPr>
        <w:t>.2</w:t>
      </w:r>
      <w:r>
        <w:rPr>
          <w:rFonts w:hint="default" w:ascii="Times New Roman" w:hAnsi="Times New Roman" w:eastAsia="宋体" w:cs="Times New Roman"/>
          <w:color w:val="auto"/>
          <w:sz w:val="21"/>
          <w:szCs w:val="21"/>
          <w:u w:val="none" w:color="auto"/>
        </w:rPr>
        <w:t>-1 布袋除尘处理工艺流程图</w:t>
      </w:r>
    </w:p>
    <w:p w14:paraId="754F5E5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）达标可行性</w:t>
      </w:r>
    </w:p>
    <w:p w14:paraId="34B765D0">
      <w:pPr>
        <w:pStyle w:val="20"/>
        <w:ind w:firstLine="480"/>
        <w:rPr>
          <w:rFonts w:hint="default" w:ascii="Times New Roman" w:hAnsi="Times New Roman" w:cs="Times New Roman"/>
          <w:color w:val="auto"/>
          <w:sz w:val="24"/>
          <w:u w:val="none" w:color="auto"/>
          <w:lang w:eastAsia="zh-CN"/>
        </w:rPr>
      </w:pPr>
      <w:r>
        <w:rPr>
          <w:rFonts w:hint="default" w:ascii="Times New Roman" w:hAnsi="Times New Roman" w:cs="Times New Roman"/>
          <w:color w:val="auto"/>
          <w:u w:val="none" w:color="auto"/>
          <w:lang w:val="en-US" w:eastAsia="zh-CN"/>
        </w:rPr>
        <w:t>经处理后，</w:t>
      </w:r>
      <w:r>
        <w:rPr>
          <w:rFonts w:hint="eastAsia" w:ascii="Times New Roman" w:hAnsi="Times New Roman" w:cs="Times New Roman"/>
          <w:color w:val="auto"/>
          <w:u w:val="none" w:color="auto"/>
          <w:lang w:val="en-US" w:eastAsia="zh-CN"/>
        </w:rPr>
        <w:t>DA001排气筒颗粒物</w:t>
      </w:r>
      <w:r>
        <w:rPr>
          <w:rFonts w:hint="default" w:ascii="Times New Roman" w:hAnsi="Times New Roman" w:cs="Times New Roman"/>
          <w:color w:val="auto"/>
          <w:u w:val="none" w:color="auto"/>
          <w:lang w:val="en-US" w:eastAsia="zh-CN"/>
        </w:rPr>
        <w:t>排放量为</w:t>
      </w:r>
      <w:r>
        <w:rPr>
          <w:rFonts w:hint="eastAsia" w:ascii="Times New Roman" w:hAnsi="Times New Roman" w:eastAsia="宋体" w:cs="Times New Roman"/>
          <w:b w:val="0"/>
          <w:bCs w:val="0"/>
          <w:color w:val="auto"/>
          <w:sz w:val="24"/>
          <w:highlight w:val="none"/>
          <w:u w:val="none" w:color="auto"/>
          <w:vertAlign w:val="baseline"/>
          <w:lang w:val="en-US" w:eastAsia="zh-CN"/>
        </w:rPr>
        <w:t>0.064t/a（0.017kg/h，0.863mg/m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eastAsia="宋体" w:cs="Times New Roman"/>
          <w:b w:val="0"/>
          <w:bCs w:val="0"/>
          <w:color w:val="auto"/>
          <w:sz w:val="24"/>
          <w:highlight w:val="none"/>
          <w:u w:val="none" w:color="auto"/>
          <w:vertAlign w:val="baseline"/>
          <w:lang w:val="en-US" w:eastAsia="zh-CN"/>
        </w:rPr>
        <w:t>）</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val="en-US" w:eastAsia="zh-CN"/>
        </w:rPr>
        <w:t>满足</w:t>
      </w:r>
      <w:r>
        <w:rPr>
          <w:rFonts w:hint="eastAsia"/>
          <w:color w:val="auto"/>
          <w:u w:val="none" w:color="auto"/>
          <w:lang w:val="en-US" w:eastAsia="zh-CN"/>
        </w:rPr>
        <w:t>《大气污染物综合排放标准》（GB 16297-1996）表2中的有组织排放限值</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12</w:t>
      </w:r>
      <w:r>
        <w:rPr>
          <w:rFonts w:hint="eastAsia" w:cs="Times New Roman"/>
          <w:color w:val="auto"/>
          <w:u w:val="none" w:color="auto"/>
          <w:lang w:val="en-US" w:eastAsia="zh-CN"/>
        </w:rPr>
        <w:t>0</w:t>
      </w:r>
      <w:r>
        <w:rPr>
          <w:rFonts w:hint="default" w:ascii="Times New Roman" w:hAnsi="Times New Roman" w:cs="Times New Roman"/>
          <w:color w:val="auto"/>
          <w:u w:val="none" w:color="auto"/>
          <w:lang w:val="en-US" w:eastAsia="zh-CN"/>
        </w:rPr>
        <w:t>mg/m</w:t>
      </w:r>
      <w:r>
        <w:rPr>
          <w:rFonts w:hint="default"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default" w:ascii="Times New Roman" w:hAnsi="Times New Roman" w:cs="Times New Roman"/>
          <w:color w:val="auto"/>
          <w:sz w:val="24"/>
          <w:u w:val="none" w:color="auto"/>
          <w:lang w:eastAsia="zh-CN"/>
        </w:rPr>
        <w:t>。</w:t>
      </w:r>
    </w:p>
    <w:p w14:paraId="273CEAAA">
      <w:pPr>
        <w:pStyle w:val="20"/>
        <w:bidi w:val="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1#厂房挤出、覆膜废气及2#厂房覆膜废气</w:t>
      </w:r>
      <w:r>
        <w:rPr>
          <w:rFonts w:hint="default" w:ascii="Times New Roman" w:hAnsi="Times New Roman" w:cs="Times New Roman"/>
          <w:color w:val="auto"/>
          <w:u w:val="none" w:color="auto"/>
          <w:lang w:val="en-US" w:eastAsia="zh-CN"/>
        </w:rPr>
        <w:t>治理措施及达标可行性分析</w:t>
      </w:r>
    </w:p>
    <w:p w14:paraId="291A36B9">
      <w:pPr>
        <w:pStyle w:val="20"/>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eastAsia="zh-CN"/>
        </w:rPr>
        <w:t>）废气收集系统设置的合理性分析</w:t>
      </w:r>
    </w:p>
    <w:p w14:paraId="3AE2FACA">
      <w:pPr>
        <w:pStyle w:val="20"/>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集气罩，是粉尘净化系统污染源的收集装置，可将粉尘及气体污染源导入净化系统，同时防止其向生产车间及大气扩散，造成污染。其性能对净化系统的技术经济指标有直接的影响。由于污染源设备结构和生产操作工艺的不同，集气罩的形式是多种多样的。按集气罩与污染源的相对位置及适用范围，集气罩分为：密闭罩、排气柜、外部集气罩、接受式集气罩等。本项目采用外部集气罩。常见形式：顶吸罩、侧面吸罩、底吸罩、槽边吸气罩。集气罩工作原理：当除尘器集气罩吸气时，在集气罩附近形成负压，周围空气从四面八方流向集气罩，形成吸入气流或汇流，粉尘在空气中一同被吸入集气罩中。</w:t>
      </w:r>
    </w:p>
    <w:p w14:paraId="754C2565">
      <w:pPr>
        <w:pStyle w:val="20"/>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①废气收集系统要求</w:t>
      </w:r>
    </w:p>
    <w:p w14:paraId="5F079EBB">
      <w:pPr>
        <w:pStyle w:val="20"/>
        <w:bidi w:val="0"/>
        <w:rPr>
          <w:rFonts w:hint="eastAsia" w:ascii="Times New Roman" w:hAnsi="Times New Roman" w:cs="Times New Roman"/>
          <w:color w:val="auto"/>
          <w:kern w:val="0"/>
          <w:sz w:val="24"/>
          <w:u w:val="none" w:color="auto"/>
          <w:lang w:val="en-US" w:eastAsia="zh-CN"/>
        </w:rPr>
      </w:pPr>
      <w:r>
        <w:rPr>
          <w:rFonts w:hint="eastAsia" w:ascii="Times New Roman" w:hAnsi="Times New Roman" w:cs="Times New Roman"/>
          <w:color w:val="auto"/>
          <w:kern w:val="0"/>
          <w:sz w:val="24"/>
          <w:u w:val="none" w:color="auto"/>
          <w:lang w:val="en-US" w:eastAsia="zh-CN"/>
        </w:rPr>
        <w:t>参考《挥发性有机物治理实用手册（第二版）》（生态环境部大气环境司、生态环境部环境规划院编著），“外部排风罩的设置应尽量靠近VOCs散发源。外部排风罩的控制点为距排风罩开口面最远处的VOCs无组织排放位置，控制风速取0.3~0.5m/s。当室内空气流动小或有利于捕集时，控制风速取下限；当室内有扰动气流或连续生产产量高时，控制风速取上限”；“对于外部排风罩，使用软帘、软罩、挡板，使排风罩延长无限接近VOCs散发源，可提高废气收集效果。使用塑料材质的软帘、软罩应选择阻燃防静电型”。本项目在挤出造粒工序与投料混料工序产污节点上方采取顶吸集气罩，并结合软帘、挡板等柔性材料，尽量贴近废气散发源，形成负压密闭空气，尽可能加强收集效率，减少废气无组织排放。集气罩示意图如下所示：</w:t>
      </w:r>
    </w:p>
    <w:p w14:paraId="71FC5AF5">
      <w:pPr>
        <w:pStyle w:val="20"/>
        <w:bidi w:val="0"/>
        <w:ind w:left="0" w:leftChars="0" w:firstLine="0" w:firstLineChars="0"/>
        <w:jc w:val="center"/>
        <w:rPr>
          <w:color w:val="auto"/>
          <w:u w:val="none" w:color="auto"/>
        </w:rPr>
      </w:pPr>
      <w:r>
        <w:rPr>
          <w:color w:val="auto"/>
          <w:u w:val="none" w:color="auto"/>
        </w:rPr>
        <w:drawing>
          <wp:inline distT="0" distB="0" distL="114300" distR="114300">
            <wp:extent cx="4333875" cy="2305050"/>
            <wp:effectExtent l="0" t="0" r="9525" b="0"/>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47"/>
                    <a:stretch>
                      <a:fillRect/>
                    </a:stretch>
                  </pic:blipFill>
                  <pic:spPr>
                    <a:xfrm>
                      <a:off x="0" y="0"/>
                      <a:ext cx="4333875" cy="2305050"/>
                    </a:xfrm>
                    <a:prstGeom prst="rect">
                      <a:avLst/>
                    </a:prstGeom>
                    <a:noFill/>
                    <a:ln>
                      <a:noFill/>
                    </a:ln>
                  </pic:spPr>
                </pic:pic>
              </a:graphicData>
            </a:graphic>
          </wp:inline>
        </w:drawing>
      </w:r>
    </w:p>
    <w:p w14:paraId="7939B9D1">
      <w:pPr>
        <w:pStyle w:val="30"/>
        <w:bidi w:val="0"/>
        <w:rPr>
          <w:rFonts w:hint="default"/>
          <w:color w:val="auto"/>
          <w:u w:val="none" w:color="auto"/>
          <w:lang w:val="en-US" w:eastAsia="zh-CN"/>
        </w:rPr>
      </w:pPr>
      <w:r>
        <w:rPr>
          <w:rFonts w:hint="eastAsia"/>
          <w:color w:val="auto"/>
          <w:u w:val="none" w:color="auto"/>
          <w:lang w:val="en-US" w:eastAsia="zh-CN"/>
        </w:rPr>
        <w:t>图7.2-2 顶吸集气罩+软帘示意图</w:t>
      </w:r>
    </w:p>
    <w:p w14:paraId="5AA89F51">
      <w:pPr>
        <w:adjustRightInd w:val="0"/>
        <w:snapToGrid w:val="0"/>
        <w:spacing w:line="360" w:lineRule="auto"/>
        <w:ind w:firstLine="480" w:firstLineChars="200"/>
        <w:rPr>
          <w:rFonts w:hint="default" w:ascii="Times New Roman" w:hAnsi="Times New Roman" w:eastAsia="宋体" w:cs="Times New Roman"/>
          <w:color w:val="auto"/>
          <w:kern w:val="0"/>
          <w:sz w:val="24"/>
          <w:u w:val="none" w:color="auto"/>
          <w:lang w:val="en-US" w:eastAsia="zh-CN"/>
        </w:rPr>
      </w:pPr>
      <w:r>
        <w:rPr>
          <w:rFonts w:hint="eastAsia" w:cs="Times New Roman"/>
          <w:color w:val="auto"/>
          <w:kern w:val="0"/>
          <w:sz w:val="24"/>
          <w:u w:val="none" w:color="auto"/>
          <w:lang w:val="en-US" w:eastAsia="zh-CN"/>
        </w:rPr>
        <w:t>参考《关于印发&lt;主要污染物总量减排核算技术指南（2022年修订）&gt;的通知》（环办综合函〔2022〕350号）表2.3VOCs废气收集率和治理设施去除率通用系数，本项目集气效率取85%。</w:t>
      </w:r>
    </w:p>
    <w:p w14:paraId="71DFC69A">
      <w:pPr>
        <w:adjustRightInd w:val="0"/>
        <w:snapToGrid w:val="0"/>
        <w:spacing w:line="360" w:lineRule="auto"/>
        <w:ind w:firstLine="480" w:firstLineChars="200"/>
        <w:rPr>
          <w:rFonts w:hint="default" w:ascii="Times New Roman" w:hAnsi="Times New Roman" w:eastAsia="宋体" w:cs="Times New Roman"/>
          <w:color w:val="auto"/>
          <w:kern w:val="0"/>
          <w:sz w:val="24"/>
          <w:u w:val="none" w:color="auto"/>
          <w:lang w:eastAsia="zh-CN"/>
        </w:rPr>
      </w:pPr>
      <w:r>
        <w:rPr>
          <w:rFonts w:hint="default" w:ascii="Times New Roman" w:hAnsi="Times New Roman" w:cs="Times New Roman"/>
          <w:color w:val="auto"/>
          <w:kern w:val="0"/>
          <w:sz w:val="24"/>
          <w:u w:val="none" w:color="auto"/>
        </w:rPr>
        <w:t>②</w:t>
      </w:r>
      <w:r>
        <w:rPr>
          <w:rFonts w:hint="default" w:ascii="Times New Roman" w:hAnsi="Times New Roman" w:cs="Times New Roman"/>
          <w:color w:val="auto"/>
          <w:kern w:val="0"/>
          <w:sz w:val="24"/>
          <w:u w:val="none" w:color="auto"/>
          <w:lang w:eastAsia="zh-CN"/>
        </w:rPr>
        <w:t>集气罩风量计算</w:t>
      </w:r>
    </w:p>
    <w:p w14:paraId="2E06DFF9">
      <w:pPr>
        <w:adjustRightInd w:val="0"/>
        <w:snapToGrid w:val="0"/>
        <w:spacing w:line="360" w:lineRule="auto"/>
        <w:ind w:firstLine="480" w:firstLineChars="200"/>
        <w:rPr>
          <w:rFonts w:hint="default" w:ascii="Times New Roman" w:hAnsi="Times New Roman" w:cs="Times New Roman"/>
          <w:color w:val="auto"/>
          <w:kern w:val="0"/>
          <w:sz w:val="24"/>
          <w:u w:val="none" w:color="auto"/>
        </w:rPr>
      </w:pPr>
      <w:r>
        <w:rPr>
          <w:rFonts w:hint="default" w:ascii="Times New Roman" w:hAnsi="Times New Roman" w:cs="Times New Roman"/>
          <w:color w:val="auto"/>
          <w:kern w:val="0"/>
          <w:sz w:val="24"/>
          <w:u w:val="none" w:color="auto"/>
        </w:rPr>
        <w:t>本项目拟在</w:t>
      </w:r>
      <w:r>
        <w:rPr>
          <w:rFonts w:hint="eastAsia" w:cs="Times New Roman"/>
          <w:color w:val="auto"/>
          <w:kern w:val="0"/>
          <w:sz w:val="24"/>
          <w:u w:val="none" w:color="auto"/>
          <w:lang w:val="en-US" w:eastAsia="zh-CN"/>
        </w:rPr>
        <w:t>挤出机、覆膜机</w:t>
      </w:r>
      <w:r>
        <w:rPr>
          <w:rFonts w:hint="default" w:ascii="Times New Roman" w:hAnsi="Times New Roman" w:cs="Times New Roman"/>
          <w:color w:val="auto"/>
          <w:kern w:val="0"/>
          <w:sz w:val="24"/>
          <w:u w:val="none" w:color="auto"/>
        </w:rPr>
        <w:t>出口上方设置</w:t>
      </w:r>
      <w:r>
        <w:rPr>
          <w:rFonts w:hint="eastAsia" w:cs="Times New Roman"/>
          <w:color w:val="auto"/>
          <w:kern w:val="0"/>
          <w:sz w:val="24"/>
          <w:u w:val="none" w:color="auto"/>
          <w:lang w:val="en-US" w:eastAsia="zh-CN"/>
        </w:rPr>
        <w:t>顶吸集气罩</w:t>
      </w:r>
      <w:r>
        <w:rPr>
          <w:rFonts w:hint="default" w:ascii="Times New Roman" w:hAnsi="Times New Roman" w:cs="Times New Roman"/>
          <w:color w:val="auto"/>
          <w:kern w:val="0"/>
          <w:sz w:val="24"/>
          <w:u w:val="none" w:color="auto"/>
        </w:rPr>
        <w:t>对废气进行收集。《挥发性有机物无组织排放控制标准》（GB 37822</w:t>
      </w:r>
      <w:r>
        <w:rPr>
          <w:rFonts w:hint="default" w:ascii="Times New Roman" w:hAnsi="Times New Roman" w:cs="Times New Roman"/>
          <w:color w:val="auto"/>
          <w:kern w:val="0"/>
          <w:sz w:val="24"/>
          <w:u w:val="none" w:color="auto"/>
          <w:lang w:val="en-US" w:eastAsia="zh-CN"/>
        </w:rPr>
        <w:t>-</w:t>
      </w:r>
      <w:r>
        <w:rPr>
          <w:rFonts w:hint="default" w:ascii="Times New Roman" w:hAnsi="Times New Roman" w:cs="Times New Roman"/>
          <w:color w:val="auto"/>
          <w:kern w:val="0"/>
          <w:sz w:val="24"/>
          <w:u w:val="none" w:color="auto"/>
        </w:rPr>
        <w:t>2019）要</w:t>
      </w:r>
      <w:r>
        <w:rPr>
          <w:rFonts w:hint="eastAsia" w:ascii="宋体" w:hAnsi="宋体" w:eastAsia="宋体" w:cs="宋体"/>
          <w:color w:val="auto"/>
          <w:kern w:val="0"/>
          <w:sz w:val="24"/>
          <w:u w:val="none" w:color="auto"/>
        </w:rPr>
        <w:t>求“采</w:t>
      </w:r>
      <w:r>
        <w:rPr>
          <w:rFonts w:hint="default" w:ascii="Times New Roman" w:hAnsi="Times New Roman" w:cs="Times New Roman"/>
          <w:color w:val="auto"/>
          <w:kern w:val="0"/>
          <w:sz w:val="24"/>
          <w:u w:val="none" w:color="auto"/>
        </w:rPr>
        <w:t>用外部排风罩的，控制风速不应低于0.3 m/s</w:t>
      </w:r>
      <w:r>
        <w:rPr>
          <w:rFonts w:hint="eastAsia" w:ascii="宋体" w:hAnsi="宋体" w:eastAsia="宋体" w:cs="宋体"/>
          <w:color w:val="auto"/>
          <w:kern w:val="0"/>
          <w:sz w:val="24"/>
          <w:u w:val="none" w:color="auto"/>
        </w:rPr>
        <w:t>”</w:t>
      </w:r>
      <w:r>
        <w:rPr>
          <w:rFonts w:hint="default" w:ascii="Times New Roman" w:hAnsi="Times New Roman" w:cs="Times New Roman"/>
          <w:color w:val="auto"/>
          <w:kern w:val="0"/>
          <w:sz w:val="24"/>
          <w:u w:val="none" w:color="auto"/>
        </w:rPr>
        <w:t>，根据《局部排风设施控制风速检测与评估技术规范》（AQ/T 4274</w:t>
      </w:r>
      <w:r>
        <w:rPr>
          <w:rFonts w:hint="default" w:ascii="Times New Roman" w:hAnsi="Times New Roman" w:cs="Times New Roman"/>
          <w:color w:val="auto"/>
          <w:kern w:val="0"/>
          <w:sz w:val="24"/>
          <w:u w:val="none" w:color="auto"/>
          <w:lang w:val="en-US" w:eastAsia="zh-CN"/>
        </w:rPr>
        <w:t>-</w:t>
      </w:r>
      <w:r>
        <w:rPr>
          <w:rFonts w:hint="default" w:ascii="Times New Roman" w:hAnsi="Times New Roman" w:cs="Times New Roman"/>
          <w:color w:val="auto"/>
          <w:kern w:val="0"/>
          <w:sz w:val="24"/>
          <w:u w:val="none" w:color="auto"/>
        </w:rPr>
        <w:t>2016 ），本项目排风罩的控制点为下图黑点所在位置。</w:t>
      </w:r>
    </w:p>
    <w:p w14:paraId="352FF19B">
      <w:pPr>
        <w:adjustRightInd w:val="0"/>
        <w:snapToGrid w:val="0"/>
        <w:spacing w:line="360" w:lineRule="auto"/>
        <w:jc w:val="center"/>
        <w:rPr>
          <w:rFonts w:hint="default" w:ascii="Times New Roman" w:hAnsi="Times New Roman" w:cs="Times New Roman"/>
          <w:color w:val="auto"/>
          <w:kern w:val="0"/>
          <w:sz w:val="24"/>
          <w:u w:val="none" w:color="auto"/>
        </w:rPr>
      </w:pPr>
      <w:r>
        <w:rPr>
          <w:rFonts w:hint="default" w:ascii="Times New Roman" w:hAnsi="Times New Roman" w:cs="Times New Roman"/>
          <w:color w:val="auto"/>
          <w:kern w:val="0"/>
          <w:sz w:val="24"/>
          <w:u w:val="none" w:color="auto"/>
        </w:rPr>
        <w:drawing>
          <wp:inline distT="0" distB="0" distL="114300" distR="114300">
            <wp:extent cx="2247265" cy="1733550"/>
            <wp:effectExtent l="0" t="0" r="635" b="0"/>
            <wp:docPr id="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pic:cNvPicPr>
                      <a:picLocks noChangeAspect="1"/>
                    </pic:cNvPicPr>
                  </pic:nvPicPr>
                  <pic:blipFill>
                    <a:blip r:embed="rId48"/>
                    <a:srcRect b="13606"/>
                    <a:stretch>
                      <a:fillRect/>
                    </a:stretch>
                  </pic:blipFill>
                  <pic:spPr>
                    <a:xfrm>
                      <a:off x="0" y="0"/>
                      <a:ext cx="2247265" cy="1733550"/>
                    </a:xfrm>
                    <a:prstGeom prst="rect">
                      <a:avLst/>
                    </a:prstGeom>
                    <a:noFill/>
                    <a:ln>
                      <a:noFill/>
                    </a:ln>
                  </pic:spPr>
                </pic:pic>
              </a:graphicData>
            </a:graphic>
          </wp:inline>
        </w:drawing>
      </w:r>
    </w:p>
    <w:p w14:paraId="75DD377C">
      <w:pPr>
        <w:pStyle w:val="30"/>
        <w:bidi w:val="0"/>
        <w:rPr>
          <w:rFonts w:hint="default"/>
          <w:color w:val="auto"/>
          <w:u w:val="none" w:color="auto"/>
        </w:rPr>
      </w:pPr>
      <w:r>
        <w:rPr>
          <w:rFonts w:hint="default"/>
          <w:color w:val="auto"/>
          <w:u w:val="none" w:color="auto"/>
          <w:lang w:eastAsia="zh-CN"/>
        </w:rPr>
        <w:t>图</w:t>
      </w:r>
      <w:r>
        <w:rPr>
          <w:rFonts w:hint="eastAsia"/>
          <w:color w:val="auto"/>
          <w:u w:val="none" w:color="auto"/>
          <w:lang w:val="en-US" w:eastAsia="zh-CN"/>
        </w:rPr>
        <w:t>7</w:t>
      </w:r>
      <w:r>
        <w:rPr>
          <w:rFonts w:hint="default"/>
          <w:color w:val="auto"/>
          <w:u w:val="none" w:color="auto"/>
          <w:lang w:val="en-US" w:eastAsia="zh-CN"/>
        </w:rPr>
        <w:t>.2-</w:t>
      </w:r>
      <w:r>
        <w:rPr>
          <w:rFonts w:hint="eastAsia"/>
          <w:color w:val="auto"/>
          <w:u w:val="none" w:color="auto"/>
          <w:lang w:val="en-US" w:eastAsia="zh-CN"/>
        </w:rPr>
        <w:t>3</w:t>
      </w:r>
      <w:r>
        <w:rPr>
          <w:rFonts w:hint="default"/>
          <w:color w:val="auto"/>
          <w:u w:val="none" w:color="auto"/>
        </w:rPr>
        <w:t>项目排风罩控制点位置示意图</w:t>
      </w:r>
    </w:p>
    <w:p w14:paraId="70F8A111">
      <w:pPr>
        <w:spacing w:line="360" w:lineRule="auto"/>
        <w:ind w:firstLine="480" w:firstLineChars="200"/>
        <w:rPr>
          <w:rFonts w:hint="default" w:ascii="Times New Roman" w:hAnsi="Times New Roman" w:cs="Times New Roman"/>
          <w:color w:val="auto"/>
          <w:kern w:val="0"/>
          <w:sz w:val="24"/>
          <w:u w:val="none" w:color="auto"/>
        </w:rPr>
      </w:pPr>
      <w:r>
        <w:rPr>
          <w:rFonts w:hint="default" w:ascii="Times New Roman" w:hAnsi="Times New Roman" w:cs="Times New Roman"/>
          <w:color w:val="auto"/>
          <w:kern w:val="0"/>
          <w:sz w:val="24"/>
          <w:u w:val="none" w:color="auto"/>
        </w:rPr>
        <w:t>本项目排风罩均采用上部伞形</w:t>
      </w:r>
      <w:r>
        <w:rPr>
          <w:rFonts w:hint="eastAsia" w:cs="Times New Roman"/>
          <w:color w:val="auto"/>
          <w:kern w:val="0"/>
          <w:sz w:val="24"/>
          <w:u w:val="none" w:color="auto"/>
          <w:lang w:val="en-US" w:eastAsia="zh-CN"/>
        </w:rPr>
        <w:t>顶吸</w:t>
      </w:r>
      <w:r>
        <w:rPr>
          <w:rFonts w:hint="default" w:ascii="Times New Roman" w:hAnsi="Times New Roman" w:cs="Times New Roman"/>
          <w:color w:val="auto"/>
          <w:kern w:val="0"/>
          <w:sz w:val="24"/>
          <w:u w:val="none" w:color="auto"/>
        </w:rPr>
        <w:t>集气罩，且两侧设有</w:t>
      </w:r>
      <w:r>
        <w:rPr>
          <w:rFonts w:hint="eastAsia" w:cs="Times New Roman"/>
          <w:color w:val="auto"/>
          <w:kern w:val="0"/>
          <w:sz w:val="24"/>
          <w:u w:val="none" w:color="auto"/>
          <w:lang w:val="en-US" w:eastAsia="zh-CN"/>
        </w:rPr>
        <w:t>软帘围挡</w:t>
      </w:r>
      <w:r>
        <w:rPr>
          <w:rFonts w:hint="default" w:ascii="Times New Roman" w:hAnsi="Times New Roman" w:cs="Times New Roman"/>
          <w:color w:val="auto"/>
          <w:kern w:val="0"/>
          <w:sz w:val="24"/>
          <w:u w:val="none" w:color="auto"/>
        </w:rPr>
        <w:t>，根据《废气处理工程技术手册》（化学工业出版社），两侧设有围挡时集气罩的排气量计算如下：</w:t>
      </w:r>
    </w:p>
    <w:p w14:paraId="44C195BB">
      <w:pPr>
        <w:spacing w:line="360" w:lineRule="auto"/>
        <w:jc w:val="center"/>
        <w:rPr>
          <w:rFonts w:hint="default" w:ascii="Times New Roman" w:hAnsi="Times New Roman" w:cs="Times New Roman"/>
          <w:color w:val="auto"/>
          <w:kern w:val="0"/>
          <w:sz w:val="24"/>
          <w:u w:val="none" w:color="auto"/>
        </w:rPr>
      </w:pPr>
      <w:r>
        <w:rPr>
          <w:rFonts w:hint="default" w:ascii="Times New Roman" w:hAnsi="Times New Roman" w:cs="Times New Roman"/>
          <w:color w:val="auto"/>
          <w:kern w:val="0"/>
          <w:sz w:val="24"/>
          <w:u w:val="none" w:color="auto"/>
        </w:rPr>
        <w:t>Q =（W+B）HVx</w:t>
      </w:r>
    </w:p>
    <w:p w14:paraId="609BF9EA">
      <w:pPr>
        <w:spacing w:line="360" w:lineRule="auto"/>
        <w:ind w:firstLine="480" w:firstLineChars="200"/>
        <w:rPr>
          <w:rFonts w:hint="default" w:ascii="Times New Roman" w:hAnsi="Times New Roman" w:cs="Times New Roman"/>
          <w:color w:val="auto"/>
          <w:kern w:val="0"/>
          <w:sz w:val="24"/>
          <w:u w:val="none" w:color="auto"/>
        </w:rPr>
      </w:pPr>
      <w:r>
        <w:rPr>
          <w:rFonts w:hint="default" w:ascii="Times New Roman" w:hAnsi="Times New Roman" w:cs="Times New Roman"/>
          <w:color w:val="auto"/>
          <w:kern w:val="0"/>
          <w:sz w:val="24"/>
          <w:u w:val="none" w:color="auto"/>
        </w:rPr>
        <w:t>式中Q为排气量，m</w:t>
      </w:r>
      <w:r>
        <w:rPr>
          <w:rFonts w:hint="default" w:ascii="Times New Roman" w:hAnsi="Times New Roman" w:cs="Times New Roman"/>
          <w:color w:val="auto"/>
          <w:kern w:val="0"/>
          <w:sz w:val="24"/>
          <w:u w:val="none" w:color="auto"/>
          <w:vertAlign w:val="superscript"/>
        </w:rPr>
        <w:t>3</w:t>
      </w:r>
      <w:r>
        <w:rPr>
          <w:rFonts w:hint="default" w:ascii="Times New Roman" w:hAnsi="Times New Roman" w:cs="Times New Roman"/>
          <w:color w:val="auto"/>
          <w:kern w:val="0"/>
          <w:sz w:val="24"/>
          <w:u w:val="none" w:color="auto"/>
        </w:rPr>
        <w:t>/s；W为罩口长度，m；B为罩口宽度，m；H为罩口距污染源的距离，m；Vx为吸入速度，m/s。</w:t>
      </w:r>
    </w:p>
    <w:p w14:paraId="2B68B219">
      <w:pPr>
        <w:spacing w:line="360" w:lineRule="auto"/>
        <w:ind w:firstLine="480" w:firstLineChars="200"/>
        <w:rPr>
          <w:rFonts w:hint="default" w:ascii="Times New Roman" w:hAnsi="Times New Roman" w:cs="Times New Roman"/>
          <w:color w:val="auto"/>
          <w:kern w:val="0"/>
          <w:sz w:val="24"/>
          <w:u w:val="none" w:color="auto"/>
        </w:rPr>
      </w:pPr>
      <w:r>
        <w:rPr>
          <w:rFonts w:hint="default" w:ascii="Times New Roman" w:hAnsi="Times New Roman" w:cs="Times New Roman"/>
          <w:color w:val="auto"/>
          <w:kern w:val="0"/>
          <w:sz w:val="24"/>
          <w:u w:val="none" w:color="auto"/>
        </w:rPr>
        <w:t>本项目设计的吸入速度为0.</w:t>
      </w:r>
      <w:r>
        <w:rPr>
          <w:rFonts w:hint="eastAsia" w:cs="Times New Roman"/>
          <w:color w:val="auto"/>
          <w:kern w:val="0"/>
          <w:sz w:val="24"/>
          <w:u w:val="none" w:color="auto"/>
          <w:lang w:val="en-US" w:eastAsia="zh-CN"/>
        </w:rPr>
        <w:t>35</w:t>
      </w:r>
      <w:r>
        <w:rPr>
          <w:rFonts w:hint="default" w:ascii="Times New Roman" w:hAnsi="Times New Roman" w:cs="Times New Roman"/>
          <w:color w:val="auto"/>
          <w:kern w:val="0"/>
          <w:sz w:val="24"/>
          <w:u w:val="none" w:color="auto"/>
        </w:rPr>
        <w:t>m/s，根据</w:t>
      </w:r>
      <w:r>
        <w:rPr>
          <w:rFonts w:hint="eastAsia" w:cs="Times New Roman"/>
          <w:color w:val="auto"/>
          <w:kern w:val="0"/>
          <w:sz w:val="24"/>
          <w:u w:val="none" w:color="auto"/>
          <w:lang w:val="en-US" w:eastAsia="zh-CN"/>
        </w:rPr>
        <w:t>挤出</w:t>
      </w:r>
      <w:r>
        <w:rPr>
          <w:rFonts w:hint="default" w:ascii="Times New Roman" w:hAnsi="Times New Roman" w:cs="Times New Roman"/>
          <w:color w:val="auto"/>
          <w:kern w:val="0"/>
          <w:sz w:val="24"/>
          <w:u w:val="none" w:color="auto"/>
        </w:rPr>
        <w:t>机上方集气罩尺寸，计算得到的风量见下表：</w:t>
      </w:r>
    </w:p>
    <w:p w14:paraId="47BB48EF">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7</w:t>
      </w:r>
      <w:r>
        <w:rPr>
          <w:rFonts w:hint="default"/>
          <w:color w:val="auto"/>
          <w:u w:val="none" w:color="auto"/>
          <w:lang w:val="en-US" w:eastAsia="zh-CN"/>
        </w:rPr>
        <w:t>.2-</w:t>
      </w:r>
      <w:r>
        <w:rPr>
          <w:rFonts w:hint="eastAsia"/>
          <w:color w:val="auto"/>
          <w:u w:val="none" w:color="auto"/>
          <w:lang w:val="en-US" w:eastAsia="zh-CN"/>
        </w:rPr>
        <w:t>1</w:t>
      </w:r>
      <w:r>
        <w:rPr>
          <w:rFonts w:hint="default"/>
          <w:color w:val="auto"/>
          <w:u w:val="none" w:color="auto"/>
        </w:rPr>
        <w:t xml:space="preserve"> 项目集气罩及计算风量一览表</w:t>
      </w:r>
    </w:p>
    <w:tbl>
      <w:tblPr>
        <w:tblStyle w:val="16"/>
        <w:tblW w:w="85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870"/>
        <w:gridCol w:w="892"/>
        <w:gridCol w:w="1170"/>
        <w:gridCol w:w="1125"/>
        <w:gridCol w:w="1155"/>
        <w:gridCol w:w="1035"/>
        <w:gridCol w:w="943"/>
      </w:tblGrid>
      <w:tr w14:paraId="38B5E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ign w:val="center"/>
          </w:tcPr>
          <w:p w14:paraId="5E8F30B8">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设备名称</w:t>
            </w:r>
          </w:p>
        </w:tc>
        <w:tc>
          <w:tcPr>
            <w:tcW w:w="870" w:type="dxa"/>
            <w:noWrap/>
            <w:vAlign w:val="center"/>
          </w:tcPr>
          <w:p w14:paraId="76D621FB">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长度(m)</w:t>
            </w:r>
          </w:p>
        </w:tc>
        <w:tc>
          <w:tcPr>
            <w:tcW w:w="892" w:type="dxa"/>
            <w:noWrap/>
            <w:vAlign w:val="center"/>
          </w:tcPr>
          <w:p w14:paraId="69559D9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宽度(m)</w:t>
            </w:r>
          </w:p>
        </w:tc>
        <w:tc>
          <w:tcPr>
            <w:tcW w:w="1170" w:type="dxa"/>
            <w:noWrap/>
            <w:vAlign w:val="center"/>
          </w:tcPr>
          <w:p w14:paraId="2255204D">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与污染源距离(m)</w:t>
            </w:r>
          </w:p>
        </w:tc>
        <w:tc>
          <w:tcPr>
            <w:tcW w:w="1125" w:type="dxa"/>
            <w:noWrap/>
            <w:vAlign w:val="center"/>
          </w:tcPr>
          <w:p w14:paraId="198CA00C">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吸入速度(m/s)</w:t>
            </w:r>
          </w:p>
        </w:tc>
        <w:tc>
          <w:tcPr>
            <w:tcW w:w="1155" w:type="dxa"/>
            <w:noWrap/>
            <w:vAlign w:val="center"/>
          </w:tcPr>
          <w:p w14:paraId="52742D16">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计算风量(m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/h)</w:t>
            </w:r>
          </w:p>
        </w:tc>
        <w:tc>
          <w:tcPr>
            <w:tcW w:w="1035" w:type="dxa"/>
            <w:noWrap/>
            <w:vAlign w:val="center"/>
          </w:tcPr>
          <w:p w14:paraId="1521161B">
            <w:pPr>
              <w:pStyle w:val="24"/>
              <w:bidi w:val="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设备台数（台）</w:t>
            </w:r>
          </w:p>
        </w:tc>
        <w:tc>
          <w:tcPr>
            <w:tcW w:w="943" w:type="dxa"/>
            <w:noWrap/>
            <w:vAlign w:val="center"/>
          </w:tcPr>
          <w:p w14:paraId="522C6EB1">
            <w:pPr>
              <w:pStyle w:val="24"/>
              <w:bidi w:val="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总风量（</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/h</w:t>
            </w:r>
            <w:r>
              <w:rPr>
                <w:rFonts w:hint="default" w:ascii="Times New Roman" w:hAnsi="Times New Roman" w:cs="Times New Roman"/>
                <w:color w:val="auto"/>
                <w:u w:val="none" w:color="auto"/>
                <w:lang w:eastAsia="zh-CN"/>
              </w:rPr>
              <w:t>）</w:t>
            </w:r>
          </w:p>
        </w:tc>
      </w:tr>
      <w:tr w14:paraId="1B69D8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ign w:val="center"/>
          </w:tcPr>
          <w:p w14:paraId="42D60D56">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挤出机</w:t>
            </w:r>
          </w:p>
        </w:tc>
        <w:tc>
          <w:tcPr>
            <w:tcW w:w="870" w:type="dxa"/>
            <w:noWrap/>
            <w:vAlign w:val="center"/>
          </w:tcPr>
          <w:p w14:paraId="04023C74">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cs="Times New Roman"/>
                <w:i w:val="0"/>
                <w:color w:val="auto"/>
                <w:kern w:val="0"/>
                <w:sz w:val="21"/>
                <w:szCs w:val="21"/>
                <w:u w:val="none" w:color="auto"/>
                <w:lang w:val="en-US" w:eastAsia="zh-CN" w:bidi="ar"/>
              </w:rPr>
              <w:t>1.2</w:t>
            </w:r>
          </w:p>
        </w:tc>
        <w:tc>
          <w:tcPr>
            <w:tcW w:w="892" w:type="dxa"/>
            <w:noWrap/>
            <w:vAlign w:val="center"/>
          </w:tcPr>
          <w:p w14:paraId="104037AF">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cs="Times New Roman"/>
                <w:i w:val="0"/>
                <w:color w:val="auto"/>
                <w:kern w:val="0"/>
                <w:sz w:val="21"/>
                <w:szCs w:val="21"/>
                <w:u w:val="none" w:color="auto"/>
                <w:lang w:val="en-US" w:eastAsia="zh-CN" w:bidi="ar"/>
              </w:rPr>
              <w:t>0.6</w:t>
            </w:r>
          </w:p>
        </w:tc>
        <w:tc>
          <w:tcPr>
            <w:tcW w:w="1170" w:type="dxa"/>
            <w:noWrap/>
            <w:vAlign w:val="center"/>
          </w:tcPr>
          <w:p w14:paraId="6079D8BB">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cs="Times New Roman"/>
                <w:i w:val="0"/>
                <w:color w:val="auto"/>
                <w:kern w:val="0"/>
                <w:sz w:val="21"/>
                <w:szCs w:val="21"/>
                <w:u w:val="none" w:color="auto"/>
                <w:lang w:val="en-US" w:eastAsia="zh-CN" w:bidi="ar"/>
              </w:rPr>
              <w:t>0.4</w:t>
            </w:r>
          </w:p>
        </w:tc>
        <w:tc>
          <w:tcPr>
            <w:tcW w:w="1125" w:type="dxa"/>
            <w:noWrap/>
            <w:vAlign w:val="center"/>
          </w:tcPr>
          <w:p w14:paraId="32C224EE">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i w:val="0"/>
                <w:color w:val="auto"/>
                <w:kern w:val="0"/>
                <w:sz w:val="21"/>
                <w:szCs w:val="21"/>
                <w:u w:val="none" w:color="auto"/>
                <w:lang w:val="en-US" w:eastAsia="zh-CN" w:bidi="ar"/>
              </w:rPr>
              <w:t>0.</w:t>
            </w:r>
            <w:r>
              <w:rPr>
                <w:rFonts w:hint="eastAsia" w:cs="Times New Roman"/>
                <w:i w:val="0"/>
                <w:color w:val="auto"/>
                <w:kern w:val="0"/>
                <w:sz w:val="21"/>
                <w:szCs w:val="21"/>
                <w:u w:val="none" w:color="auto"/>
                <w:lang w:val="en-US" w:eastAsia="zh-CN" w:bidi="ar"/>
              </w:rPr>
              <w:t>35</w:t>
            </w:r>
          </w:p>
        </w:tc>
        <w:tc>
          <w:tcPr>
            <w:tcW w:w="1155" w:type="dxa"/>
            <w:noWrap/>
            <w:vAlign w:val="center"/>
          </w:tcPr>
          <w:p w14:paraId="59E63B47">
            <w:pPr>
              <w:keepNext w:val="0"/>
              <w:keepLines w:val="0"/>
              <w:widowControl/>
              <w:suppressLineNumbers w:val="0"/>
              <w:jc w:val="center"/>
              <w:textAlignment w:val="center"/>
              <w:rPr>
                <w:rFonts w:hint="default" w:ascii="Times New Roman" w:hAnsi="Times New Roman" w:eastAsia="宋体" w:cs="Times New Roman"/>
                <w:color w:val="auto"/>
                <w:u w:val="none" w:color="auto"/>
                <w:lang w:val="en-US" w:eastAsia="zh-CN"/>
              </w:rPr>
            </w:pPr>
            <w:r>
              <w:rPr>
                <w:rFonts w:hint="eastAsia" w:cs="Times New Roman"/>
                <w:i w:val="0"/>
                <w:color w:val="auto"/>
                <w:kern w:val="0"/>
                <w:sz w:val="21"/>
                <w:szCs w:val="21"/>
                <w:u w:val="none" w:color="auto"/>
                <w:lang w:val="en-US" w:eastAsia="zh-CN" w:bidi="ar"/>
              </w:rPr>
              <w:t>907.2</w:t>
            </w:r>
          </w:p>
        </w:tc>
        <w:tc>
          <w:tcPr>
            <w:tcW w:w="1035" w:type="dxa"/>
            <w:noWrap/>
            <w:vAlign w:val="center"/>
          </w:tcPr>
          <w:p w14:paraId="67BF5B12">
            <w:pPr>
              <w:keepNext w:val="0"/>
              <w:keepLines w:val="0"/>
              <w:widowControl/>
              <w:suppressLineNumbers w:val="0"/>
              <w:jc w:val="center"/>
              <w:textAlignment w:val="center"/>
              <w:rPr>
                <w:rFonts w:hint="default" w:ascii="Times New Roman" w:hAnsi="Times New Roman" w:cs="Times New Roman"/>
                <w:color w:val="auto"/>
                <w:sz w:val="21"/>
                <w:szCs w:val="21"/>
                <w:u w:val="none" w:color="auto"/>
                <w:lang w:val="en-US" w:eastAsia="zh-CN"/>
              </w:rPr>
            </w:pPr>
            <w:r>
              <w:rPr>
                <w:rFonts w:hint="eastAsia" w:cs="Times New Roman"/>
                <w:color w:val="auto"/>
                <w:sz w:val="21"/>
                <w:szCs w:val="21"/>
                <w:u w:val="none" w:color="auto"/>
                <w:lang w:val="en-US" w:eastAsia="zh-CN"/>
              </w:rPr>
              <w:t>20</w:t>
            </w:r>
          </w:p>
        </w:tc>
        <w:tc>
          <w:tcPr>
            <w:tcW w:w="943" w:type="dxa"/>
            <w:noWrap/>
            <w:vAlign w:val="center"/>
          </w:tcPr>
          <w:p w14:paraId="4EF1771D">
            <w:pPr>
              <w:keepNext w:val="0"/>
              <w:keepLines w:val="0"/>
              <w:widowControl/>
              <w:suppressLineNumbers w:val="0"/>
              <w:jc w:val="center"/>
              <w:textAlignment w:val="center"/>
              <w:rPr>
                <w:rFonts w:hint="default" w:ascii="Times New Roman" w:hAnsi="Times New Roman" w:cs="Times New Roman"/>
                <w:color w:val="auto"/>
                <w:u w:val="none" w:color="auto"/>
                <w:lang w:val="en-US" w:eastAsia="zh-CN"/>
              </w:rPr>
            </w:pPr>
            <w:r>
              <w:rPr>
                <w:rFonts w:hint="eastAsia" w:cs="Times New Roman"/>
                <w:i w:val="0"/>
                <w:color w:val="auto"/>
                <w:kern w:val="0"/>
                <w:sz w:val="21"/>
                <w:szCs w:val="21"/>
                <w:u w:val="none" w:color="auto"/>
                <w:lang w:val="en-US" w:eastAsia="zh-CN" w:bidi="ar"/>
              </w:rPr>
              <w:t>18144</w:t>
            </w:r>
          </w:p>
        </w:tc>
      </w:tr>
      <w:tr w14:paraId="33C28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ign w:val="center"/>
          </w:tcPr>
          <w:p w14:paraId="51F4D75D">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1#厂房覆膜机</w:t>
            </w:r>
          </w:p>
        </w:tc>
        <w:tc>
          <w:tcPr>
            <w:tcW w:w="870" w:type="dxa"/>
            <w:noWrap/>
            <w:vAlign w:val="center"/>
          </w:tcPr>
          <w:p w14:paraId="170BF4C8">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i w:val="0"/>
                <w:color w:val="auto"/>
                <w:kern w:val="0"/>
                <w:sz w:val="21"/>
                <w:szCs w:val="21"/>
                <w:u w:val="none" w:color="auto"/>
                <w:lang w:val="en-US" w:eastAsia="zh-CN" w:bidi="ar"/>
              </w:rPr>
              <w:t>1.2</w:t>
            </w:r>
          </w:p>
        </w:tc>
        <w:tc>
          <w:tcPr>
            <w:tcW w:w="892" w:type="dxa"/>
            <w:noWrap/>
            <w:vAlign w:val="center"/>
          </w:tcPr>
          <w:p w14:paraId="56D08161">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i w:val="0"/>
                <w:color w:val="auto"/>
                <w:kern w:val="0"/>
                <w:sz w:val="21"/>
                <w:szCs w:val="21"/>
                <w:u w:val="none" w:color="auto"/>
                <w:lang w:val="en-US" w:eastAsia="zh-CN" w:bidi="ar"/>
              </w:rPr>
              <w:t>0.6</w:t>
            </w:r>
          </w:p>
        </w:tc>
        <w:tc>
          <w:tcPr>
            <w:tcW w:w="1170" w:type="dxa"/>
            <w:noWrap/>
            <w:vAlign w:val="center"/>
          </w:tcPr>
          <w:p w14:paraId="656321C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i w:val="0"/>
                <w:color w:val="auto"/>
                <w:kern w:val="0"/>
                <w:sz w:val="21"/>
                <w:szCs w:val="21"/>
                <w:u w:val="none" w:color="auto"/>
                <w:lang w:val="en-US" w:eastAsia="zh-CN" w:bidi="ar"/>
              </w:rPr>
              <w:t>0.4</w:t>
            </w:r>
          </w:p>
        </w:tc>
        <w:tc>
          <w:tcPr>
            <w:tcW w:w="1125" w:type="dxa"/>
            <w:noWrap/>
            <w:vAlign w:val="center"/>
          </w:tcPr>
          <w:p w14:paraId="1324727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color w:val="auto"/>
                <w:kern w:val="0"/>
                <w:sz w:val="21"/>
                <w:szCs w:val="21"/>
                <w:u w:val="none" w:color="auto"/>
                <w:lang w:val="en-US" w:eastAsia="zh-CN" w:bidi="ar"/>
              </w:rPr>
              <w:t>0.</w:t>
            </w:r>
            <w:r>
              <w:rPr>
                <w:rFonts w:hint="eastAsia" w:cs="Times New Roman"/>
                <w:i w:val="0"/>
                <w:color w:val="auto"/>
                <w:kern w:val="0"/>
                <w:sz w:val="21"/>
                <w:szCs w:val="21"/>
                <w:u w:val="none" w:color="auto"/>
                <w:lang w:val="en-US" w:eastAsia="zh-CN" w:bidi="ar"/>
              </w:rPr>
              <w:t>35</w:t>
            </w:r>
          </w:p>
        </w:tc>
        <w:tc>
          <w:tcPr>
            <w:tcW w:w="1155" w:type="dxa"/>
            <w:noWrap/>
            <w:vAlign w:val="center"/>
          </w:tcPr>
          <w:p w14:paraId="21BEA6AE">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i w:val="0"/>
                <w:color w:val="auto"/>
                <w:kern w:val="0"/>
                <w:sz w:val="21"/>
                <w:szCs w:val="21"/>
                <w:u w:val="none" w:color="auto"/>
                <w:lang w:val="en-US" w:eastAsia="zh-CN" w:bidi="ar"/>
              </w:rPr>
              <w:t>907.2</w:t>
            </w:r>
          </w:p>
        </w:tc>
        <w:tc>
          <w:tcPr>
            <w:tcW w:w="1035" w:type="dxa"/>
            <w:noWrap/>
            <w:vAlign w:val="center"/>
          </w:tcPr>
          <w:p w14:paraId="46F9CE20">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sz w:val="21"/>
                <w:szCs w:val="21"/>
                <w:u w:val="none" w:color="auto"/>
                <w:lang w:val="en-US" w:eastAsia="zh-CN"/>
              </w:rPr>
              <w:t>20</w:t>
            </w:r>
          </w:p>
        </w:tc>
        <w:tc>
          <w:tcPr>
            <w:tcW w:w="943" w:type="dxa"/>
            <w:noWrap/>
            <w:vAlign w:val="center"/>
          </w:tcPr>
          <w:p w14:paraId="0AA0BC06">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i w:val="0"/>
                <w:color w:val="auto"/>
                <w:kern w:val="0"/>
                <w:sz w:val="21"/>
                <w:szCs w:val="21"/>
                <w:u w:val="none" w:color="auto"/>
                <w:lang w:val="en-US" w:eastAsia="zh-CN" w:bidi="ar"/>
              </w:rPr>
              <w:t>18144</w:t>
            </w:r>
          </w:p>
        </w:tc>
      </w:tr>
      <w:tr w14:paraId="47C14D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5" w:type="dxa"/>
            <w:gridSpan w:val="7"/>
            <w:noWrap/>
            <w:vAlign w:val="center"/>
          </w:tcPr>
          <w:p w14:paraId="16A4A662">
            <w:pPr>
              <w:keepNext w:val="0"/>
              <w:keepLines w:val="0"/>
              <w:widowControl/>
              <w:suppressLineNumbers w:val="0"/>
              <w:jc w:val="center"/>
              <w:textAlignment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合计风量</w:t>
            </w:r>
          </w:p>
        </w:tc>
        <w:tc>
          <w:tcPr>
            <w:tcW w:w="943" w:type="dxa"/>
            <w:noWrap/>
            <w:vAlign w:val="center"/>
          </w:tcPr>
          <w:p w14:paraId="6B7A9B9D">
            <w:pPr>
              <w:keepNext w:val="0"/>
              <w:keepLines w:val="0"/>
              <w:widowControl/>
              <w:suppressLineNumbers w:val="0"/>
              <w:jc w:val="center"/>
              <w:textAlignment w:val="center"/>
              <w:rPr>
                <w:rFonts w:hint="default" w:cs="Times New Roman"/>
                <w:i w:val="0"/>
                <w:color w:val="auto"/>
                <w:kern w:val="0"/>
                <w:sz w:val="21"/>
                <w:szCs w:val="21"/>
                <w:u w:val="none" w:color="auto"/>
                <w:lang w:val="en-US" w:eastAsia="zh-CN" w:bidi="ar"/>
              </w:rPr>
            </w:pPr>
            <w:r>
              <w:rPr>
                <w:rFonts w:hint="eastAsia" w:cs="Times New Roman"/>
                <w:i w:val="0"/>
                <w:color w:val="auto"/>
                <w:kern w:val="0"/>
                <w:sz w:val="21"/>
                <w:szCs w:val="21"/>
                <w:u w:val="none" w:color="auto"/>
                <w:lang w:val="en-US" w:eastAsia="zh-CN" w:bidi="ar"/>
              </w:rPr>
              <w:t>36288</w:t>
            </w:r>
          </w:p>
        </w:tc>
      </w:tr>
      <w:tr w14:paraId="1072F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ign w:val="center"/>
          </w:tcPr>
          <w:p w14:paraId="00B639D3">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2#厂房线条覆膜机</w:t>
            </w:r>
          </w:p>
        </w:tc>
        <w:tc>
          <w:tcPr>
            <w:tcW w:w="870" w:type="dxa"/>
            <w:noWrap/>
            <w:vAlign w:val="center"/>
          </w:tcPr>
          <w:p w14:paraId="3F90437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i w:val="0"/>
                <w:color w:val="auto"/>
                <w:kern w:val="0"/>
                <w:sz w:val="21"/>
                <w:szCs w:val="21"/>
                <w:u w:val="none" w:color="auto"/>
                <w:lang w:val="en-US" w:eastAsia="zh-CN" w:bidi="ar"/>
              </w:rPr>
              <w:t>0.4</w:t>
            </w:r>
          </w:p>
        </w:tc>
        <w:tc>
          <w:tcPr>
            <w:tcW w:w="892" w:type="dxa"/>
            <w:noWrap/>
            <w:vAlign w:val="center"/>
          </w:tcPr>
          <w:p w14:paraId="7174357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i w:val="0"/>
                <w:color w:val="auto"/>
                <w:kern w:val="0"/>
                <w:sz w:val="21"/>
                <w:szCs w:val="21"/>
                <w:u w:val="none" w:color="auto"/>
                <w:lang w:val="en-US" w:eastAsia="zh-CN" w:bidi="ar"/>
              </w:rPr>
              <w:t>0.4</w:t>
            </w:r>
          </w:p>
        </w:tc>
        <w:tc>
          <w:tcPr>
            <w:tcW w:w="1170" w:type="dxa"/>
            <w:noWrap/>
            <w:vAlign w:val="center"/>
          </w:tcPr>
          <w:p w14:paraId="6DCFD96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i w:val="0"/>
                <w:color w:val="auto"/>
                <w:kern w:val="0"/>
                <w:sz w:val="21"/>
                <w:szCs w:val="21"/>
                <w:u w:val="none" w:color="auto"/>
                <w:lang w:val="en-US" w:eastAsia="zh-CN" w:bidi="ar"/>
              </w:rPr>
              <w:t>0.6</w:t>
            </w:r>
          </w:p>
        </w:tc>
        <w:tc>
          <w:tcPr>
            <w:tcW w:w="1125" w:type="dxa"/>
            <w:noWrap/>
            <w:vAlign w:val="center"/>
          </w:tcPr>
          <w:p w14:paraId="2C60618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i w:val="0"/>
                <w:color w:val="auto"/>
                <w:kern w:val="0"/>
                <w:sz w:val="21"/>
                <w:szCs w:val="21"/>
                <w:u w:val="none" w:color="auto"/>
                <w:lang w:val="en-US" w:eastAsia="zh-CN" w:bidi="ar"/>
              </w:rPr>
              <w:t>0.</w:t>
            </w:r>
            <w:r>
              <w:rPr>
                <w:rFonts w:hint="eastAsia" w:cs="Times New Roman"/>
                <w:i w:val="0"/>
                <w:color w:val="auto"/>
                <w:kern w:val="0"/>
                <w:sz w:val="21"/>
                <w:szCs w:val="21"/>
                <w:u w:val="none" w:color="auto"/>
                <w:lang w:val="en-US" w:eastAsia="zh-CN" w:bidi="ar"/>
              </w:rPr>
              <w:t>35</w:t>
            </w:r>
          </w:p>
        </w:tc>
        <w:tc>
          <w:tcPr>
            <w:tcW w:w="1155" w:type="dxa"/>
            <w:noWrap/>
            <w:vAlign w:val="center"/>
          </w:tcPr>
          <w:p w14:paraId="7C1BBE24">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604.8</w:t>
            </w:r>
          </w:p>
        </w:tc>
        <w:tc>
          <w:tcPr>
            <w:tcW w:w="1035" w:type="dxa"/>
            <w:noWrap/>
            <w:vAlign w:val="center"/>
          </w:tcPr>
          <w:p w14:paraId="7CC9A22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i w:val="0"/>
                <w:color w:val="auto"/>
                <w:kern w:val="0"/>
                <w:sz w:val="21"/>
                <w:szCs w:val="21"/>
                <w:u w:val="none" w:color="auto"/>
                <w:lang w:val="en-US" w:eastAsia="zh-CN" w:bidi="ar"/>
              </w:rPr>
              <w:t>20</w:t>
            </w:r>
          </w:p>
        </w:tc>
        <w:tc>
          <w:tcPr>
            <w:tcW w:w="943" w:type="dxa"/>
            <w:noWrap/>
            <w:vAlign w:val="center"/>
          </w:tcPr>
          <w:p w14:paraId="7B7B3C1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12096</w:t>
            </w:r>
          </w:p>
        </w:tc>
      </w:tr>
      <w:tr w14:paraId="1600FC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28" w:type="dxa"/>
            <w:noWrap/>
            <w:vAlign w:val="center"/>
          </w:tcPr>
          <w:p w14:paraId="1A3E45A8">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2#厂房大板覆膜机</w:t>
            </w:r>
          </w:p>
        </w:tc>
        <w:tc>
          <w:tcPr>
            <w:tcW w:w="870" w:type="dxa"/>
            <w:noWrap/>
            <w:vAlign w:val="center"/>
          </w:tcPr>
          <w:p w14:paraId="2740A92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0"/>
                <w:sz w:val="21"/>
                <w:szCs w:val="21"/>
                <w:u w:val="none" w:color="auto"/>
                <w:lang w:val="en-US" w:eastAsia="zh-CN" w:bidi="ar"/>
              </w:rPr>
            </w:pPr>
            <w:r>
              <w:rPr>
                <w:rFonts w:hint="eastAsia" w:cs="Times New Roman"/>
                <w:i w:val="0"/>
                <w:color w:val="auto"/>
                <w:kern w:val="0"/>
                <w:sz w:val="21"/>
                <w:szCs w:val="21"/>
                <w:u w:val="none" w:color="auto"/>
                <w:lang w:val="en-US" w:eastAsia="zh-CN" w:bidi="ar"/>
              </w:rPr>
              <w:t>1.0</w:t>
            </w:r>
          </w:p>
        </w:tc>
        <w:tc>
          <w:tcPr>
            <w:tcW w:w="892" w:type="dxa"/>
            <w:noWrap/>
            <w:vAlign w:val="center"/>
          </w:tcPr>
          <w:p w14:paraId="4AB90A7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0"/>
                <w:sz w:val="21"/>
                <w:szCs w:val="21"/>
                <w:u w:val="none" w:color="auto"/>
                <w:lang w:val="en-US" w:eastAsia="zh-CN" w:bidi="ar"/>
              </w:rPr>
            </w:pPr>
            <w:r>
              <w:rPr>
                <w:rFonts w:hint="eastAsia" w:cs="Times New Roman"/>
                <w:i w:val="0"/>
                <w:color w:val="auto"/>
                <w:kern w:val="0"/>
                <w:sz w:val="21"/>
                <w:szCs w:val="21"/>
                <w:u w:val="none" w:color="auto"/>
                <w:lang w:val="en-US" w:eastAsia="zh-CN" w:bidi="ar"/>
              </w:rPr>
              <w:t>1.0</w:t>
            </w:r>
          </w:p>
        </w:tc>
        <w:tc>
          <w:tcPr>
            <w:tcW w:w="1170" w:type="dxa"/>
            <w:noWrap/>
            <w:vAlign w:val="center"/>
          </w:tcPr>
          <w:p w14:paraId="350D527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0"/>
                <w:sz w:val="21"/>
                <w:szCs w:val="21"/>
                <w:u w:val="none" w:color="auto"/>
                <w:lang w:val="en-US" w:eastAsia="zh-CN" w:bidi="ar"/>
              </w:rPr>
            </w:pPr>
            <w:r>
              <w:rPr>
                <w:rFonts w:hint="eastAsia" w:cs="Times New Roman"/>
                <w:i w:val="0"/>
                <w:color w:val="auto"/>
                <w:kern w:val="0"/>
                <w:sz w:val="21"/>
                <w:szCs w:val="21"/>
                <w:u w:val="none" w:color="auto"/>
                <w:lang w:val="en-US" w:eastAsia="zh-CN" w:bidi="ar"/>
              </w:rPr>
              <w:t>0.6</w:t>
            </w:r>
          </w:p>
        </w:tc>
        <w:tc>
          <w:tcPr>
            <w:tcW w:w="1125" w:type="dxa"/>
            <w:noWrap/>
            <w:vAlign w:val="center"/>
          </w:tcPr>
          <w:p w14:paraId="5AE3C88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color w:val="auto"/>
                <w:kern w:val="0"/>
                <w:sz w:val="21"/>
                <w:szCs w:val="21"/>
                <w:u w:val="none" w:color="auto"/>
                <w:lang w:val="en-US" w:eastAsia="zh-CN" w:bidi="ar"/>
              </w:rPr>
            </w:pPr>
            <w:r>
              <w:rPr>
                <w:rFonts w:hint="eastAsia" w:cs="Times New Roman"/>
                <w:i w:val="0"/>
                <w:color w:val="auto"/>
                <w:kern w:val="0"/>
                <w:sz w:val="21"/>
                <w:szCs w:val="21"/>
                <w:u w:val="none" w:color="auto"/>
                <w:lang w:val="en-US" w:eastAsia="zh-CN" w:bidi="ar"/>
              </w:rPr>
              <w:t>0.35</w:t>
            </w:r>
          </w:p>
        </w:tc>
        <w:tc>
          <w:tcPr>
            <w:tcW w:w="1155" w:type="dxa"/>
            <w:noWrap/>
            <w:vAlign w:val="center"/>
          </w:tcPr>
          <w:p w14:paraId="315956A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0"/>
                <w:sz w:val="21"/>
                <w:szCs w:val="21"/>
                <w:u w:val="none" w:color="auto"/>
                <w:lang w:val="en-US" w:eastAsia="zh-CN" w:bidi="ar"/>
              </w:rPr>
            </w:pPr>
            <w:r>
              <w:rPr>
                <w:rFonts w:hint="eastAsia" w:cs="Times New Roman"/>
                <w:i w:val="0"/>
                <w:color w:val="auto"/>
                <w:kern w:val="0"/>
                <w:sz w:val="21"/>
                <w:szCs w:val="21"/>
                <w:u w:val="none" w:color="auto"/>
                <w:lang w:val="en-US" w:eastAsia="zh-CN" w:bidi="ar"/>
              </w:rPr>
              <w:t>1512</w:t>
            </w:r>
          </w:p>
        </w:tc>
        <w:tc>
          <w:tcPr>
            <w:tcW w:w="1035" w:type="dxa"/>
            <w:noWrap/>
            <w:vAlign w:val="center"/>
          </w:tcPr>
          <w:p w14:paraId="7536103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0"/>
                <w:sz w:val="21"/>
                <w:szCs w:val="21"/>
                <w:u w:val="none" w:color="auto"/>
                <w:lang w:val="en-US" w:eastAsia="zh-CN" w:bidi="ar"/>
              </w:rPr>
            </w:pPr>
            <w:r>
              <w:rPr>
                <w:rFonts w:hint="eastAsia" w:cs="Times New Roman"/>
                <w:i w:val="0"/>
                <w:color w:val="auto"/>
                <w:kern w:val="0"/>
                <w:sz w:val="21"/>
                <w:szCs w:val="21"/>
                <w:u w:val="none" w:color="auto"/>
                <w:lang w:val="en-US" w:eastAsia="zh-CN" w:bidi="ar"/>
              </w:rPr>
              <w:t>6</w:t>
            </w:r>
          </w:p>
        </w:tc>
        <w:tc>
          <w:tcPr>
            <w:tcW w:w="943" w:type="dxa"/>
            <w:noWrap/>
            <w:vAlign w:val="center"/>
          </w:tcPr>
          <w:p w14:paraId="4E107DD6">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i w:val="0"/>
                <w:color w:val="auto"/>
                <w:kern w:val="0"/>
                <w:sz w:val="21"/>
                <w:szCs w:val="21"/>
                <w:u w:val="none" w:color="auto"/>
                <w:lang w:val="en-US" w:eastAsia="zh-CN" w:bidi="ar"/>
              </w:rPr>
            </w:pPr>
            <w:r>
              <w:rPr>
                <w:rFonts w:hint="eastAsia" w:cs="Times New Roman"/>
                <w:i w:val="0"/>
                <w:color w:val="auto"/>
                <w:kern w:val="0"/>
                <w:sz w:val="21"/>
                <w:szCs w:val="21"/>
                <w:u w:val="none" w:color="auto"/>
                <w:lang w:val="en-US" w:eastAsia="zh-CN" w:bidi="ar"/>
              </w:rPr>
              <w:t>9072</w:t>
            </w:r>
          </w:p>
        </w:tc>
      </w:tr>
      <w:tr w14:paraId="261CCF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75" w:type="dxa"/>
            <w:gridSpan w:val="7"/>
            <w:noWrap/>
            <w:vAlign w:val="center"/>
          </w:tcPr>
          <w:p w14:paraId="58D46C31">
            <w:pPr>
              <w:keepNext w:val="0"/>
              <w:keepLines w:val="0"/>
              <w:widowControl/>
              <w:suppressLineNumbers w:val="0"/>
              <w:jc w:val="center"/>
              <w:textAlignment w:val="center"/>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rPr>
              <w:t>合计风量</w:t>
            </w:r>
          </w:p>
        </w:tc>
        <w:tc>
          <w:tcPr>
            <w:tcW w:w="943" w:type="dxa"/>
            <w:noWrap/>
            <w:vAlign w:val="center"/>
          </w:tcPr>
          <w:p w14:paraId="50A0BA24">
            <w:pPr>
              <w:keepNext w:val="0"/>
              <w:keepLines w:val="0"/>
              <w:widowControl/>
              <w:suppressLineNumbers w:val="0"/>
              <w:jc w:val="center"/>
              <w:textAlignment w:val="center"/>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21168</w:t>
            </w:r>
          </w:p>
        </w:tc>
      </w:tr>
    </w:tbl>
    <w:p w14:paraId="67531DE4">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根据上表</w:t>
      </w:r>
      <w:r>
        <w:rPr>
          <w:rFonts w:hint="default" w:ascii="Times New Roman" w:hAnsi="Times New Roman" w:cs="Times New Roman"/>
          <w:color w:val="auto"/>
          <w:u w:val="none" w:color="auto"/>
        </w:rPr>
        <w:t>计算得到</w:t>
      </w:r>
      <w:r>
        <w:rPr>
          <w:rFonts w:hint="eastAsia" w:ascii="Times New Roman" w:hAnsi="Times New Roman" w:cs="Times New Roman"/>
          <w:color w:val="auto"/>
          <w:u w:val="none" w:color="auto"/>
          <w:lang w:val="en-US" w:eastAsia="zh-CN"/>
        </w:rPr>
        <w:t>1#厂房</w:t>
      </w:r>
      <w:r>
        <w:rPr>
          <w:rFonts w:hint="default" w:ascii="Times New Roman" w:hAnsi="Times New Roman" w:cs="Times New Roman"/>
          <w:color w:val="auto"/>
          <w:u w:val="none" w:color="auto"/>
        </w:rPr>
        <w:t>最小风量为</w:t>
      </w:r>
      <w:r>
        <w:rPr>
          <w:rFonts w:hint="eastAsia" w:ascii="Times New Roman" w:hAnsi="Times New Roman" w:cs="Times New Roman"/>
          <w:color w:val="auto"/>
          <w:u w:val="none" w:color="auto"/>
          <w:lang w:val="en-US" w:eastAsia="zh-CN"/>
        </w:rPr>
        <w:t>36288</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/h</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2#厂房最小风量为21168</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/h，</w:t>
      </w:r>
      <w:r>
        <w:rPr>
          <w:rFonts w:hint="eastAsia" w:ascii="Times New Roman" w:hAnsi="Times New Roman" w:cs="Times New Roman"/>
          <w:color w:val="auto"/>
          <w:u w:val="none" w:color="auto"/>
          <w:lang w:val="en-US" w:eastAsia="zh-CN"/>
        </w:rPr>
        <w:t>故</w:t>
      </w:r>
      <w:r>
        <w:rPr>
          <w:rFonts w:hint="default" w:ascii="Times New Roman" w:hAnsi="Times New Roman" w:cs="Times New Roman"/>
          <w:color w:val="auto"/>
          <w:u w:val="none" w:color="auto"/>
        </w:rPr>
        <w:t>本项目最终确定的</w:t>
      </w:r>
      <w:r>
        <w:rPr>
          <w:rFonts w:hint="eastAsia" w:ascii="Times New Roman" w:hAnsi="Times New Roman" w:cs="Times New Roman"/>
          <w:color w:val="auto"/>
          <w:u w:val="none" w:color="auto"/>
          <w:lang w:val="en-US" w:eastAsia="zh-CN"/>
        </w:rPr>
        <w:t>DA002排气筒</w:t>
      </w:r>
      <w:r>
        <w:rPr>
          <w:rFonts w:hint="default" w:ascii="Times New Roman" w:hAnsi="Times New Roman" w:cs="Times New Roman"/>
          <w:color w:val="auto"/>
          <w:u w:val="none" w:color="auto"/>
        </w:rPr>
        <w:t>设计风量为</w:t>
      </w:r>
      <w:r>
        <w:rPr>
          <w:rFonts w:hint="eastAsia" w:ascii="Times New Roman" w:hAnsi="Times New Roman" w:cs="Times New Roman"/>
          <w:color w:val="auto"/>
          <w:u w:val="none" w:color="auto"/>
          <w:lang w:val="en-US" w:eastAsia="zh-CN"/>
        </w:rPr>
        <w:t>40000</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/h</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DA003排气筒</w:t>
      </w:r>
      <w:r>
        <w:rPr>
          <w:rFonts w:hint="default" w:ascii="Times New Roman" w:hAnsi="Times New Roman" w:cs="Times New Roman"/>
          <w:color w:val="auto"/>
          <w:u w:val="none" w:color="auto"/>
        </w:rPr>
        <w:t>设计风量为</w:t>
      </w:r>
      <w:r>
        <w:rPr>
          <w:rFonts w:hint="eastAsia" w:ascii="Times New Roman" w:hAnsi="Times New Roman" w:cs="Times New Roman"/>
          <w:color w:val="auto"/>
          <w:u w:val="none" w:color="auto"/>
          <w:lang w:val="en-US" w:eastAsia="zh-CN"/>
        </w:rPr>
        <w:t>25000</w:t>
      </w:r>
      <w:r>
        <w:rPr>
          <w:rFonts w:hint="default" w:ascii="Times New Roman" w:hAnsi="Times New Roman" w:cs="Times New Roman"/>
          <w:color w:val="auto"/>
          <w:u w:val="none" w:color="auto"/>
        </w:rPr>
        <w:t>m</w:t>
      </w:r>
      <w:r>
        <w:rPr>
          <w:rFonts w:hint="default" w:ascii="Times New Roman" w:hAnsi="Times New Roman" w:cs="Times New Roman"/>
          <w:color w:val="auto"/>
          <w:u w:val="none" w:color="auto"/>
          <w:vertAlign w:val="superscript"/>
        </w:rPr>
        <w:t>3</w:t>
      </w:r>
      <w:r>
        <w:rPr>
          <w:rFonts w:hint="default" w:ascii="Times New Roman" w:hAnsi="Times New Roman" w:cs="Times New Roman"/>
          <w:color w:val="auto"/>
          <w:u w:val="none" w:color="auto"/>
        </w:rPr>
        <w:t>/h。本项目有机废气的收集系统满足《挥发性有机物无组织排放控制标准》（GB 37822</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2019）要求。</w:t>
      </w:r>
    </w:p>
    <w:p w14:paraId="6043FFEE">
      <w:pPr>
        <w:pStyle w:val="20"/>
        <w:ind w:firstLine="480"/>
        <w:rPr>
          <w:color w:val="auto"/>
          <w:u w:val="none" w:color="auto"/>
        </w:rPr>
      </w:pPr>
      <w:r>
        <w:rPr>
          <w:rFonts w:hint="default" w:ascii="Times New Roman" w:hAnsi="Times New Roman" w:cs="Times New Roman"/>
          <w:i w:val="0"/>
          <w:iCs w:val="0"/>
          <w:color w:val="auto"/>
          <w:u w:val="none" w:color="auto"/>
          <w:lang w:eastAsia="zh-CN"/>
        </w:rPr>
        <w:t>（</w:t>
      </w:r>
      <w:r>
        <w:rPr>
          <w:rFonts w:hint="eastAsia" w:ascii="Times New Roman" w:hAnsi="Times New Roman" w:cs="Times New Roman"/>
          <w:i w:val="0"/>
          <w:iCs w:val="0"/>
          <w:color w:val="auto"/>
          <w:u w:val="none" w:color="auto"/>
          <w:lang w:val="en-US" w:eastAsia="zh-CN"/>
        </w:rPr>
        <w:t>2</w:t>
      </w:r>
      <w:r>
        <w:rPr>
          <w:rFonts w:hint="default" w:ascii="Times New Roman" w:hAnsi="Times New Roman" w:cs="Times New Roman"/>
          <w:i w:val="0"/>
          <w:iCs w:val="0"/>
          <w:color w:val="auto"/>
          <w:u w:val="none" w:color="auto"/>
          <w:lang w:eastAsia="zh-CN"/>
        </w:rPr>
        <w:t>）</w:t>
      </w:r>
      <w:r>
        <w:rPr>
          <w:rFonts w:hint="eastAsia"/>
          <w:color w:val="auto"/>
          <w:u w:val="none" w:color="auto"/>
        </w:rPr>
        <w:t>活性炭吸附原理</w:t>
      </w:r>
      <w:r>
        <w:rPr>
          <w:color w:val="auto"/>
          <w:u w:val="none" w:color="auto"/>
        </w:rPr>
        <w:t>：</w:t>
      </w:r>
    </w:p>
    <w:p w14:paraId="71808235">
      <w:pPr>
        <w:pStyle w:val="20"/>
        <w:ind w:firstLine="480"/>
        <w:rPr>
          <w:color w:val="auto"/>
          <w:u w:val="none" w:color="auto"/>
        </w:rPr>
      </w:pPr>
      <w:r>
        <w:rPr>
          <w:rFonts w:hint="eastAsia"/>
          <w:color w:val="auto"/>
          <w:kern w:val="0"/>
          <w:u w:val="none" w:color="auto"/>
          <w:lang w:val="en-US" w:eastAsia="zh-CN" w:bidi="ar"/>
        </w:rPr>
        <w:t>①</w:t>
      </w:r>
      <w:r>
        <w:rPr>
          <w:color w:val="auto"/>
          <w:kern w:val="0"/>
          <w:u w:val="none" w:color="auto"/>
          <w:lang w:bidi="ar"/>
        </w:rPr>
        <w:t>活性炭吸附原理和特点</w:t>
      </w:r>
    </w:p>
    <w:p w14:paraId="1B33BDE1">
      <w:pPr>
        <w:pStyle w:val="20"/>
        <w:ind w:firstLine="480"/>
        <w:rPr>
          <w:color w:val="auto"/>
          <w:u w:val="none" w:color="auto"/>
        </w:rPr>
      </w:pPr>
      <w:r>
        <w:rPr>
          <w:color w:val="auto"/>
          <w:u w:val="none" w:color="auto"/>
        </w:rPr>
        <w:t>活性炭是</w:t>
      </w:r>
      <w:r>
        <w:rPr>
          <w:color w:val="auto"/>
          <w:kern w:val="0"/>
          <w:u w:val="none" w:color="auto"/>
          <w:lang w:bidi="ar"/>
        </w:rPr>
        <w:t>一种黑色多孔的固体炭质。早期由木材、硬果壳或兽骨等经炭化、活化制得，后改用煤通过粉碎、成型或用均匀的煤粒经炭化、活化生产。主要成分为碳，并含少量氧、氢、硫、氮、氯等元素。普通活性炭的比表面积在500～1700m</w:t>
      </w:r>
      <w:r>
        <w:rPr>
          <w:color w:val="auto"/>
          <w:kern w:val="0"/>
          <w:u w:val="none" w:color="auto"/>
          <w:vertAlign w:val="superscript"/>
          <w:lang w:bidi="ar"/>
        </w:rPr>
        <w:t>2</w:t>
      </w:r>
      <w:r>
        <w:rPr>
          <w:color w:val="auto"/>
          <w:kern w:val="0"/>
          <w:u w:val="none" w:color="auto"/>
          <w:lang w:bidi="ar"/>
        </w:rPr>
        <w:t>/g间，</w:t>
      </w:r>
      <w:r>
        <w:rPr>
          <w:rFonts w:hint="eastAsia"/>
          <w:color w:val="auto"/>
          <w:kern w:val="0"/>
          <w:u w:val="none" w:color="auto"/>
          <w:lang w:val="en-US" w:eastAsia="zh-CN" w:bidi="ar"/>
        </w:rPr>
        <w:t>本项目使用活性炭为800</w:t>
      </w:r>
      <w:r>
        <w:rPr>
          <w:color w:val="auto"/>
          <w:kern w:val="0"/>
          <w:u w:val="none" w:color="auto"/>
          <w:lang w:bidi="ar"/>
        </w:rPr>
        <w:t>m</w:t>
      </w:r>
      <w:r>
        <w:rPr>
          <w:color w:val="auto"/>
          <w:kern w:val="0"/>
          <w:u w:val="none" w:color="auto"/>
          <w:vertAlign w:val="superscript"/>
          <w:lang w:bidi="ar"/>
        </w:rPr>
        <w:t>2</w:t>
      </w:r>
      <w:r>
        <w:rPr>
          <w:color w:val="auto"/>
          <w:kern w:val="0"/>
          <w:u w:val="none" w:color="auto"/>
          <w:lang w:bidi="ar"/>
        </w:rPr>
        <w:t>/g</w:t>
      </w:r>
      <w:r>
        <w:rPr>
          <w:rFonts w:hint="eastAsia"/>
          <w:color w:val="auto"/>
          <w:kern w:val="0"/>
          <w:u w:val="none" w:color="auto"/>
          <w:lang w:eastAsia="zh-CN" w:bidi="ar"/>
        </w:rPr>
        <w:t>，</w:t>
      </w:r>
      <w:r>
        <w:rPr>
          <w:color w:val="auto"/>
          <w:kern w:val="0"/>
          <w:u w:val="none" w:color="auto"/>
          <w:lang w:bidi="ar"/>
        </w:rPr>
        <w:t>具有很强的吸附性能，吸附速度快，吸附容量高，易于再生，经久耐用，为用途极广的一种工业吸附剂。</w:t>
      </w:r>
    </w:p>
    <w:p w14:paraId="01B2A38C">
      <w:pPr>
        <w:pStyle w:val="20"/>
        <w:ind w:firstLine="480"/>
        <w:rPr>
          <w:color w:val="auto"/>
          <w:u w:val="none" w:color="auto"/>
        </w:rPr>
      </w:pPr>
      <w:r>
        <w:rPr>
          <w:color w:val="auto"/>
          <w:u w:val="none" w:color="auto"/>
        </w:rPr>
        <w:t>活性炭吸附装置可处理苯类、酮类、醇类、烷类及其混合物类有机废气，主</w:t>
      </w:r>
      <w:r>
        <w:rPr>
          <w:color w:val="auto"/>
          <w:kern w:val="0"/>
          <w:u w:val="none" w:color="auto"/>
          <w:lang w:bidi="ar"/>
        </w:rPr>
        <w:t>要用于电子原件生产、电池生产、酸洗作业、实验室排气、冶金、化工、医药、涂装、食品、酿造等废气治理，尤为适合低浓度大风量或高浓度间歇排放废气的作业环境。而本项目的废气也具有低浓度的特征。</w:t>
      </w:r>
    </w:p>
    <w:p w14:paraId="7D9653E9">
      <w:pPr>
        <w:pStyle w:val="22"/>
        <w:bidi w:val="0"/>
        <w:rPr>
          <w:color w:val="auto"/>
          <w:u w:val="none" w:color="auto"/>
        </w:rPr>
      </w:pPr>
      <w:r>
        <w:rPr>
          <w:color w:val="auto"/>
          <w:u w:val="none" w:color="auto"/>
        </w:rPr>
        <w:t>表</w:t>
      </w:r>
      <w:r>
        <w:rPr>
          <w:rFonts w:hint="eastAsia"/>
          <w:color w:val="auto"/>
          <w:u w:val="none" w:color="auto"/>
          <w:lang w:val="en-US" w:eastAsia="zh-CN"/>
        </w:rPr>
        <w:t>7.2-2</w:t>
      </w:r>
      <w:r>
        <w:rPr>
          <w:color w:val="auto"/>
          <w:u w:val="none" w:color="auto"/>
        </w:rPr>
        <w:t xml:space="preserve"> 活性炭吸附的吸附原理和特点</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4"/>
        <w:gridCol w:w="2835"/>
        <w:gridCol w:w="2835"/>
      </w:tblGrid>
      <w:tr w14:paraId="6C2EFF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3" w:type="dxa"/>
            <w:noWrap w:val="0"/>
            <w:vAlign w:val="center"/>
          </w:tcPr>
          <w:p w14:paraId="3DD7CD1D">
            <w:pPr>
              <w:pStyle w:val="23"/>
              <w:bidi w:val="0"/>
              <w:rPr>
                <w:color w:val="auto"/>
                <w:u w:val="none" w:color="auto"/>
              </w:rPr>
            </w:pPr>
            <w:r>
              <w:rPr>
                <w:color w:val="auto"/>
                <w:u w:val="none" w:color="auto"/>
              </w:rPr>
              <w:t>吸附原理</w:t>
            </w:r>
          </w:p>
        </w:tc>
        <w:tc>
          <w:tcPr>
            <w:tcW w:w="3024" w:type="dxa"/>
            <w:noWrap w:val="0"/>
            <w:vAlign w:val="center"/>
          </w:tcPr>
          <w:p w14:paraId="2B3BAFA4">
            <w:pPr>
              <w:pStyle w:val="23"/>
              <w:bidi w:val="0"/>
              <w:rPr>
                <w:color w:val="auto"/>
                <w:u w:val="none" w:color="auto"/>
              </w:rPr>
            </w:pPr>
            <w:r>
              <w:rPr>
                <w:color w:val="auto"/>
                <w:u w:val="none" w:color="auto"/>
              </w:rPr>
              <w:t>特点</w:t>
            </w:r>
          </w:p>
        </w:tc>
        <w:tc>
          <w:tcPr>
            <w:tcW w:w="3024" w:type="dxa"/>
            <w:noWrap w:val="0"/>
            <w:vAlign w:val="center"/>
          </w:tcPr>
          <w:p w14:paraId="074314B2">
            <w:pPr>
              <w:pStyle w:val="23"/>
              <w:bidi w:val="0"/>
              <w:rPr>
                <w:color w:val="auto"/>
                <w:u w:val="none" w:color="auto"/>
              </w:rPr>
            </w:pPr>
            <w:r>
              <w:rPr>
                <w:color w:val="auto"/>
                <w:u w:val="none" w:color="auto"/>
              </w:rPr>
              <w:t>活性炭吸附内部示意简图</w:t>
            </w:r>
          </w:p>
        </w:tc>
      </w:tr>
      <w:tr w14:paraId="4960A6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23" w:type="dxa"/>
            <w:noWrap w:val="0"/>
            <w:vAlign w:val="center"/>
          </w:tcPr>
          <w:p w14:paraId="044C66BA">
            <w:pPr>
              <w:pStyle w:val="23"/>
              <w:bidi w:val="0"/>
              <w:rPr>
                <w:color w:val="auto"/>
                <w:u w:val="none" w:color="auto"/>
              </w:rPr>
            </w:pPr>
            <w:r>
              <w:rPr>
                <w:color w:val="auto"/>
                <w:u w:val="none" w:color="auto"/>
              </w:rPr>
              <w:t>活性炭（吸附剂）是一种非极性吸附剂，具有疏水性和亲有机物的性质，它能吸附绝大部分有机气体，如苯类、醛酮类、醇类、烃类等以及恶臭物质</w:t>
            </w:r>
          </w:p>
        </w:tc>
        <w:tc>
          <w:tcPr>
            <w:tcW w:w="3024" w:type="dxa"/>
            <w:noWrap w:val="0"/>
            <w:vAlign w:val="center"/>
          </w:tcPr>
          <w:p w14:paraId="1E4B018F">
            <w:pPr>
              <w:pStyle w:val="23"/>
              <w:bidi w:val="0"/>
              <w:rPr>
                <w:color w:val="auto"/>
                <w:u w:val="none" w:color="auto"/>
              </w:rPr>
            </w:pPr>
            <w:r>
              <w:rPr>
                <w:color w:val="auto"/>
                <w:u w:val="none" w:color="auto"/>
              </w:rPr>
              <w:t>活性炭具有较好的机械强度、耐磨损性能、稳定的再活性以及对强、碱、水、高温的适应性等。活性炭对气体的吸附具有广泛性，对有机气体、无机气体、大分子量、小分子量均有较好的吸附性能，特别适用于混合有机气体的吸附。</w:t>
            </w:r>
          </w:p>
          <w:p w14:paraId="4EE023C3">
            <w:pPr>
              <w:pStyle w:val="23"/>
              <w:bidi w:val="0"/>
              <w:rPr>
                <w:color w:val="auto"/>
                <w:u w:val="none" w:color="auto"/>
              </w:rPr>
            </w:pPr>
            <w:r>
              <w:rPr>
                <w:color w:val="auto"/>
                <w:u w:val="none" w:color="auto"/>
              </w:rPr>
              <w:t>由于其具有疏松多孔的结构，比表面积很大，对有机废气吸附效率也比较高</w:t>
            </w:r>
          </w:p>
        </w:tc>
        <w:tc>
          <w:tcPr>
            <w:tcW w:w="3024" w:type="dxa"/>
            <w:noWrap w:val="0"/>
            <w:vAlign w:val="center"/>
          </w:tcPr>
          <w:p w14:paraId="47E35DF4">
            <w:pPr>
              <w:pStyle w:val="23"/>
              <w:bidi w:val="0"/>
              <w:rPr>
                <w:color w:val="auto"/>
                <w:u w:val="none" w:color="auto"/>
              </w:rPr>
            </w:pPr>
            <w:r>
              <w:rPr>
                <w:color w:val="auto"/>
                <w:u w:val="none" w:color="auto"/>
              </w:rPr>
              <w:drawing>
                <wp:inline distT="0" distB="0" distL="114300" distR="114300">
                  <wp:extent cx="1779905" cy="1162050"/>
                  <wp:effectExtent l="0" t="0" r="10795" b="0"/>
                  <wp:docPr id="2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pic:cNvPicPr>
                        </pic:nvPicPr>
                        <pic:blipFill>
                          <a:blip r:embed="rId49"/>
                          <a:stretch>
                            <a:fillRect/>
                          </a:stretch>
                        </pic:blipFill>
                        <pic:spPr>
                          <a:xfrm>
                            <a:off x="0" y="0"/>
                            <a:ext cx="1779905" cy="1162050"/>
                          </a:xfrm>
                          <a:prstGeom prst="rect">
                            <a:avLst/>
                          </a:prstGeom>
                          <a:noFill/>
                          <a:ln>
                            <a:noFill/>
                          </a:ln>
                        </pic:spPr>
                      </pic:pic>
                    </a:graphicData>
                  </a:graphic>
                </wp:inline>
              </w:drawing>
            </w:r>
          </w:p>
        </w:tc>
      </w:tr>
    </w:tbl>
    <w:p w14:paraId="591E13B8">
      <w:pPr>
        <w:pStyle w:val="20"/>
        <w:ind w:firstLine="480"/>
        <w:rPr>
          <w:color w:val="auto"/>
          <w:u w:val="none" w:color="auto"/>
        </w:rPr>
      </w:pPr>
      <w:r>
        <w:rPr>
          <w:rFonts w:hint="eastAsia"/>
          <w:color w:val="auto"/>
          <w:u w:val="none" w:color="auto"/>
          <w:lang w:val="en-US" w:eastAsia="zh-CN"/>
        </w:rPr>
        <w:t>②</w:t>
      </w:r>
      <w:r>
        <w:rPr>
          <w:color w:val="auto"/>
          <w:u w:val="none" w:color="auto"/>
        </w:rPr>
        <w:t>活性炭吸附设施的基本参数要求</w:t>
      </w:r>
    </w:p>
    <w:p w14:paraId="08AC4E7D">
      <w:pPr>
        <w:pStyle w:val="20"/>
        <w:ind w:firstLine="480"/>
        <w:rPr>
          <w:color w:val="auto"/>
          <w:u w:val="none" w:color="auto"/>
        </w:rPr>
      </w:pPr>
      <w:r>
        <w:rPr>
          <w:color w:val="auto"/>
          <w:u w:val="none" w:color="auto"/>
        </w:rPr>
        <w:t>本项目有机废气由引风机提供动力，负压进入活性炭吸附装置。由于活性炭固体表面上存在着未平衡和未饱和的分子引力或化学键力，当此固体表面与气体接触时，就能吸引气体分子，使其浓聚并保持在固体表面。利用活性炭固体表面的这种吸附能力，使废气与大表面、多孔性的活性炭固体物质相接触，废气中的污染物被吸附在固体表面上，使其与气体混合物分离，达到净化目的。</w:t>
      </w:r>
    </w:p>
    <w:p w14:paraId="0518D9C6">
      <w:pPr>
        <w:pStyle w:val="20"/>
        <w:ind w:firstLine="480"/>
        <w:rPr>
          <w:color w:val="auto"/>
          <w:u w:val="none" w:color="auto"/>
        </w:rPr>
      </w:pPr>
      <w:r>
        <w:rPr>
          <w:color w:val="auto"/>
          <w:u w:val="none" w:color="auto"/>
        </w:rPr>
        <w:t>《吸附法工业有机废气治理工程技术规范》（HJ2026-2013）指出，进入吸附装置的废气温度宜低于40</w:t>
      </w:r>
      <w:r>
        <w:rPr>
          <w:rFonts w:hint="default" w:ascii="Times New Roman" w:hAnsi="Times New Roman" w:cs="Times New Roman"/>
          <w:color w:val="auto"/>
          <w:u w:val="none" w:color="auto"/>
        </w:rPr>
        <w:t>℃</w:t>
      </w:r>
      <w:r>
        <w:rPr>
          <w:color w:val="auto"/>
          <w:u w:val="none" w:color="auto"/>
        </w:rPr>
        <w:t>，采用颗粒状吸附剂时的气流流速宜低于0.6m/s。本项目的有机废气经过抽风后温度为常温，故适合采用颗粒活性炭作吸附剂。本环评建议吸附装置样式可选用为垂直固定床式，该样式构造简单，适合600~42000m</w:t>
      </w:r>
      <w:r>
        <w:rPr>
          <w:color w:val="auto"/>
          <w:u w:val="none" w:color="auto"/>
          <w:vertAlign w:val="superscript"/>
        </w:rPr>
        <w:t>3</w:t>
      </w:r>
      <w:r>
        <w:rPr>
          <w:color w:val="auto"/>
          <w:u w:val="none" w:color="auto"/>
        </w:rPr>
        <w:t>/h 的处理风量，要求空塔速度不高于0.5m/s，活性炭和废气的接触时间维持在1~2 秒，吸附层压力损失应小于1kPa。</w:t>
      </w:r>
    </w:p>
    <w:p w14:paraId="435D76B3">
      <w:pPr>
        <w:pStyle w:val="20"/>
        <w:ind w:firstLine="480"/>
        <w:rPr>
          <w:rFonts w:hint="default" w:ascii="Times New Roman" w:hAnsi="Times New Roman" w:cs="Times New Roman"/>
          <w:color w:val="auto"/>
          <w:u w:val="none" w:color="auto"/>
          <w:lang w:val="en-US" w:eastAsia="zh-CN"/>
        </w:rPr>
      </w:pPr>
      <w:r>
        <w:rPr>
          <w:rFonts w:hint="eastAsia" w:ascii="Times New Roman" w:hAnsi="Times New Roman" w:eastAsia="宋体" w:cs="Times New Roman"/>
          <w:color w:val="auto"/>
          <w:sz w:val="24"/>
          <w:szCs w:val="24"/>
          <w:u w:val="none" w:color="auto"/>
          <w:lang w:val="en-US" w:eastAsia="zh-CN"/>
        </w:rPr>
        <w:t>根据《排污许可证申请与核发技术规范 橡胶和塑料制品工业》（HJ1122-2020）表A.2可知，活性炭吸附属于废气污染防治可行技术。</w:t>
      </w:r>
    </w:p>
    <w:p w14:paraId="409FF2E4">
      <w:pPr>
        <w:pStyle w:val="20"/>
        <w:ind w:firstLine="48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3</w:t>
      </w:r>
      <w:r>
        <w:rPr>
          <w:rFonts w:hint="default" w:ascii="Times New Roman" w:hAnsi="Times New Roman" w:cs="Times New Roman"/>
          <w:color w:val="auto"/>
          <w:u w:val="none" w:color="auto"/>
          <w:lang w:val="en-US" w:eastAsia="zh-CN"/>
        </w:rPr>
        <w:t>）达标可行性</w:t>
      </w:r>
    </w:p>
    <w:p w14:paraId="7B6D15C0">
      <w:pPr>
        <w:pStyle w:val="20"/>
        <w:ind w:firstLine="480"/>
        <w:rPr>
          <w:rFonts w:hint="default" w:ascii="Times New Roman" w:hAnsi="Times New Roman" w:cs="Times New Roman"/>
          <w:color w:val="auto"/>
          <w:sz w:val="24"/>
          <w:u w:val="none" w:color="auto"/>
          <w:lang w:eastAsia="zh-CN"/>
        </w:rPr>
      </w:pPr>
      <w:r>
        <w:rPr>
          <w:rFonts w:hint="eastAsia" w:ascii="Times New Roman" w:hAnsi="Times New Roman" w:cs="Times New Roman"/>
          <w:color w:val="auto"/>
          <w:u w:val="none" w:color="auto"/>
          <w:lang w:val="en-US" w:eastAsia="zh-CN"/>
        </w:rPr>
        <w:t>挤出、覆膜废气</w:t>
      </w:r>
      <w:r>
        <w:rPr>
          <w:rFonts w:hint="default" w:ascii="Times New Roman" w:hAnsi="Times New Roman" w:cs="Times New Roman"/>
          <w:color w:val="auto"/>
          <w:u w:val="none" w:color="auto"/>
          <w:lang w:val="en-US" w:eastAsia="zh-CN"/>
        </w:rPr>
        <w:t>处理后，</w:t>
      </w:r>
      <w:r>
        <w:rPr>
          <w:rFonts w:hint="eastAsia" w:ascii="Times New Roman" w:hAnsi="Times New Roman" w:cs="Times New Roman"/>
          <w:color w:val="auto"/>
          <w:u w:val="none" w:color="auto"/>
          <w:lang w:val="en-US" w:eastAsia="zh-CN"/>
        </w:rPr>
        <w:t>DA002排气筒</w:t>
      </w:r>
      <w:r>
        <w:rPr>
          <w:rFonts w:hint="eastAsia" w:ascii="Times New Roman" w:hAnsi="Times New Roman" w:cs="Times New Roman"/>
          <w:color w:val="auto"/>
          <w:u w:val="none" w:color="auto"/>
          <w:vertAlign w:val="baseline"/>
          <w:lang w:val="en-US" w:eastAsia="zh-CN"/>
        </w:rPr>
        <w:t>非甲烷总烃排放量为0.505t/a（0.105kg/h，2.63</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eastAsia" w:ascii="Times New Roman" w:hAnsi="Times New Roman" w:cs="Times New Roman"/>
          <w:color w:val="auto"/>
          <w:u w:val="none" w:color="auto"/>
          <w:lang w:val="en-US" w:eastAsia="zh-CN"/>
        </w:rPr>
        <w:t>DA003排气筒</w:t>
      </w:r>
      <w:r>
        <w:rPr>
          <w:rFonts w:hint="eastAsia" w:ascii="Times New Roman" w:hAnsi="Times New Roman" w:cs="Times New Roman"/>
          <w:color w:val="auto"/>
          <w:u w:val="none" w:color="auto"/>
          <w:vertAlign w:val="baseline"/>
          <w:lang w:val="en-US" w:eastAsia="zh-CN"/>
        </w:rPr>
        <w:t>非甲烷总烃排放量为0.936t/a（0.39kg/h，15.592</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），二甲苯排放量为0.164t/a（0.034kg/h，0.852</w:t>
      </w:r>
      <w:r>
        <w:rPr>
          <w:rFonts w:hint="eastAsia" w:ascii="Times New Roman" w:hAnsi="Times New Roman" w:eastAsia="宋体" w:cs="Times New Roman"/>
          <w:b w:val="0"/>
          <w:bCs w:val="0"/>
          <w:color w:val="auto"/>
          <w:sz w:val="24"/>
          <w:highlight w:val="none"/>
          <w:u w:val="none" w:color="auto"/>
          <w:vertAlign w:val="baseline"/>
          <w:lang w:val="en-US" w:eastAsia="zh-CN"/>
        </w:rPr>
        <w:t>mg/m</w:t>
      </w:r>
      <w:r>
        <w:rPr>
          <w:rFonts w:hint="eastAsia" w:ascii="Times New Roman" w:hAnsi="Times New Roman" w:eastAsia="宋体" w:cs="Times New Roman"/>
          <w:b w:val="0"/>
          <w:bCs w:val="0"/>
          <w:color w:val="auto"/>
          <w:sz w:val="24"/>
          <w:highlight w:val="none"/>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default" w:ascii="Times New Roman" w:hAnsi="Times New Roman" w:cs="Times New Roman"/>
          <w:color w:val="auto"/>
          <w:u w:val="none" w:color="auto"/>
          <w:lang w:val="en-US" w:eastAsia="zh-CN"/>
        </w:rPr>
        <w:t>满足</w:t>
      </w:r>
      <w:r>
        <w:rPr>
          <w:rFonts w:hint="eastAsia"/>
          <w:color w:val="auto"/>
          <w:u w:val="none" w:color="auto"/>
          <w:lang w:val="en-US" w:eastAsia="zh-CN"/>
        </w:rPr>
        <w:t>《大气污染物综合排放标准》（GB16297-1996）中表2中的有组织排放限值</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vertAlign w:val="baseline"/>
          <w:lang w:val="en-US" w:eastAsia="zh-CN"/>
        </w:rPr>
        <w:t>非甲烷总烃</w:t>
      </w:r>
      <w:r>
        <w:rPr>
          <w:rFonts w:hint="eastAsia" w:cs="Times New Roman"/>
          <w:color w:val="auto"/>
          <w:u w:val="none" w:color="auto"/>
          <w:lang w:val="en-US" w:eastAsia="zh-CN"/>
        </w:rPr>
        <w:t>120</w:t>
      </w:r>
      <w:r>
        <w:rPr>
          <w:rFonts w:hint="default" w:ascii="Times New Roman" w:hAnsi="Times New Roman" w:cs="Times New Roman"/>
          <w:color w:val="auto"/>
          <w:u w:val="none" w:color="auto"/>
          <w:lang w:val="en-US" w:eastAsia="zh-CN"/>
        </w:rPr>
        <w:t>mg/m</w:t>
      </w:r>
      <w:r>
        <w:rPr>
          <w:rFonts w:hint="default"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、二甲苯</w:t>
      </w:r>
      <w:r>
        <w:rPr>
          <w:rFonts w:hint="eastAsia" w:cs="Times New Roman"/>
          <w:color w:val="auto"/>
          <w:u w:val="none" w:color="auto"/>
          <w:lang w:val="en-US" w:eastAsia="zh-CN"/>
        </w:rPr>
        <w:t>70</w:t>
      </w:r>
      <w:r>
        <w:rPr>
          <w:rFonts w:hint="default" w:ascii="Times New Roman" w:hAnsi="Times New Roman" w:cs="Times New Roman"/>
          <w:color w:val="auto"/>
          <w:u w:val="none" w:color="auto"/>
          <w:lang w:val="en-US" w:eastAsia="zh-CN"/>
        </w:rPr>
        <w:t>mg/m</w:t>
      </w:r>
      <w:r>
        <w:rPr>
          <w:rFonts w:hint="default" w:ascii="Times New Roman" w:hAnsi="Times New Roman" w:cs="Times New Roman"/>
          <w:color w:val="auto"/>
          <w:u w:val="none" w:color="auto"/>
          <w:vertAlign w:val="superscript"/>
          <w:lang w:val="en-US" w:eastAsia="zh-CN"/>
        </w:rPr>
        <w:t>3</w:t>
      </w:r>
      <w:r>
        <w:rPr>
          <w:rFonts w:hint="eastAsia" w:ascii="Times New Roman" w:hAnsi="Times New Roman" w:cs="Times New Roman"/>
          <w:color w:val="auto"/>
          <w:u w:val="none" w:color="auto"/>
          <w:vertAlign w:val="baseline"/>
          <w:lang w:val="en-US" w:eastAsia="zh-CN"/>
        </w:rPr>
        <w:t>）</w:t>
      </w:r>
      <w:r>
        <w:rPr>
          <w:rFonts w:hint="default" w:ascii="Times New Roman" w:hAnsi="Times New Roman" w:cs="Times New Roman"/>
          <w:color w:val="auto"/>
          <w:sz w:val="24"/>
          <w:u w:val="none" w:color="auto"/>
          <w:lang w:eastAsia="zh-CN"/>
        </w:rPr>
        <w:t>。</w:t>
      </w:r>
    </w:p>
    <w:p w14:paraId="3B47057F">
      <w:pPr>
        <w:pStyle w:val="20"/>
        <w:ind w:firstLine="480"/>
        <w:rPr>
          <w:rFonts w:hint="eastAsia" w:ascii="Times New Roman" w:hAnsi="Times New Roman" w:cs="Times New Roman"/>
          <w:color w:val="auto"/>
          <w:sz w:val="24"/>
          <w:u w:val="none" w:color="auto"/>
          <w:lang w:val="en-US" w:eastAsia="zh-CN"/>
        </w:rPr>
      </w:pPr>
      <w:r>
        <w:rPr>
          <w:rFonts w:hint="eastAsia" w:ascii="Times New Roman" w:hAnsi="Times New Roman" w:cs="Times New Roman"/>
          <w:color w:val="auto"/>
          <w:sz w:val="24"/>
          <w:u w:val="none" w:color="auto"/>
          <w:lang w:val="en-US" w:eastAsia="zh-CN"/>
        </w:rPr>
        <w:t>3、HCl治理措施及达标可行性分析</w:t>
      </w:r>
    </w:p>
    <w:p w14:paraId="6ABEB6C3">
      <w:pPr>
        <w:pStyle w:val="20"/>
        <w:ind w:firstLine="480"/>
        <w:rPr>
          <w:rFonts w:hint="default" w:ascii="Times New Roman" w:hAnsi="Times New Roman" w:cs="Times New Roman"/>
          <w:color w:val="auto"/>
          <w:sz w:val="24"/>
          <w:u w:val="none" w:color="auto"/>
          <w:lang w:val="en-US" w:eastAsia="zh-CN"/>
        </w:rPr>
      </w:pPr>
      <w:r>
        <w:rPr>
          <w:rFonts w:hint="eastAsia" w:ascii="Times New Roman" w:hAnsi="Times New Roman" w:cs="Times New Roman"/>
          <w:color w:val="auto"/>
          <w:sz w:val="24"/>
          <w:u w:val="none" w:color="auto"/>
          <w:lang w:val="en-US" w:eastAsia="zh-CN"/>
        </w:rPr>
        <w:t>根据《燃料化学学报》2002年12月第6期中山西太原理工大学发表的一篇相关文献——《PVC的热解/红外（Py/FTIR）研究》，研究结果表明，采用稳定剂后可提高PVC的分解温度抑制氯化氢气体的产生，采用稳定剂后的PVC受热在200℃时开始放出HCl，本项目挤出成型工序采用电加热，加热温度150~180℃左右，且HCl采取源头控制，通过在混料中加入稳定剂，提高PVC对热和光的稳定性。减少HCl的产生。同时通过工程分析，HCl有组织排放量为0.484t/a（0.101kg/h，2.524mg/m</w:t>
      </w:r>
      <w:r>
        <w:rPr>
          <w:rFonts w:hint="eastAsia" w:ascii="Times New Roman" w:hAnsi="Times New Roman" w:cs="Times New Roman"/>
          <w:color w:val="auto"/>
          <w:sz w:val="24"/>
          <w:u w:val="none" w:color="auto"/>
          <w:vertAlign w:val="superscript"/>
          <w:lang w:val="en-US" w:eastAsia="zh-CN"/>
        </w:rPr>
        <w:t>3</w:t>
      </w:r>
      <w:r>
        <w:rPr>
          <w:rFonts w:hint="eastAsia" w:ascii="Times New Roman" w:hAnsi="Times New Roman" w:cs="Times New Roman"/>
          <w:color w:val="auto"/>
          <w:sz w:val="24"/>
          <w:u w:val="none" w:color="auto"/>
          <w:lang w:val="en-US" w:eastAsia="zh-CN"/>
        </w:rPr>
        <w:t>），无组织的排放量为0.086t/a（0.018kg/h），满足《大气污染物综合排放标准》（GB 16297-1996）表2中的有组织排放限值及无组织排放限值（有组织100mg/m</w:t>
      </w:r>
      <w:r>
        <w:rPr>
          <w:rFonts w:hint="eastAsia" w:ascii="Times New Roman" w:hAnsi="Times New Roman" w:cs="Times New Roman"/>
          <w:color w:val="auto"/>
          <w:sz w:val="24"/>
          <w:u w:val="none" w:color="auto"/>
          <w:vertAlign w:val="superscript"/>
          <w:lang w:val="en-US" w:eastAsia="zh-CN"/>
        </w:rPr>
        <w:t>3</w:t>
      </w:r>
      <w:r>
        <w:rPr>
          <w:rFonts w:hint="eastAsia" w:ascii="Times New Roman" w:hAnsi="Times New Roman" w:cs="Times New Roman"/>
          <w:color w:val="auto"/>
          <w:sz w:val="24"/>
          <w:u w:val="none" w:color="auto"/>
          <w:lang w:val="en-US" w:eastAsia="zh-CN"/>
        </w:rPr>
        <w:t>、0.26kg/h；无组织0.2mg/m</w:t>
      </w:r>
      <w:r>
        <w:rPr>
          <w:rFonts w:hint="eastAsia" w:ascii="Times New Roman" w:hAnsi="Times New Roman" w:cs="Times New Roman"/>
          <w:color w:val="auto"/>
          <w:sz w:val="24"/>
          <w:u w:val="none" w:color="auto"/>
          <w:vertAlign w:val="superscript"/>
          <w:lang w:val="en-US" w:eastAsia="zh-CN"/>
        </w:rPr>
        <w:t>3</w:t>
      </w:r>
      <w:r>
        <w:rPr>
          <w:rFonts w:hint="eastAsia" w:ascii="Times New Roman" w:hAnsi="Times New Roman" w:cs="Times New Roman"/>
          <w:color w:val="auto"/>
          <w:sz w:val="24"/>
          <w:u w:val="none" w:color="auto"/>
          <w:lang w:val="en-US" w:eastAsia="zh-CN"/>
        </w:rPr>
        <w:t>），故本项目HCL不单独采取处理措施，拟经非甲烷总烃废气处理设施处理后排放。</w:t>
      </w:r>
    </w:p>
    <w:p w14:paraId="200CB836">
      <w:pPr>
        <w:pStyle w:val="20"/>
        <w:bidi w:val="0"/>
        <w:rPr>
          <w:rFonts w:hint="default"/>
          <w:color w:val="auto"/>
          <w:u w:val="none" w:color="auto"/>
          <w:lang w:val="en-US" w:eastAsia="zh-CN"/>
        </w:rPr>
      </w:pPr>
      <w:r>
        <w:rPr>
          <w:rFonts w:hint="eastAsia"/>
          <w:color w:val="auto"/>
          <w:u w:val="none" w:color="auto"/>
          <w:lang w:val="en-US" w:eastAsia="zh-CN"/>
        </w:rPr>
        <w:t>4</w:t>
      </w:r>
      <w:r>
        <w:rPr>
          <w:rFonts w:hint="default"/>
          <w:color w:val="auto"/>
          <w:u w:val="none" w:color="auto"/>
          <w:lang w:val="en-US" w:eastAsia="zh-CN"/>
        </w:rPr>
        <w:t>、有组织排放治理要求：</w:t>
      </w:r>
    </w:p>
    <w:p w14:paraId="49BAC089">
      <w:pPr>
        <w:pStyle w:val="20"/>
        <w:bidi w:val="0"/>
        <w:rPr>
          <w:rFonts w:hint="default"/>
          <w:color w:val="auto"/>
          <w:u w:val="none" w:color="auto"/>
          <w:lang w:val="en-US" w:eastAsia="zh-CN"/>
        </w:rPr>
      </w:pPr>
      <w:r>
        <w:rPr>
          <w:rFonts w:hint="eastAsia"/>
          <w:color w:val="auto"/>
          <w:u w:val="none" w:color="auto"/>
          <w:lang w:val="en-US" w:eastAsia="zh-CN"/>
        </w:rPr>
        <w:t>①</w:t>
      </w:r>
      <w:r>
        <w:rPr>
          <w:rFonts w:hint="default"/>
          <w:color w:val="auto"/>
          <w:u w:val="none" w:color="auto"/>
          <w:lang w:val="en-US" w:eastAsia="zh-CN"/>
        </w:rPr>
        <w:t>企业应考虑生产工艺、操作方式、废气性质、处理方法等因素，对工艺废气进行分类收集、分类处理或预处理，严禁经污染控制设施处理后的废气与其他未经处理的废气混合后直接排放，严禁经污染控制设施处理后的废气与空气混合后稀释排放。</w:t>
      </w:r>
    </w:p>
    <w:p w14:paraId="0F3722B0">
      <w:pPr>
        <w:pStyle w:val="20"/>
        <w:bidi w:val="0"/>
        <w:rPr>
          <w:rFonts w:hint="default"/>
          <w:color w:val="auto"/>
          <w:u w:val="none" w:color="auto"/>
          <w:lang w:val="en-US" w:eastAsia="zh-CN"/>
        </w:rPr>
      </w:pPr>
      <w:r>
        <w:rPr>
          <w:rFonts w:hint="eastAsia"/>
          <w:color w:val="auto"/>
          <w:u w:val="none" w:color="auto"/>
          <w:lang w:val="en-US" w:eastAsia="zh-CN"/>
        </w:rPr>
        <w:t>②</w:t>
      </w:r>
      <w:r>
        <w:rPr>
          <w:rFonts w:hint="default"/>
          <w:color w:val="auto"/>
          <w:u w:val="none" w:color="auto"/>
          <w:lang w:val="en-US" w:eastAsia="zh-CN"/>
        </w:rPr>
        <w:t>环保设施应先于其对应的生产设施运转，后于对应设施关闭，保证在生产设施运行波动情况下仍能正常运转，实现达标排放。产生大气污染物的生产工艺和装置需设立局部或整体气体收集系统和净化处理装置，集气方向应与污染气流运动方向一致。</w:t>
      </w:r>
    </w:p>
    <w:p w14:paraId="4F972A3D">
      <w:pPr>
        <w:pStyle w:val="20"/>
        <w:bidi w:val="0"/>
        <w:rPr>
          <w:rFonts w:hint="default"/>
          <w:color w:val="auto"/>
          <w:u w:val="none" w:color="auto"/>
          <w:lang w:val="en-US" w:eastAsia="zh-CN"/>
        </w:rPr>
      </w:pPr>
      <w:r>
        <w:rPr>
          <w:rFonts w:hint="eastAsia"/>
          <w:color w:val="auto"/>
          <w:u w:val="none" w:color="auto"/>
          <w:lang w:val="en-US" w:eastAsia="zh-CN"/>
        </w:rPr>
        <w:t>③</w:t>
      </w:r>
      <w:r>
        <w:rPr>
          <w:rFonts w:hint="default"/>
          <w:color w:val="auto"/>
          <w:u w:val="none" w:color="auto"/>
          <w:lang w:val="en-US" w:eastAsia="zh-CN"/>
        </w:rPr>
        <w:t>废气收集系统的输送管道应密闭，在负压下运行。废气收集系统排风罩（集气罩）的设置应符合GB/T 16758的规定。采用外部排风罩的，应按GB/T 16758、AQ/T 4274规定的方法测量控制风速。</w:t>
      </w:r>
    </w:p>
    <w:p w14:paraId="1A51B15E">
      <w:pPr>
        <w:pStyle w:val="20"/>
        <w:bidi w:val="0"/>
        <w:rPr>
          <w:rFonts w:hint="default"/>
          <w:color w:val="auto"/>
          <w:u w:val="none" w:color="auto"/>
          <w:lang w:val="en-US" w:eastAsia="zh-CN"/>
        </w:rPr>
      </w:pPr>
      <w:r>
        <w:rPr>
          <w:rFonts w:hint="eastAsia"/>
          <w:color w:val="auto"/>
          <w:u w:val="none" w:color="auto"/>
          <w:lang w:val="en-US" w:eastAsia="zh-CN"/>
        </w:rPr>
        <w:t>④</w:t>
      </w:r>
      <w:r>
        <w:rPr>
          <w:rFonts w:hint="default"/>
          <w:color w:val="auto"/>
          <w:u w:val="none" w:color="auto"/>
          <w:lang w:val="en-US" w:eastAsia="zh-CN"/>
        </w:rPr>
        <w:t>废气收集处理系统应与生产工艺设备同步运行。废气收集处理系统发生故障或检修时，对应的生产工艺设备应停止运行，待检修完毕后同步投入使用；生产工艺设备不能停止运行或不能及时停止运行的，应设置废气应急处理设施或采取其他替代措施。</w:t>
      </w:r>
    </w:p>
    <w:p w14:paraId="1B2FC360">
      <w:pPr>
        <w:pStyle w:val="20"/>
        <w:bidi w:val="0"/>
        <w:rPr>
          <w:rFonts w:hint="default"/>
          <w:color w:val="auto"/>
          <w:u w:val="none" w:color="auto"/>
          <w:lang w:val="en-US" w:eastAsia="zh-CN"/>
        </w:rPr>
      </w:pPr>
      <w:r>
        <w:rPr>
          <w:rFonts w:hint="eastAsia"/>
          <w:color w:val="auto"/>
          <w:u w:val="none" w:color="auto"/>
          <w:lang w:val="en-US" w:eastAsia="zh-CN"/>
        </w:rPr>
        <w:t>⑤</w:t>
      </w:r>
      <w:r>
        <w:rPr>
          <w:rFonts w:hint="default"/>
          <w:color w:val="auto"/>
          <w:u w:val="none" w:color="auto"/>
          <w:lang w:val="en-US" w:eastAsia="zh-CN"/>
        </w:rPr>
        <w:t>所有治理设施应制定操作规程，明确各项运行参数，实际运行参数应与操作规程一致。使用吸附技术治理挥发性有机物时，应记录吸附剂的使用/更换量、更换/再生周期，操作温度应满足设计参数的要求，更换的吸附材料按危险废物处置。</w:t>
      </w:r>
    </w:p>
    <w:p w14:paraId="3A848431">
      <w:pPr>
        <w:pStyle w:val="20"/>
        <w:bidi w:val="0"/>
        <w:rPr>
          <w:rFonts w:hint="eastAsia"/>
          <w:color w:val="auto"/>
          <w:u w:val="none" w:color="auto"/>
          <w:lang w:val="en-US" w:eastAsia="zh-CN"/>
        </w:rPr>
      </w:pPr>
      <w:r>
        <w:rPr>
          <w:rFonts w:hint="eastAsia" w:ascii="宋体" w:hAnsi="宋体" w:eastAsia="宋体" w:cs="宋体"/>
          <w:color w:val="auto"/>
          <w:u w:val="none" w:color="auto"/>
          <w:lang w:val="en-US" w:eastAsia="zh-CN"/>
        </w:rPr>
        <w:t>⑥对于使用发泡剂、溶剂、助剂等消耗臭氧层物质的，应当按照《消耗臭氧层物质管理条例》的要求对消耗臭氧层物质采取必要措施，防止或减少消耗臭氧层物质的泄漏和排放</w:t>
      </w:r>
      <w:r>
        <w:rPr>
          <w:rFonts w:hint="eastAsia" w:ascii="宋体" w:hAnsi="宋体" w:cs="宋体"/>
          <w:color w:val="auto"/>
          <w:u w:val="none" w:color="auto"/>
          <w:lang w:val="en-US" w:eastAsia="zh-CN"/>
        </w:rPr>
        <w:t>。</w:t>
      </w:r>
    </w:p>
    <w:p w14:paraId="2FE60811">
      <w:pPr>
        <w:pStyle w:val="20"/>
        <w:bidi w:val="0"/>
        <w:rPr>
          <w:rFonts w:hint="eastAsia"/>
          <w:color w:val="auto"/>
          <w:u w:val="none" w:color="auto"/>
          <w:lang w:val="en-US" w:eastAsia="zh-CN"/>
        </w:rPr>
      </w:pPr>
      <w:r>
        <w:rPr>
          <w:rFonts w:hint="eastAsia"/>
          <w:color w:val="auto"/>
          <w:u w:val="none" w:color="auto"/>
          <w:lang w:val="en-US" w:eastAsia="zh-CN"/>
        </w:rPr>
        <w:t>5、无组织排放治理要求：</w:t>
      </w:r>
    </w:p>
    <w:p w14:paraId="3BD58F39">
      <w:pPr>
        <w:pStyle w:val="20"/>
        <w:bidi w:val="0"/>
        <w:rPr>
          <w:rFonts w:hint="eastAsia"/>
          <w:color w:val="auto"/>
          <w:u w:val="none" w:color="auto"/>
          <w:lang w:val="en-US" w:eastAsia="zh-CN"/>
        </w:rPr>
      </w:pPr>
      <w:r>
        <w:rPr>
          <w:rFonts w:hint="eastAsia"/>
          <w:color w:val="auto"/>
          <w:u w:val="none" w:color="auto"/>
          <w:lang w:val="en-US" w:eastAsia="zh-CN"/>
        </w:rPr>
        <w:t>a、本项目使用的胶粘剂采用密闭容器储存，PVC等原料采用包装袋进行储存。</w:t>
      </w:r>
    </w:p>
    <w:p w14:paraId="51FDBF35">
      <w:pPr>
        <w:pStyle w:val="20"/>
        <w:bidi w:val="0"/>
        <w:rPr>
          <w:rFonts w:hint="eastAsia"/>
          <w:color w:val="auto"/>
          <w:u w:val="none" w:color="auto"/>
          <w:lang w:val="en-US" w:eastAsia="zh-CN"/>
        </w:rPr>
      </w:pPr>
      <w:r>
        <w:rPr>
          <w:rFonts w:hint="eastAsia"/>
          <w:color w:val="auto"/>
          <w:u w:val="none" w:color="auto"/>
          <w:lang w:val="en-US" w:eastAsia="zh-CN"/>
        </w:rPr>
        <w:t>b、本项目原辅料均储存在室内，不露天堆放，且在非取用状态时加盖、封口、保持密闭。</w:t>
      </w:r>
    </w:p>
    <w:p w14:paraId="092F429C">
      <w:pPr>
        <w:pStyle w:val="20"/>
        <w:bidi w:val="0"/>
        <w:rPr>
          <w:rFonts w:hint="eastAsia"/>
          <w:color w:val="auto"/>
          <w:u w:val="none" w:color="auto"/>
          <w:lang w:val="en-US" w:eastAsia="zh-CN"/>
        </w:rPr>
      </w:pPr>
      <w:r>
        <w:rPr>
          <w:rFonts w:hint="eastAsia"/>
          <w:color w:val="auto"/>
          <w:u w:val="none" w:color="auto"/>
          <w:lang w:val="en-US" w:eastAsia="zh-CN"/>
        </w:rPr>
        <w:t>c、本项目设置一套全自动供料系统，本项目处理好的PVC再生塑料由磨粉机通过管道直接输入供料系统，不产生投料粉尘；其他的外购粉料中，主要原料采用叉车及提升机提升至投料口，由吨包底部进行投料，投料产生的粉尘由设备自带布袋除尘器收集回用，其他辅料采用人工投入供料系统中的小料投料设备，小料投料口为半封闭状态，本项目拟在供料系统中的小料投料设备上方设置抽风集气罩对逸散的粉尘进行收集，集气罩采用顶吸收集，结合软帘、挡板等柔性材料，贴近废气源形成封闭负压空间，经布袋除尘器处理后与后续混料、破碎、磨粉粉尘一并通过一根15m高DA001排气筒排放。对挤出、覆膜过程产生的有机废气采取集气罩收集后进入废气处理系统处置（两级活性炭吸附装置）。</w:t>
      </w:r>
    </w:p>
    <w:p w14:paraId="22EF45FF">
      <w:pPr>
        <w:pStyle w:val="20"/>
        <w:bidi w:val="0"/>
        <w:rPr>
          <w:rFonts w:hint="eastAsia"/>
          <w:color w:val="auto"/>
          <w:u w:val="none" w:color="auto"/>
          <w:lang w:val="en-US" w:eastAsia="zh-CN"/>
        </w:rPr>
      </w:pPr>
      <w:r>
        <w:rPr>
          <w:rFonts w:hint="eastAsia"/>
          <w:color w:val="auto"/>
          <w:u w:val="none" w:color="auto"/>
          <w:lang w:val="en-US" w:eastAsia="zh-CN"/>
        </w:rPr>
        <w:t>d、VOCs物料挤出、覆膜等工序均在封闭设备进行，出口无法密闭处采用集气罩进行局部收集，后进入废气处理系统处置（两级活性炭吸附装置）。</w:t>
      </w:r>
    </w:p>
    <w:p w14:paraId="04D2F4C1">
      <w:pPr>
        <w:pStyle w:val="20"/>
        <w:bidi w:val="0"/>
        <w:rPr>
          <w:rFonts w:hint="eastAsia"/>
          <w:color w:val="auto"/>
          <w:u w:val="none" w:color="auto"/>
          <w:lang w:val="en-US" w:eastAsia="zh-CN"/>
        </w:rPr>
      </w:pPr>
      <w:r>
        <w:rPr>
          <w:rFonts w:hint="eastAsia"/>
          <w:color w:val="auto"/>
          <w:u w:val="none" w:color="auto"/>
          <w:lang w:val="en-US" w:eastAsia="zh-CN"/>
        </w:rPr>
        <w:t>6、无组织粉尘污染控制措施：</w:t>
      </w:r>
    </w:p>
    <w:p w14:paraId="5C1DCABC">
      <w:pPr>
        <w:pStyle w:val="20"/>
        <w:bidi w:val="0"/>
        <w:rPr>
          <w:rFonts w:hint="eastAsia"/>
          <w:color w:val="auto"/>
          <w:u w:val="none" w:color="auto"/>
          <w:lang w:val="en-US" w:eastAsia="zh-CN"/>
        </w:rPr>
      </w:pPr>
      <w:r>
        <w:rPr>
          <w:rFonts w:hint="eastAsia"/>
          <w:color w:val="auto"/>
          <w:u w:val="none" w:color="auto"/>
          <w:lang w:val="en-US" w:eastAsia="zh-CN"/>
        </w:rPr>
        <w:t>本项目在物料的配料、搬运、加工等过程中产生粉尘，排放量与物料的粒径、物料转运的距离和落差、操作管理有关，为了有效地控制各个扬尘点的粉尘，工艺设计中原辅材料应尽量采用密闭设备，降低物料转运的距离和落差，车间内配备集尘设备，减少粉尘的产生，并在厂房的周围及道路两旁等凡能绿化的地带尽量种植乔木、灌木和草坪，加强厂区周围环境的绿化，减少无组织粉尘对外环境的影响。</w:t>
      </w:r>
    </w:p>
    <w:p w14:paraId="650C6DD3">
      <w:pPr>
        <w:pStyle w:val="20"/>
        <w:bidi w:val="0"/>
        <w:rPr>
          <w:rFonts w:hint="eastAsia"/>
          <w:color w:val="auto"/>
          <w:u w:val="none" w:color="auto"/>
          <w:lang w:val="en-US" w:eastAsia="zh-CN"/>
        </w:rPr>
      </w:pPr>
      <w:r>
        <w:rPr>
          <w:rFonts w:hint="eastAsia"/>
          <w:color w:val="auto"/>
          <w:u w:val="none" w:color="auto"/>
          <w:lang w:val="en-US" w:eastAsia="zh-CN"/>
        </w:rPr>
        <w:t>为了进一步减小项目粉尘对周围环境的影响，建议建设单位采取以下措施进行控制：</w:t>
      </w:r>
    </w:p>
    <w:p w14:paraId="740B303C">
      <w:pPr>
        <w:pStyle w:val="20"/>
        <w:bidi w:val="0"/>
        <w:rPr>
          <w:rFonts w:hint="eastAsia"/>
          <w:color w:val="auto"/>
          <w:u w:val="none" w:color="auto"/>
          <w:lang w:val="en-US" w:eastAsia="zh-CN"/>
        </w:rPr>
      </w:pPr>
      <w:r>
        <w:rPr>
          <w:rFonts w:hint="eastAsia"/>
          <w:color w:val="auto"/>
          <w:u w:val="none" w:color="auto"/>
          <w:lang w:val="en-US" w:eastAsia="zh-CN"/>
        </w:rPr>
        <w:t>a、运输车辆采取帆布封盖措施。</w:t>
      </w:r>
    </w:p>
    <w:p w14:paraId="063AF9B1">
      <w:pPr>
        <w:pStyle w:val="20"/>
        <w:bidi w:val="0"/>
        <w:rPr>
          <w:rFonts w:hint="eastAsia"/>
          <w:color w:val="auto"/>
          <w:u w:val="none" w:color="auto"/>
          <w:lang w:val="en-US" w:eastAsia="zh-CN"/>
        </w:rPr>
      </w:pPr>
      <w:r>
        <w:rPr>
          <w:rFonts w:hint="eastAsia"/>
          <w:color w:val="auto"/>
          <w:u w:val="none" w:color="auto"/>
          <w:lang w:val="en-US" w:eastAsia="zh-CN"/>
        </w:rPr>
        <w:t>b、对原料、成品采取室内包装堆存、严禁露天堆放。</w:t>
      </w:r>
    </w:p>
    <w:p w14:paraId="5E8C0715">
      <w:pPr>
        <w:pStyle w:val="20"/>
        <w:bidi w:val="0"/>
        <w:rPr>
          <w:rFonts w:hint="eastAsia"/>
          <w:color w:val="auto"/>
          <w:u w:val="none" w:color="auto"/>
          <w:lang w:val="en-US" w:eastAsia="zh-CN"/>
        </w:rPr>
      </w:pPr>
      <w:r>
        <w:rPr>
          <w:rFonts w:hint="eastAsia"/>
          <w:color w:val="auto"/>
          <w:u w:val="none" w:color="auto"/>
          <w:lang w:val="en-US" w:eastAsia="zh-CN"/>
        </w:rPr>
        <w:t>c、由于粉尘排放受人为操作因素影响较大，要求厂家加强对操作人员的管理，保持除尘设施正常运转，将粉尘影响降低到可接受的范围内。</w:t>
      </w:r>
    </w:p>
    <w:p w14:paraId="731A2DF7">
      <w:pPr>
        <w:pStyle w:val="20"/>
        <w:bidi w:val="0"/>
        <w:rPr>
          <w:rFonts w:hint="eastAsia"/>
          <w:color w:val="auto"/>
          <w:u w:val="none" w:color="auto"/>
          <w:lang w:val="en-US" w:eastAsia="zh-CN"/>
        </w:rPr>
      </w:pPr>
      <w:r>
        <w:rPr>
          <w:rFonts w:hint="eastAsia"/>
          <w:color w:val="auto"/>
          <w:u w:val="none" w:color="auto"/>
          <w:lang w:val="en-US" w:eastAsia="zh-CN"/>
        </w:rPr>
        <w:t>粉尘非正常排放的原因主要是原料在加料以及配套的除尘系统或者输送设备发生故障，造成粉尘大量外溢，当粉尘发生非正常排放时，应立即停止进料，并立即更换备件，同时组织人员疏通除尘系统及相关链接的管道；立即停止与之相关的风机，防止风力将造成扬尘污染环境，确保故障隐患的消除。在故障消除之后进料时，应组织人员把现场的粉尘清理干净，收集后存放到指定位置。</w:t>
      </w:r>
    </w:p>
    <w:p w14:paraId="341D6BB9">
      <w:pPr>
        <w:pStyle w:val="20"/>
        <w:bidi w:val="0"/>
        <w:rPr>
          <w:rFonts w:hint="eastAsia"/>
          <w:color w:val="auto"/>
          <w:u w:val="none" w:color="auto"/>
          <w:lang w:val="en-US" w:eastAsia="zh-CN"/>
        </w:rPr>
      </w:pPr>
      <w:r>
        <w:rPr>
          <w:rFonts w:hint="eastAsia"/>
          <w:color w:val="auto"/>
          <w:u w:val="none" w:color="auto"/>
          <w:lang w:val="en-US" w:eastAsia="zh-CN"/>
        </w:rPr>
        <w:t>项目应选用稳定成熟的设备、加强操作人员的责任心以减少非正常排放。环评要求建设单位落实各项环保措施，保证设备的正常运转，防止人为或设备故障导致事故排放，实现废气达标排放。同时设备的制造和安装应严格进行调试。</w:t>
      </w:r>
    </w:p>
    <w:p w14:paraId="106DEE73">
      <w:pPr>
        <w:pStyle w:val="20"/>
        <w:bidi w:val="0"/>
        <w:rPr>
          <w:rFonts w:hint="default"/>
          <w:color w:val="auto"/>
          <w:u w:val="none" w:color="auto"/>
        </w:rPr>
      </w:pPr>
      <w:r>
        <w:rPr>
          <w:rFonts w:hint="eastAsia"/>
          <w:color w:val="auto"/>
          <w:u w:val="none" w:color="auto"/>
          <w:lang w:val="en-US" w:eastAsia="zh-CN"/>
        </w:rPr>
        <w:t>综上所述，本项目废气对周边空气环境的影响较小，不会对周边的居民生活的空气环境造成明显影响。故建设方应加强环保措施的维护，确保设施的正常运行，减少事故的发生</w:t>
      </w:r>
      <w:r>
        <w:rPr>
          <w:rFonts w:hint="default"/>
          <w:color w:val="auto"/>
          <w:u w:val="none" w:color="auto"/>
        </w:rPr>
        <w:t>。</w:t>
      </w:r>
    </w:p>
    <w:p w14:paraId="499EC49B">
      <w:pPr>
        <w:pStyle w:val="4"/>
        <w:rPr>
          <w:rFonts w:hint="default" w:ascii="Times New Roman" w:hAnsi="Times New Roman" w:cs="Times New Roman"/>
          <w:color w:val="auto"/>
          <w:u w:val="none" w:color="auto"/>
        </w:rPr>
      </w:pPr>
      <w:bookmarkStart w:id="1357" w:name="_Toc5474"/>
      <w:bookmarkStart w:id="1358" w:name="_Toc6166"/>
      <w:bookmarkStart w:id="1359" w:name="_Toc10862"/>
      <w:bookmarkStart w:id="1360" w:name="_Toc4483"/>
      <w:bookmarkStart w:id="1361" w:name="_Toc10857"/>
      <w:bookmarkStart w:id="1362" w:name="_Toc5251"/>
      <w:bookmarkStart w:id="1363" w:name="_Toc15355"/>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.2废水治理措施及达标可行性分析</w:t>
      </w:r>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7DE41799">
      <w:pPr>
        <w:pStyle w:val="20"/>
        <w:bidi w:val="0"/>
        <w:rPr>
          <w:color w:val="auto"/>
          <w:u w:val="none" w:color="auto"/>
        </w:rPr>
      </w:pPr>
      <w:bookmarkStart w:id="1364" w:name="_Toc233000954"/>
      <w:bookmarkStart w:id="1365" w:name="_Toc232306666"/>
      <w:bookmarkStart w:id="1366" w:name="_Toc232307502"/>
      <w:bookmarkStart w:id="1367" w:name="_Toc234226372"/>
      <w:bookmarkStart w:id="1368" w:name="_Toc233106498"/>
      <w:bookmarkStart w:id="1369" w:name="_Toc232251334"/>
      <w:r>
        <w:rPr>
          <w:rFonts w:hint="eastAsia"/>
          <w:color w:val="auto"/>
          <w:u w:val="none" w:color="auto"/>
        </w:rPr>
        <w:t>本项目为水污染影响型建设项目，</w:t>
      </w:r>
      <w:r>
        <w:rPr>
          <w:rStyle w:val="50"/>
          <w:rFonts w:hint="eastAsia" w:ascii="Times New Roman" w:hAnsi="Times New Roman" w:cs="Times New Roman"/>
          <w:color w:val="auto"/>
          <w:u w:val="none" w:color="auto"/>
          <w:lang w:val="en-US" w:eastAsia="zh-CN"/>
        </w:rPr>
        <w:t>项目冷却水经冷却循环水池+冷却塔处理后循环使用，不外排</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生活污水经化粪池处理</w:t>
      </w:r>
      <w:r>
        <w:rPr>
          <w:rFonts w:hint="eastAsia"/>
          <w:color w:val="auto"/>
          <w:u w:val="none" w:color="auto"/>
          <w:lang w:val="en-US" w:eastAsia="zh-CN"/>
        </w:rPr>
        <w:t>后排入湖南汨罗高新技术产业开发区（循环园区）污水处理厂</w:t>
      </w:r>
      <w:r>
        <w:rPr>
          <w:rFonts w:hint="eastAsia"/>
          <w:color w:val="auto"/>
          <w:u w:val="none" w:color="auto"/>
        </w:rPr>
        <w:t>。</w:t>
      </w:r>
    </w:p>
    <w:p w14:paraId="555BD027">
      <w:pPr>
        <w:pStyle w:val="20"/>
        <w:bidi w:val="0"/>
        <w:rPr>
          <w:b/>
          <w:bCs/>
          <w:color w:val="auto"/>
          <w:u w:val="none" w:color="auto"/>
        </w:rPr>
      </w:pPr>
      <w:r>
        <w:rPr>
          <w:rFonts w:hint="eastAsia"/>
          <w:b/>
          <w:bCs/>
          <w:color w:val="auto"/>
          <w:u w:val="none" w:color="auto"/>
          <w:lang w:val="en-US" w:eastAsia="zh-CN"/>
        </w:rPr>
        <w:t>（1）冷却水循环利用可行性分析</w:t>
      </w:r>
    </w:p>
    <w:p w14:paraId="6CEEFCFB">
      <w:pPr>
        <w:pStyle w:val="20"/>
        <w:bidi w:val="0"/>
        <w:rPr>
          <w:rFonts w:hint="default"/>
          <w:b/>
          <w:bCs/>
          <w:color w:val="auto"/>
          <w:u w:val="none" w:color="auto"/>
          <w:lang w:val="en-US" w:eastAsia="zh-CN"/>
        </w:rPr>
      </w:pPr>
      <w:r>
        <w:rPr>
          <w:rFonts w:hint="default" w:ascii="Times New Roman" w:hAnsi="Times New Roman" w:eastAsia="宋体" w:cs="Times New Roman"/>
          <w:color w:val="auto"/>
          <w:u w:val="none" w:color="auto"/>
          <w:lang w:eastAsia="zh-CN"/>
        </w:rPr>
        <w:t>本项目冷却水主要用于</w:t>
      </w:r>
      <w:r>
        <w:rPr>
          <w:rFonts w:hint="eastAsia" w:ascii="Times New Roman" w:hAnsi="Times New Roman" w:eastAsia="宋体" w:cs="Times New Roman"/>
          <w:color w:val="auto"/>
          <w:u w:val="none" w:color="auto"/>
          <w:lang w:val="en-US" w:eastAsia="zh-CN"/>
        </w:rPr>
        <w:t>产品及设备</w:t>
      </w:r>
      <w:r>
        <w:rPr>
          <w:rFonts w:hint="default" w:ascii="Times New Roman" w:hAnsi="Times New Roman" w:eastAsia="宋体" w:cs="Times New Roman"/>
          <w:color w:val="auto"/>
          <w:u w:val="none" w:color="auto"/>
          <w:lang w:eastAsia="zh-CN"/>
        </w:rPr>
        <w:t>的冷却，在冷却过程中，</w:t>
      </w:r>
      <w:r>
        <w:rPr>
          <w:rFonts w:hint="eastAsia" w:ascii="Times New Roman" w:hAnsi="Times New Roman" w:eastAsia="宋体" w:cs="Times New Roman"/>
          <w:color w:val="auto"/>
          <w:u w:val="none" w:color="auto"/>
          <w:lang w:val="en-US" w:eastAsia="zh-CN"/>
        </w:rPr>
        <w:t>产品</w:t>
      </w:r>
      <w:r>
        <w:rPr>
          <w:rFonts w:hint="default" w:ascii="Times New Roman" w:hAnsi="Times New Roman" w:eastAsia="宋体" w:cs="Times New Roman"/>
          <w:color w:val="auto"/>
          <w:u w:val="none" w:color="auto"/>
          <w:lang w:eastAsia="zh-CN"/>
        </w:rPr>
        <w:t>表面会有</w:t>
      </w:r>
      <w:r>
        <w:rPr>
          <w:rFonts w:hint="eastAsia" w:ascii="Times New Roman" w:hAnsi="Times New Roman" w:eastAsia="宋体" w:cs="Times New Roman"/>
          <w:color w:val="auto"/>
          <w:u w:val="none" w:color="auto"/>
          <w:lang w:val="en-US" w:eastAsia="zh-CN"/>
        </w:rPr>
        <w:t>极</w:t>
      </w:r>
      <w:r>
        <w:rPr>
          <w:rFonts w:hint="default" w:ascii="Times New Roman" w:hAnsi="Times New Roman" w:eastAsia="宋体" w:cs="Times New Roman"/>
          <w:color w:val="auto"/>
          <w:u w:val="none" w:color="auto"/>
          <w:lang w:eastAsia="zh-CN"/>
        </w:rPr>
        <w:t>少量的粉尘进入冷却水，但项目对冷却水的水质要求低，冷却水从冷水槽进入</w:t>
      </w:r>
      <w:r>
        <w:rPr>
          <w:rFonts w:hint="eastAsia" w:ascii="Times New Roman" w:hAnsi="Times New Roman" w:eastAsia="宋体" w:cs="Times New Roman"/>
          <w:color w:val="auto"/>
          <w:u w:val="none" w:color="auto"/>
          <w:lang w:val="en-US" w:eastAsia="zh-CN"/>
        </w:rPr>
        <w:t>循环水池</w:t>
      </w:r>
      <w:r>
        <w:rPr>
          <w:rFonts w:hint="default" w:ascii="Times New Roman" w:hAnsi="Times New Roman" w:eastAsia="宋体" w:cs="Times New Roman"/>
          <w:color w:val="auto"/>
          <w:u w:val="none" w:color="auto"/>
          <w:lang w:eastAsia="zh-CN"/>
        </w:rPr>
        <w:t>简单沉淀后，</w:t>
      </w:r>
      <w:r>
        <w:rPr>
          <w:rFonts w:hint="eastAsia" w:ascii="Times New Roman" w:hAnsi="Times New Roman" w:eastAsia="宋体" w:cs="Times New Roman"/>
          <w:color w:val="auto"/>
          <w:u w:val="none" w:color="auto"/>
          <w:lang w:val="en-US" w:eastAsia="zh-CN"/>
        </w:rPr>
        <w:t>经冷却塔进一步冷却后</w:t>
      </w:r>
      <w:r>
        <w:rPr>
          <w:rFonts w:hint="default" w:ascii="Times New Roman" w:hAnsi="Times New Roman" w:eastAsia="宋体" w:cs="Times New Roman"/>
          <w:color w:val="auto"/>
          <w:u w:val="none" w:color="auto"/>
          <w:lang w:eastAsia="zh-CN"/>
        </w:rPr>
        <w:t>可继续用于冷却工艺，故冷却水循环利用可行</w:t>
      </w:r>
      <w:r>
        <w:rPr>
          <w:rFonts w:hint="default" w:ascii="Times New Roman" w:hAnsi="Times New Roman" w:eastAsia="宋体" w:cs="Times New Roman"/>
          <w:color w:val="auto"/>
          <w:sz w:val="24"/>
          <w:szCs w:val="24"/>
          <w:u w:val="none" w:color="auto"/>
          <w:lang w:val="en-US" w:eastAsia="zh-CN"/>
        </w:rPr>
        <w:t>。</w:t>
      </w:r>
    </w:p>
    <w:p w14:paraId="291371E0">
      <w:pPr>
        <w:pStyle w:val="20"/>
        <w:bidi w:val="0"/>
        <w:rPr>
          <w:b/>
          <w:bCs/>
          <w:color w:val="auto"/>
          <w:u w:val="none" w:color="auto"/>
        </w:rPr>
      </w:pPr>
      <w:r>
        <w:rPr>
          <w:rFonts w:hint="eastAsia"/>
          <w:b/>
          <w:bCs/>
          <w:color w:val="auto"/>
          <w:u w:val="none" w:color="auto"/>
          <w:lang w:val="en-US" w:eastAsia="zh-CN"/>
        </w:rPr>
        <w:t>（2）生活污水</w:t>
      </w:r>
      <w:r>
        <w:rPr>
          <w:b/>
          <w:bCs/>
          <w:color w:val="auto"/>
          <w:u w:val="none" w:color="auto"/>
        </w:rPr>
        <w:t>排往</w:t>
      </w:r>
      <w:r>
        <w:rPr>
          <w:rFonts w:hint="eastAsia"/>
          <w:b/>
          <w:bCs/>
          <w:color w:val="auto"/>
          <w:u w:val="none" w:color="auto"/>
        </w:rPr>
        <w:t>湖南汨罗高新技术产业开发区（循环园区）污水处理厂</w:t>
      </w:r>
      <w:r>
        <w:rPr>
          <w:b/>
          <w:bCs/>
          <w:color w:val="auto"/>
          <w:u w:val="none" w:color="auto"/>
        </w:rPr>
        <w:t>的可行性分析</w:t>
      </w:r>
    </w:p>
    <w:p w14:paraId="2ADBB709">
      <w:pPr>
        <w:pStyle w:val="20"/>
        <w:ind w:firstLine="480"/>
        <w:rPr>
          <w:rFonts w:hint="default" w:ascii="Times New Roman" w:hAnsi="Times New Roman" w:eastAsia="宋体" w:cs="Times New Roman"/>
          <w:color w:val="auto"/>
          <w:sz w:val="24"/>
          <w:szCs w:val="24"/>
          <w:u w:val="none" w:color="auto"/>
          <w:lang w:val="en-US" w:eastAsia="zh-CN"/>
        </w:rPr>
      </w:pPr>
      <w:r>
        <w:rPr>
          <w:rFonts w:hint="default" w:ascii="Times New Roman" w:hAnsi="Times New Roman" w:eastAsia="宋体" w:cs="Times New Roman"/>
          <w:color w:val="auto"/>
          <w:u w:val="none" w:color="auto"/>
          <w:lang w:eastAsia="zh-CN"/>
        </w:rPr>
        <w:t>根据第</w:t>
      </w:r>
      <w:r>
        <w:rPr>
          <w:rFonts w:hint="eastAsia" w:ascii="Times New Roman" w:hAnsi="Times New Roman" w:eastAsia="宋体" w:cs="Times New Roman"/>
          <w:b/>
          <w:bCs/>
          <w:color w:val="auto"/>
          <w:u w:val="none" w:color="auto"/>
          <w:lang w:val="en-US" w:eastAsia="zh-CN"/>
        </w:rPr>
        <w:t>6.2</w:t>
      </w:r>
      <w:r>
        <w:rPr>
          <w:rFonts w:hint="default" w:ascii="Times New Roman" w:hAnsi="Times New Roman" w:eastAsia="宋体" w:cs="Times New Roman"/>
          <w:b/>
          <w:bCs/>
          <w:color w:val="auto"/>
          <w:u w:val="none" w:color="auto"/>
        </w:rPr>
        <w:t>营运期地表水环境影响评价</w:t>
      </w:r>
      <w:r>
        <w:rPr>
          <w:rFonts w:hint="default" w:ascii="Times New Roman" w:hAnsi="Times New Roman" w:eastAsia="宋体" w:cs="Times New Roman"/>
          <w:color w:val="auto"/>
          <w:u w:val="none" w:color="auto"/>
          <w:lang w:eastAsia="zh-CN"/>
        </w:rPr>
        <w:t>章节中依托污水处理设施的环境可行性评价</w:t>
      </w:r>
      <w:r>
        <w:rPr>
          <w:rFonts w:hint="eastAsia" w:ascii="Times New Roman" w:hAnsi="Times New Roman" w:eastAsia="宋体" w:cs="Times New Roman"/>
          <w:color w:val="auto"/>
          <w:u w:val="none" w:color="auto"/>
          <w:lang w:eastAsia="zh-CN"/>
        </w:rPr>
        <w:t>内容可知，本</w:t>
      </w:r>
      <w:r>
        <w:rPr>
          <w:rFonts w:hint="default" w:ascii="Times New Roman" w:hAnsi="Times New Roman" w:eastAsia="宋体" w:cs="Times New Roman"/>
          <w:color w:val="auto"/>
          <w:u w:val="none" w:color="auto"/>
        </w:rPr>
        <w:t>项目废水排放量为</w:t>
      </w:r>
      <w:r>
        <w:rPr>
          <w:rFonts w:hint="eastAsia" w:ascii="Times New Roman" w:hAnsi="Times New Roman" w:eastAsia="宋体" w:cs="Times New Roman"/>
          <w:color w:val="auto"/>
          <w:u w:val="none" w:color="auto"/>
          <w:lang w:val="en-US" w:eastAsia="zh-CN"/>
        </w:rPr>
        <w:t>2088</w:t>
      </w:r>
      <w:r>
        <w:rPr>
          <w:rFonts w:hint="default" w:ascii="Times New Roman" w:hAnsi="Times New Roman" w:eastAsia="宋体" w:cs="Times New Roman"/>
          <w:color w:val="auto"/>
          <w:u w:val="none" w:color="auto"/>
        </w:rPr>
        <w:t>m</w:t>
      </w:r>
      <w:r>
        <w:rPr>
          <w:rFonts w:hint="default" w:ascii="Times New Roman" w:hAnsi="Times New Roman" w:eastAsia="宋体" w:cs="Times New Roman"/>
          <w:color w:val="auto"/>
          <w:u w:val="none" w:color="auto"/>
          <w:vertAlign w:val="superscript"/>
        </w:rPr>
        <w:t>3</w:t>
      </w:r>
      <w:r>
        <w:rPr>
          <w:rFonts w:hint="default" w:ascii="Times New Roman" w:hAnsi="Times New Roman" w:eastAsia="宋体" w:cs="Times New Roman"/>
          <w:color w:val="auto"/>
          <w:u w:val="none" w:color="auto"/>
        </w:rPr>
        <w:t>/a，</w:t>
      </w:r>
      <w:r>
        <w:rPr>
          <w:rFonts w:hint="default" w:ascii="Times New Roman" w:hAnsi="Times New Roman" w:eastAsia="宋体" w:cs="Times New Roman"/>
          <w:color w:val="auto"/>
          <w:u w:val="none" w:color="auto"/>
          <w:lang w:eastAsia="zh-CN"/>
        </w:rPr>
        <w:t>废水</w:t>
      </w:r>
      <w:r>
        <w:rPr>
          <w:rFonts w:hint="default" w:ascii="Times New Roman" w:hAnsi="Times New Roman" w:eastAsia="宋体" w:cs="Times New Roman"/>
          <w:color w:val="auto"/>
          <w:u w:val="none" w:color="auto"/>
        </w:rPr>
        <w:t>中所含污染物主要为COD、BOD</w:t>
      </w:r>
      <w:r>
        <w:rPr>
          <w:rFonts w:hint="default" w:ascii="Times New Roman" w:hAnsi="Times New Roman" w:eastAsia="宋体" w:cs="Times New Roman"/>
          <w:color w:val="auto"/>
          <w:u w:val="none" w:color="auto"/>
          <w:vertAlign w:val="subscript"/>
        </w:rPr>
        <w:t>5</w:t>
      </w:r>
      <w:r>
        <w:rPr>
          <w:rFonts w:hint="default" w:ascii="Times New Roman" w:hAnsi="Times New Roman" w:eastAsia="宋体" w:cs="Times New Roman"/>
          <w:color w:val="auto"/>
          <w:u w:val="none" w:color="auto"/>
        </w:rPr>
        <w:t>、NH</w:t>
      </w:r>
      <w:r>
        <w:rPr>
          <w:rFonts w:hint="default" w:ascii="Times New Roman" w:hAnsi="Times New Roman" w:eastAsia="宋体" w:cs="Times New Roman"/>
          <w:color w:val="auto"/>
          <w:u w:val="none" w:color="auto"/>
          <w:vertAlign w:val="subscript"/>
        </w:rPr>
        <w:t>3</w:t>
      </w:r>
      <w:r>
        <w:rPr>
          <w:rFonts w:hint="default" w:ascii="Times New Roman" w:hAnsi="Times New Roman" w:eastAsia="宋体" w:cs="Times New Roman"/>
          <w:color w:val="auto"/>
          <w:u w:val="none" w:color="auto"/>
        </w:rPr>
        <w:t>-N、SS等；项目区域属于</w:t>
      </w:r>
      <w:r>
        <w:rPr>
          <w:rFonts w:hint="default" w:ascii="Times New Roman" w:hAnsi="Times New Roman" w:eastAsia="宋体" w:cs="Times New Roman"/>
          <w:color w:val="auto"/>
          <w:u w:val="none" w:color="auto"/>
          <w:lang w:eastAsia="zh-CN"/>
        </w:rPr>
        <w:t>湖南汨罗高新技术产业开发区（循环园区）污水处理厂</w:t>
      </w:r>
      <w:r>
        <w:rPr>
          <w:rFonts w:hint="default" w:ascii="Times New Roman" w:hAnsi="Times New Roman" w:eastAsia="宋体" w:cs="Times New Roman"/>
          <w:color w:val="auto"/>
          <w:u w:val="none" w:color="auto"/>
        </w:rPr>
        <w:t>纳污范围，并且区域已完成纳污管网的建设</w:t>
      </w:r>
      <w:r>
        <w:rPr>
          <w:rFonts w:hint="default" w:ascii="Times New Roman" w:hAnsi="Times New Roman" w:eastAsia="宋体" w:cs="Times New Roman"/>
          <w:color w:val="auto"/>
          <w:sz w:val="24"/>
          <w:szCs w:val="24"/>
          <w:u w:val="none" w:color="auto"/>
          <w:lang w:val="en-US" w:eastAsia="zh-CN"/>
        </w:rPr>
        <w:t>。</w:t>
      </w:r>
    </w:p>
    <w:p w14:paraId="05B0332A">
      <w:pPr>
        <w:pStyle w:val="20"/>
        <w:ind w:firstLine="480"/>
        <w:rPr>
          <w:rFonts w:hint="default" w:ascii="Times New Roman" w:hAnsi="Times New Roman" w:eastAsia="宋体" w:cs="Times New Roman"/>
          <w:color w:val="auto"/>
          <w:sz w:val="24"/>
          <w:szCs w:val="24"/>
          <w:u w:val="none" w:color="auto"/>
          <w:lang w:val="en-US" w:eastAsia="zh-CN"/>
        </w:rPr>
      </w:pPr>
      <w:r>
        <w:rPr>
          <w:rFonts w:hint="eastAsia" w:ascii="Times New Roman" w:hAnsi="Times New Roman" w:eastAsia="宋体" w:cs="Times New Roman"/>
          <w:color w:val="auto"/>
          <w:kern w:val="0"/>
          <w:sz w:val="24"/>
          <w:szCs w:val="20"/>
          <w:u w:val="none" w:color="auto"/>
          <w:lang w:val="en-US" w:eastAsia="zh-CN" w:bidi="ar-SA"/>
        </w:rPr>
        <w:t>湖南汨罗高新技术产业开发区（循环园区）污水处理厂</w:t>
      </w:r>
      <w:r>
        <w:rPr>
          <w:rFonts w:hint="default" w:ascii="Times New Roman" w:hAnsi="Times New Roman" w:eastAsia="宋体" w:cs="Times New Roman"/>
          <w:color w:val="auto"/>
          <w:kern w:val="0"/>
          <w:sz w:val="24"/>
          <w:szCs w:val="20"/>
          <w:u w:val="none" w:color="auto"/>
          <w:lang w:val="en-US" w:eastAsia="zh-CN" w:bidi="ar-SA"/>
        </w:rPr>
        <w:t>设计处理规模为3万m</w:t>
      </w:r>
      <w:r>
        <w:rPr>
          <w:rFonts w:hint="default" w:ascii="Times New Roman" w:hAnsi="Times New Roman" w:eastAsia="宋体" w:cs="Times New Roman"/>
          <w:color w:val="auto"/>
          <w:kern w:val="0"/>
          <w:sz w:val="24"/>
          <w:szCs w:val="20"/>
          <w:u w:val="none" w:color="auto"/>
          <w:vertAlign w:val="superscript"/>
          <w:lang w:val="en-US" w:eastAsia="zh-CN" w:bidi="ar-SA"/>
        </w:rPr>
        <w:t>3</w:t>
      </w:r>
      <w:r>
        <w:rPr>
          <w:rFonts w:hint="default" w:ascii="Times New Roman" w:hAnsi="Times New Roman" w:eastAsia="宋体" w:cs="Times New Roman"/>
          <w:color w:val="auto"/>
          <w:kern w:val="0"/>
          <w:sz w:val="24"/>
          <w:szCs w:val="20"/>
          <w:u w:val="none" w:color="auto"/>
          <w:lang w:val="en-US" w:eastAsia="zh-CN" w:bidi="ar-SA"/>
        </w:rPr>
        <w:t>/d，近期</w:t>
      </w:r>
      <w:r>
        <w:rPr>
          <w:rFonts w:hint="eastAsia" w:ascii="Times New Roman" w:hAnsi="Times New Roman" w:eastAsia="宋体" w:cs="Times New Roman"/>
          <w:color w:val="auto"/>
          <w:kern w:val="0"/>
          <w:sz w:val="24"/>
          <w:szCs w:val="20"/>
          <w:u w:val="none" w:color="auto"/>
          <w:lang w:val="en-US" w:eastAsia="zh-CN" w:bidi="ar-SA"/>
        </w:rPr>
        <w:t>已建成</w:t>
      </w:r>
      <w:r>
        <w:rPr>
          <w:rFonts w:hint="default" w:ascii="Times New Roman" w:hAnsi="Times New Roman" w:eastAsia="宋体" w:cs="Times New Roman"/>
          <w:color w:val="auto"/>
          <w:kern w:val="0"/>
          <w:sz w:val="24"/>
          <w:szCs w:val="20"/>
          <w:u w:val="none" w:color="auto"/>
          <w:lang w:val="en-US" w:eastAsia="zh-CN" w:bidi="ar-SA"/>
        </w:rPr>
        <w:t>规模为2万m</w:t>
      </w:r>
      <w:r>
        <w:rPr>
          <w:rFonts w:hint="default" w:ascii="Times New Roman" w:hAnsi="Times New Roman" w:eastAsia="宋体" w:cs="Times New Roman"/>
          <w:color w:val="auto"/>
          <w:kern w:val="0"/>
          <w:sz w:val="24"/>
          <w:szCs w:val="20"/>
          <w:u w:val="none" w:color="auto"/>
          <w:vertAlign w:val="superscript"/>
          <w:lang w:val="en-US" w:eastAsia="zh-CN" w:bidi="ar-SA"/>
        </w:rPr>
        <w:t>3</w:t>
      </w:r>
      <w:r>
        <w:rPr>
          <w:rFonts w:hint="default" w:ascii="Times New Roman" w:hAnsi="Times New Roman" w:eastAsia="宋体" w:cs="Times New Roman"/>
          <w:color w:val="auto"/>
          <w:kern w:val="0"/>
          <w:sz w:val="24"/>
          <w:szCs w:val="20"/>
          <w:u w:val="none" w:color="auto"/>
          <w:lang w:val="en-US" w:eastAsia="zh-CN" w:bidi="ar-SA"/>
        </w:rPr>
        <w:t>/d</w:t>
      </w:r>
      <w:r>
        <w:rPr>
          <w:rFonts w:hint="eastAsia" w:ascii="Times New Roman" w:hAnsi="Times New Roman" w:eastAsia="宋体" w:cs="Times New Roman"/>
          <w:color w:val="auto"/>
          <w:kern w:val="0"/>
          <w:sz w:val="24"/>
          <w:szCs w:val="20"/>
          <w:u w:val="none" w:color="auto"/>
          <w:lang w:val="en-US" w:eastAsia="zh-CN" w:bidi="ar-SA"/>
        </w:rPr>
        <w:t>。湖南汨罗高新技术产业开发区（循环园区）污水处理厂的</w:t>
      </w:r>
      <w:r>
        <w:rPr>
          <w:rFonts w:hint="default" w:ascii="Times New Roman" w:hAnsi="Times New Roman" w:eastAsia="宋体" w:cs="Times New Roman"/>
          <w:color w:val="auto"/>
          <w:kern w:val="0"/>
          <w:sz w:val="24"/>
          <w:szCs w:val="20"/>
          <w:u w:val="none" w:color="auto"/>
          <w:lang w:val="en-US" w:eastAsia="zh-CN" w:bidi="ar-SA"/>
        </w:rPr>
        <w:t>污水处理工艺</w:t>
      </w:r>
      <w:r>
        <w:rPr>
          <w:rFonts w:hint="eastAsia" w:ascii="Times New Roman" w:hAnsi="Times New Roman" w:eastAsia="宋体" w:cs="Times New Roman"/>
          <w:color w:val="auto"/>
          <w:kern w:val="0"/>
          <w:sz w:val="24"/>
          <w:szCs w:val="20"/>
          <w:u w:val="none" w:color="auto"/>
          <w:lang w:val="en-US" w:eastAsia="zh-CN" w:bidi="ar-SA"/>
        </w:rPr>
        <w:t>为</w:t>
      </w:r>
      <w:r>
        <w:rPr>
          <w:rFonts w:hint="default" w:ascii="Times New Roman" w:hAnsi="Times New Roman" w:eastAsia="宋体" w:cs="Times New Roman"/>
          <w:color w:val="auto"/>
          <w:kern w:val="0"/>
          <w:sz w:val="24"/>
          <w:szCs w:val="20"/>
          <w:u w:val="none" w:color="auto"/>
          <w:lang w:val="en-US" w:eastAsia="zh-CN" w:bidi="ar-SA"/>
        </w:rPr>
        <w:t>预处理+水解酸化及改良型A</w:t>
      </w:r>
      <w:r>
        <w:rPr>
          <w:rFonts w:hint="default" w:ascii="Times New Roman" w:hAnsi="Times New Roman" w:eastAsia="宋体" w:cs="Times New Roman"/>
          <w:color w:val="auto"/>
          <w:kern w:val="0"/>
          <w:sz w:val="24"/>
          <w:szCs w:val="20"/>
          <w:u w:val="none" w:color="auto"/>
          <w:vertAlign w:val="superscript"/>
          <w:lang w:val="en-US" w:eastAsia="zh-CN" w:bidi="ar-SA"/>
        </w:rPr>
        <w:t>2</w:t>
      </w:r>
      <w:r>
        <w:rPr>
          <w:rFonts w:hint="default" w:ascii="Times New Roman" w:hAnsi="Times New Roman" w:eastAsia="宋体" w:cs="Times New Roman"/>
          <w:color w:val="auto"/>
          <w:kern w:val="0"/>
          <w:sz w:val="24"/>
          <w:szCs w:val="20"/>
          <w:u w:val="none" w:color="auto"/>
          <w:lang w:val="en-US" w:eastAsia="zh-CN" w:bidi="ar-SA"/>
        </w:rPr>
        <w:t>/O生物池＋组合二沉池+高效沉淀池+反硝化深床滤池+紫外线消毒</w:t>
      </w:r>
      <w:r>
        <w:rPr>
          <w:rFonts w:hint="eastAsia" w:ascii="Times New Roman" w:hAnsi="Times New Roman" w:eastAsia="宋体" w:cs="Times New Roman"/>
          <w:color w:val="auto"/>
          <w:kern w:val="0"/>
          <w:sz w:val="24"/>
          <w:szCs w:val="20"/>
          <w:u w:val="none" w:color="auto"/>
          <w:lang w:val="en-US" w:eastAsia="zh-CN" w:bidi="ar-SA"/>
        </w:rPr>
        <w:t>，设计</w:t>
      </w:r>
      <w:r>
        <w:rPr>
          <w:rFonts w:hint="default" w:ascii="Times New Roman" w:hAnsi="Times New Roman" w:eastAsia="宋体" w:cs="Times New Roman"/>
          <w:color w:val="auto"/>
          <w:kern w:val="0"/>
          <w:sz w:val="24"/>
          <w:szCs w:val="20"/>
          <w:u w:val="none" w:color="auto"/>
          <w:lang w:val="en-US" w:eastAsia="zh-CN" w:bidi="ar-SA"/>
        </w:rPr>
        <w:t>外排尾水</w:t>
      </w:r>
      <w:r>
        <w:rPr>
          <w:rFonts w:hint="eastAsia" w:ascii="Times New Roman" w:hAnsi="Times New Roman" w:eastAsia="宋体" w:cs="Times New Roman"/>
          <w:color w:val="auto"/>
          <w:kern w:val="0"/>
          <w:sz w:val="24"/>
          <w:szCs w:val="20"/>
          <w:u w:val="none" w:color="auto"/>
          <w:lang w:val="en-US" w:eastAsia="zh-CN" w:bidi="ar-SA"/>
        </w:rPr>
        <w:t>达到</w:t>
      </w:r>
      <w:r>
        <w:rPr>
          <w:rFonts w:hint="default" w:ascii="Times New Roman" w:hAnsi="Times New Roman" w:eastAsia="宋体" w:cs="Times New Roman"/>
          <w:color w:val="auto"/>
          <w:kern w:val="0"/>
          <w:sz w:val="24"/>
          <w:szCs w:val="20"/>
          <w:u w:val="none" w:color="auto"/>
          <w:lang w:val="en-US" w:eastAsia="zh-CN" w:bidi="ar-SA"/>
        </w:rPr>
        <w:t>《城镇污水处理厂污染物排放标准》（GB18918</w:t>
      </w:r>
      <w:r>
        <w:rPr>
          <w:rFonts w:hint="eastAsia" w:ascii="Times New Roman" w:hAnsi="Times New Roman" w:eastAsia="宋体" w:cs="Times New Roman"/>
          <w:color w:val="auto"/>
          <w:kern w:val="0"/>
          <w:sz w:val="24"/>
          <w:szCs w:val="20"/>
          <w:u w:val="none" w:color="auto"/>
          <w:lang w:val="en-US" w:eastAsia="zh-CN" w:bidi="ar-SA"/>
        </w:rPr>
        <w:t>-</w:t>
      </w:r>
      <w:r>
        <w:rPr>
          <w:rFonts w:hint="default" w:ascii="Times New Roman" w:hAnsi="Times New Roman" w:eastAsia="宋体" w:cs="Times New Roman"/>
          <w:color w:val="auto"/>
          <w:kern w:val="0"/>
          <w:sz w:val="24"/>
          <w:szCs w:val="20"/>
          <w:u w:val="none" w:color="auto"/>
          <w:lang w:val="en-US" w:eastAsia="zh-CN" w:bidi="ar-SA"/>
        </w:rPr>
        <w:t>2002）一级A标准（其中化学需氧量、氨氮、总氮、总磷</w:t>
      </w:r>
      <w:r>
        <w:rPr>
          <w:rFonts w:hint="eastAsia" w:ascii="Times New Roman" w:hAnsi="Times New Roman" w:eastAsia="宋体" w:cs="Times New Roman"/>
          <w:color w:val="auto"/>
          <w:kern w:val="0"/>
          <w:sz w:val="24"/>
          <w:szCs w:val="20"/>
          <w:u w:val="none" w:color="auto"/>
          <w:lang w:val="en-US" w:eastAsia="zh-CN" w:bidi="ar-SA"/>
        </w:rPr>
        <w:t>达到</w:t>
      </w:r>
      <w:r>
        <w:rPr>
          <w:rFonts w:hint="default" w:ascii="Times New Roman" w:hAnsi="Times New Roman" w:eastAsia="宋体" w:cs="Times New Roman"/>
          <w:color w:val="auto"/>
          <w:kern w:val="0"/>
          <w:sz w:val="24"/>
          <w:szCs w:val="20"/>
          <w:u w:val="none" w:color="auto"/>
          <w:lang w:val="en-US" w:eastAsia="zh-CN" w:bidi="ar-SA"/>
        </w:rPr>
        <w:t>《湖南省城镇污水处理厂主要水污染物排放标准》（DB43/T1546-2018）一级标准，枯水期等应急时段总磷执行≤0.1mg/L标准）</w:t>
      </w:r>
      <w:r>
        <w:rPr>
          <w:rFonts w:hint="eastAsia" w:ascii="Times New Roman" w:hAnsi="Times New Roman" w:eastAsia="宋体" w:cs="Times New Roman"/>
          <w:color w:val="auto"/>
          <w:kern w:val="0"/>
          <w:sz w:val="24"/>
          <w:szCs w:val="20"/>
          <w:u w:val="none" w:color="auto"/>
          <w:lang w:val="en-US" w:eastAsia="zh-CN" w:bidi="ar-SA"/>
        </w:rPr>
        <w:t>。根据调查，湖南汨罗高新技术产业开发区（循环园区）污水处理厂</w:t>
      </w:r>
      <w:r>
        <w:rPr>
          <w:rFonts w:hint="default" w:ascii="Times New Roman" w:hAnsi="Times New Roman" w:eastAsia="宋体" w:cs="Times New Roman"/>
          <w:color w:val="auto"/>
          <w:kern w:val="0"/>
          <w:sz w:val="24"/>
          <w:szCs w:val="20"/>
          <w:u w:val="none" w:color="auto"/>
          <w:lang w:val="en-US" w:eastAsia="zh-CN" w:bidi="ar-SA"/>
        </w:rPr>
        <w:t>近期规模2万m</w:t>
      </w:r>
      <w:r>
        <w:rPr>
          <w:rFonts w:hint="default" w:ascii="Times New Roman" w:hAnsi="Times New Roman" w:eastAsia="宋体" w:cs="Times New Roman"/>
          <w:color w:val="auto"/>
          <w:kern w:val="0"/>
          <w:sz w:val="24"/>
          <w:szCs w:val="20"/>
          <w:u w:val="none" w:color="auto"/>
          <w:vertAlign w:val="superscript"/>
          <w:lang w:val="en-US" w:eastAsia="zh-CN" w:bidi="ar-SA"/>
        </w:rPr>
        <w:t>3</w:t>
      </w:r>
      <w:r>
        <w:rPr>
          <w:rFonts w:hint="default" w:ascii="Times New Roman" w:hAnsi="Times New Roman" w:eastAsia="宋体" w:cs="Times New Roman"/>
          <w:color w:val="auto"/>
          <w:kern w:val="0"/>
          <w:sz w:val="24"/>
          <w:szCs w:val="20"/>
          <w:u w:val="none" w:color="auto"/>
          <w:lang w:val="en-US" w:eastAsia="zh-CN" w:bidi="ar-SA"/>
        </w:rPr>
        <w:t>/d</w:t>
      </w:r>
      <w:r>
        <w:rPr>
          <w:rFonts w:hint="eastAsia" w:ascii="Times New Roman" w:hAnsi="Times New Roman" w:eastAsia="宋体" w:cs="Times New Roman"/>
          <w:color w:val="auto"/>
          <w:kern w:val="0"/>
          <w:sz w:val="24"/>
          <w:szCs w:val="20"/>
          <w:u w:val="none" w:color="auto"/>
          <w:lang w:val="en-US" w:eastAsia="zh-CN" w:bidi="ar-SA"/>
        </w:rPr>
        <w:t>主体工程已经建设完成，目前正在进行通水试运行。</w:t>
      </w:r>
      <w:r>
        <w:rPr>
          <w:rFonts w:hint="default" w:ascii="Times New Roman" w:hAnsi="Times New Roman" w:eastAsia="宋体" w:cs="Times New Roman"/>
          <w:color w:val="auto"/>
          <w:kern w:val="0"/>
          <w:sz w:val="24"/>
          <w:szCs w:val="20"/>
          <w:u w:val="none" w:color="auto"/>
          <w:lang w:val="en-US" w:eastAsia="zh-CN" w:bidi="ar-SA"/>
        </w:rPr>
        <w:t>目前</w:t>
      </w:r>
      <w:r>
        <w:rPr>
          <w:rFonts w:hint="eastAsia" w:ascii="Times New Roman" w:hAnsi="Times New Roman" w:eastAsia="宋体" w:cs="Times New Roman"/>
          <w:color w:val="auto"/>
          <w:kern w:val="0"/>
          <w:sz w:val="24"/>
          <w:szCs w:val="20"/>
          <w:u w:val="none" w:color="auto"/>
          <w:lang w:val="en-US" w:eastAsia="zh-CN" w:bidi="ar-SA"/>
        </w:rPr>
        <w:t>湖南汨罗高新技术产业开发区（循环园区）污水处理厂纳污范围内废水</w:t>
      </w:r>
      <w:r>
        <w:rPr>
          <w:rFonts w:hint="default" w:ascii="Times New Roman" w:hAnsi="Times New Roman" w:eastAsia="宋体" w:cs="Times New Roman"/>
          <w:color w:val="auto"/>
          <w:kern w:val="0"/>
          <w:sz w:val="24"/>
          <w:szCs w:val="20"/>
          <w:u w:val="none" w:color="auto"/>
          <w:lang w:val="en-US" w:eastAsia="zh-CN" w:bidi="ar-SA"/>
        </w:rPr>
        <w:t>实际</w:t>
      </w:r>
      <w:r>
        <w:rPr>
          <w:rFonts w:hint="eastAsia" w:ascii="Times New Roman" w:hAnsi="Times New Roman" w:eastAsia="宋体" w:cs="Times New Roman"/>
          <w:color w:val="auto"/>
          <w:kern w:val="0"/>
          <w:sz w:val="24"/>
          <w:szCs w:val="20"/>
          <w:u w:val="none" w:color="auto"/>
          <w:lang w:val="en-US" w:eastAsia="zh-CN" w:bidi="ar-SA"/>
        </w:rPr>
        <w:t>排放</w:t>
      </w:r>
      <w:r>
        <w:rPr>
          <w:rFonts w:hint="default" w:ascii="Times New Roman" w:hAnsi="Times New Roman" w:eastAsia="宋体" w:cs="Times New Roman"/>
          <w:color w:val="auto"/>
          <w:kern w:val="0"/>
          <w:sz w:val="24"/>
          <w:szCs w:val="20"/>
          <w:u w:val="none" w:color="auto"/>
          <w:lang w:val="en-US" w:eastAsia="zh-CN" w:bidi="ar-SA"/>
        </w:rPr>
        <w:t>水量约为</w:t>
      </w:r>
      <w:r>
        <w:rPr>
          <w:rFonts w:hint="eastAsia" w:ascii="Times New Roman" w:hAnsi="Times New Roman" w:eastAsia="宋体" w:cs="Times New Roman"/>
          <w:color w:val="auto"/>
          <w:kern w:val="0"/>
          <w:sz w:val="24"/>
          <w:szCs w:val="20"/>
          <w:u w:val="none" w:color="auto"/>
          <w:lang w:val="en-US" w:eastAsia="zh-CN" w:bidi="ar-SA"/>
        </w:rPr>
        <w:t>1.</w:t>
      </w:r>
      <w:r>
        <w:rPr>
          <w:rFonts w:hint="default" w:ascii="Times New Roman" w:hAnsi="Times New Roman" w:eastAsia="宋体" w:cs="Times New Roman"/>
          <w:color w:val="auto"/>
          <w:kern w:val="0"/>
          <w:sz w:val="24"/>
          <w:szCs w:val="20"/>
          <w:u w:val="none" w:color="auto"/>
          <w:lang w:val="en-US" w:eastAsia="zh-CN" w:bidi="ar-SA"/>
        </w:rPr>
        <w:t>4万m</w:t>
      </w:r>
      <w:r>
        <w:rPr>
          <w:rFonts w:hint="default" w:ascii="Times New Roman" w:hAnsi="Times New Roman" w:eastAsia="宋体" w:cs="Times New Roman"/>
          <w:color w:val="auto"/>
          <w:kern w:val="0"/>
          <w:sz w:val="24"/>
          <w:szCs w:val="20"/>
          <w:u w:val="none" w:color="auto"/>
          <w:vertAlign w:val="superscript"/>
          <w:lang w:val="en-US" w:eastAsia="zh-CN" w:bidi="ar-SA"/>
        </w:rPr>
        <w:t>3</w:t>
      </w:r>
      <w:r>
        <w:rPr>
          <w:rFonts w:hint="default" w:ascii="Times New Roman" w:hAnsi="Times New Roman" w:eastAsia="宋体" w:cs="Times New Roman"/>
          <w:color w:val="auto"/>
          <w:kern w:val="0"/>
          <w:sz w:val="24"/>
          <w:szCs w:val="20"/>
          <w:u w:val="none" w:color="auto"/>
          <w:lang w:val="en-US" w:eastAsia="zh-CN" w:bidi="ar-SA"/>
        </w:rPr>
        <w:t>/d，剩余处理余量为0.</w:t>
      </w:r>
      <w:r>
        <w:rPr>
          <w:rFonts w:hint="eastAsia" w:ascii="Times New Roman" w:hAnsi="Times New Roman" w:eastAsia="宋体" w:cs="Times New Roman"/>
          <w:color w:val="auto"/>
          <w:kern w:val="0"/>
          <w:sz w:val="24"/>
          <w:szCs w:val="20"/>
          <w:u w:val="none" w:color="auto"/>
          <w:lang w:val="en-US" w:eastAsia="zh-CN" w:bidi="ar-SA"/>
        </w:rPr>
        <w:t>6</w:t>
      </w:r>
      <w:r>
        <w:rPr>
          <w:rFonts w:hint="default" w:ascii="Times New Roman" w:hAnsi="Times New Roman" w:eastAsia="宋体" w:cs="Times New Roman"/>
          <w:color w:val="auto"/>
          <w:kern w:val="0"/>
          <w:sz w:val="24"/>
          <w:szCs w:val="20"/>
          <w:u w:val="none" w:color="auto"/>
          <w:lang w:val="en-US" w:eastAsia="zh-CN" w:bidi="ar-SA"/>
        </w:rPr>
        <w:t>万m</w:t>
      </w:r>
      <w:r>
        <w:rPr>
          <w:rFonts w:hint="default" w:ascii="Times New Roman" w:hAnsi="Times New Roman" w:eastAsia="宋体" w:cs="Times New Roman"/>
          <w:color w:val="auto"/>
          <w:kern w:val="0"/>
          <w:sz w:val="24"/>
          <w:szCs w:val="20"/>
          <w:u w:val="none" w:color="auto"/>
          <w:vertAlign w:val="superscript"/>
          <w:lang w:val="en-US" w:eastAsia="zh-CN" w:bidi="ar-SA"/>
        </w:rPr>
        <w:t>3</w:t>
      </w:r>
      <w:r>
        <w:rPr>
          <w:rFonts w:hint="default" w:ascii="Times New Roman" w:hAnsi="Times New Roman" w:eastAsia="宋体" w:cs="Times New Roman"/>
          <w:color w:val="auto"/>
          <w:kern w:val="0"/>
          <w:sz w:val="24"/>
          <w:szCs w:val="20"/>
          <w:u w:val="none" w:color="auto"/>
          <w:lang w:val="en-US" w:eastAsia="zh-CN" w:bidi="ar-SA"/>
        </w:rPr>
        <w:t>/d，</w:t>
      </w:r>
      <w:r>
        <w:rPr>
          <w:rFonts w:hint="eastAsia" w:ascii="Times New Roman" w:hAnsi="Times New Roman" w:eastAsia="宋体" w:cs="Times New Roman"/>
          <w:color w:val="auto"/>
          <w:kern w:val="0"/>
          <w:sz w:val="24"/>
          <w:szCs w:val="20"/>
          <w:u w:val="none" w:color="auto"/>
          <w:lang w:val="en-US" w:eastAsia="zh-CN" w:bidi="ar-SA"/>
        </w:rPr>
        <w:t>本项目废水排放量为2088</w:t>
      </w:r>
      <w:r>
        <w:rPr>
          <w:rFonts w:hint="default" w:ascii="Times New Roman" w:hAnsi="Times New Roman" w:eastAsia="宋体" w:cs="Times New Roman"/>
          <w:color w:val="auto"/>
          <w:kern w:val="0"/>
          <w:sz w:val="24"/>
          <w:szCs w:val="20"/>
          <w:u w:val="none" w:color="auto"/>
          <w:lang w:val="en-US" w:eastAsia="zh-CN" w:bidi="ar-SA"/>
        </w:rPr>
        <w:t>m</w:t>
      </w:r>
      <w:r>
        <w:rPr>
          <w:rFonts w:hint="default" w:ascii="Times New Roman" w:hAnsi="Times New Roman" w:eastAsia="宋体" w:cs="Times New Roman"/>
          <w:color w:val="auto"/>
          <w:kern w:val="0"/>
          <w:sz w:val="24"/>
          <w:szCs w:val="20"/>
          <w:u w:val="none" w:color="auto"/>
          <w:vertAlign w:val="superscript"/>
          <w:lang w:val="en-US" w:eastAsia="zh-CN" w:bidi="ar-SA"/>
        </w:rPr>
        <w:t>3</w:t>
      </w:r>
      <w:r>
        <w:rPr>
          <w:rFonts w:hint="default" w:ascii="Times New Roman" w:hAnsi="Times New Roman" w:eastAsia="宋体" w:cs="Times New Roman"/>
          <w:color w:val="auto"/>
          <w:kern w:val="0"/>
          <w:sz w:val="24"/>
          <w:szCs w:val="20"/>
          <w:u w:val="none" w:color="auto"/>
          <w:lang w:val="en-US" w:eastAsia="zh-CN" w:bidi="ar-SA"/>
        </w:rPr>
        <w:t>/</w:t>
      </w:r>
      <w:r>
        <w:rPr>
          <w:rFonts w:hint="eastAsia" w:ascii="Times New Roman" w:hAnsi="Times New Roman" w:eastAsia="宋体" w:cs="Times New Roman"/>
          <w:color w:val="auto"/>
          <w:kern w:val="0"/>
          <w:sz w:val="24"/>
          <w:szCs w:val="20"/>
          <w:u w:val="none" w:color="auto"/>
          <w:lang w:val="en-US" w:eastAsia="zh-CN" w:bidi="ar-SA"/>
        </w:rPr>
        <w:t>a，折合6.96</w:t>
      </w:r>
      <w:r>
        <w:rPr>
          <w:rFonts w:hint="default" w:ascii="Times New Roman" w:hAnsi="Times New Roman" w:eastAsia="宋体" w:cs="Times New Roman"/>
          <w:color w:val="auto"/>
          <w:kern w:val="0"/>
          <w:sz w:val="24"/>
          <w:szCs w:val="20"/>
          <w:u w:val="none" w:color="auto"/>
          <w:lang w:val="en-US" w:eastAsia="zh-CN" w:bidi="ar-SA"/>
        </w:rPr>
        <w:t>m</w:t>
      </w:r>
      <w:r>
        <w:rPr>
          <w:rFonts w:hint="default" w:ascii="Times New Roman" w:hAnsi="Times New Roman" w:eastAsia="宋体" w:cs="Times New Roman"/>
          <w:color w:val="auto"/>
          <w:kern w:val="0"/>
          <w:sz w:val="24"/>
          <w:szCs w:val="20"/>
          <w:u w:val="none" w:color="auto"/>
          <w:vertAlign w:val="superscript"/>
          <w:lang w:val="en-US" w:eastAsia="zh-CN" w:bidi="ar-SA"/>
        </w:rPr>
        <w:t>3</w:t>
      </w:r>
      <w:r>
        <w:rPr>
          <w:rFonts w:hint="default" w:ascii="Times New Roman" w:hAnsi="Times New Roman" w:eastAsia="宋体" w:cs="Times New Roman"/>
          <w:color w:val="auto"/>
          <w:kern w:val="0"/>
          <w:sz w:val="24"/>
          <w:szCs w:val="20"/>
          <w:u w:val="none" w:color="auto"/>
          <w:lang w:val="en-US" w:eastAsia="zh-CN" w:bidi="ar-SA"/>
        </w:rPr>
        <w:t>/d</w:t>
      </w:r>
      <w:r>
        <w:rPr>
          <w:rFonts w:hint="eastAsia" w:ascii="Times New Roman" w:hAnsi="Times New Roman" w:eastAsia="宋体" w:cs="Times New Roman"/>
          <w:color w:val="auto"/>
          <w:kern w:val="0"/>
          <w:sz w:val="24"/>
          <w:szCs w:val="20"/>
          <w:u w:val="none" w:color="auto"/>
          <w:lang w:val="en-US" w:eastAsia="zh-CN" w:bidi="ar-SA"/>
        </w:rPr>
        <w:t>，远低于湖南汨罗高新技术产业开发区（循环园区）污水处理厂</w:t>
      </w:r>
      <w:r>
        <w:rPr>
          <w:rFonts w:hint="default" w:ascii="Times New Roman" w:hAnsi="Times New Roman" w:eastAsia="宋体" w:cs="Times New Roman"/>
          <w:color w:val="auto"/>
          <w:kern w:val="0"/>
          <w:sz w:val="24"/>
          <w:szCs w:val="20"/>
          <w:u w:val="none" w:color="auto"/>
          <w:lang w:val="en-US" w:eastAsia="zh-CN" w:bidi="ar-SA"/>
        </w:rPr>
        <w:t>的剩余处理能力</w:t>
      </w:r>
      <w:r>
        <w:rPr>
          <w:rFonts w:hint="eastAsia" w:ascii="Times New Roman" w:hAnsi="Times New Roman" w:eastAsia="宋体" w:cs="Times New Roman"/>
          <w:color w:val="auto"/>
          <w:kern w:val="0"/>
          <w:sz w:val="24"/>
          <w:szCs w:val="20"/>
          <w:u w:val="none" w:color="auto"/>
          <w:lang w:val="en-US" w:eastAsia="zh-CN" w:bidi="ar-SA"/>
        </w:rPr>
        <w:t>，</w:t>
      </w:r>
      <w:r>
        <w:rPr>
          <w:rFonts w:hint="default" w:ascii="Times New Roman" w:hAnsi="Times New Roman" w:eastAsia="宋体" w:cs="Times New Roman"/>
          <w:color w:val="auto"/>
          <w:kern w:val="0"/>
          <w:sz w:val="24"/>
          <w:szCs w:val="20"/>
          <w:u w:val="none" w:color="auto"/>
          <w:lang w:val="en-US" w:eastAsia="zh-CN" w:bidi="ar-SA"/>
        </w:rPr>
        <w:t>能够满足接纳本项目</w:t>
      </w:r>
      <w:r>
        <w:rPr>
          <w:rFonts w:hint="eastAsia" w:ascii="Times New Roman" w:hAnsi="Times New Roman" w:eastAsia="宋体" w:cs="Times New Roman"/>
          <w:color w:val="auto"/>
          <w:kern w:val="0"/>
          <w:sz w:val="24"/>
          <w:szCs w:val="20"/>
          <w:u w:val="none" w:color="auto"/>
          <w:lang w:val="en-US" w:eastAsia="zh-CN" w:bidi="ar-SA"/>
        </w:rPr>
        <w:t>废水排放处理</w:t>
      </w:r>
      <w:r>
        <w:rPr>
          <w:rFonts w:hint="default" w:ascii="Times New Roman" w:hAnsi="Times New Roman" w:eastAsia="宋体" w:cs="Times New Roman"/>
          <w:color w:val="auto"/>
          <w:kern w:val="0"/>
          <w:sz w:val="24"/>
          <w:szCs w:val="20"/>
          <w:u w:val="none" w:color="auto"/>
          <w:lang w:val="en-US" w:eastAsia="zh-CN" w:bidi="ar-SA"/>
        </w:rPr>
        <w:t>的要求。</w:t>
      </w:r>
    </w:p>
    <w:p w14:paraId="089E6B0E">
      <w:pPr>
        <w:pStyle w:val="20"/>
        <w:bidi w:val="0"/>
        <w:rPr>
          <w:rFonts w:hint="default"/>
          <w:color w:val="auto"/>
          <w:u w:val="none" w:color="auto"/>
        </w:rPr>
      </w:pPr>
      <w:r>
        <w:rPr>
          <w:rFonts w:hint="default" w:ascii="Times New Roman" w:hAnsi="Times New Roman" w:eastAsia="宋体" w:cs="Times New Roman"/>
          <w:color w:val="auto"/>
          <w:u w:val="none" w:color="auto"/>
        </w:rPr>
        <w:t>综上所述，本项目生活污水经化粪池预处理后，进入湖南汨罗高新技术产业开发区（循环园区）污水处理厂处理后外排汨罗江，不会对区域地表水环境造成明显影响，故项目废水纳入湖南汨罗高新技术产业开发区（循环园区）污水处理厂处理合理可行。</w:t>
      </w:r>
    </w:p>
    <w:bookmarkEnd w:id="1364"/>
    <w:bookmarkEnd w:id="1365"/>
    <w:bookmarkEnd w:id="1366"/>
    <w:bookmarkEnd w:id="1367"/>
    <w:bookmarkEnd w:id="1368"/>
    <w:bookmarkEnd w:id="1369"/>
    <w:p w14:paraId="5EE2B9DE">
      <w:pPr>
        <w:pStyle w:val="4"/>
        <w:rPr>
          <w:rFonts w:hint="default" w:ascii="Times New Roman" w:hAnsi="Times New Roman" w:cs="Times New Roman"/>
          <w:color w:val="auto"/>
          <w:u w:val="none" w:color="auto"/>
        </w:rPr>
      </w:pPr>
      <w:bookmarkStart w:id="1370" w:name="_Toc15241"/>
      <w:bookmarkStart w:id="1371" w:name="_Toc4418"/>
      <w:bookmarkStart w:id="1372" w:name="_Toc12553"/>
      <w:bookmarkStart w:id="1373" w:name="_Toc1421"/>
      <w:bookmarkStart w:id="1374" w:name="_Toc6377_WPSOffice_Level3"/>
      <w:bookmarkStart w:id="1375" w:name="_Toc21747"/>
      <w:bookmarkStart w:id="1376" w:name="_Toc7042"/>
      <w:bookmarkStart w:id="1377" w:name="_Toc481738480"/>
      <w:bookmarkStart w:id="1378" w:name="_Toc15286"/>
      <w:bookmarkStart w:id="1379" w:name="_Toc25479"/>
      <w:bookmarkStart w:id="1380" w:name="_Toc12369"/>
      <w:bookmarkStart w:id="1381" w:name="_Toc27132"/>
      <w:bookmarkStart w:id="1382" w:name="_Toc14654"/>
      <w:bookmarkStart w:id="1383" w:name="_Toc8323_WPSOffice_Level3"/>
      <w:bookmarkStart w:id="1384" w:name="_Toc4804"/>
      <w:bookmarkStart w:id="1385" w:name="_Toc16862"/>
      <w:bookmarkStart w:id="1386" w:name="_Toc7722"/>
      <w:bookmarkStart w:id="1387" w:name="_Toc61"/>
      <w:bookmarkStart w:id="1388" w:name="_Toc10359"/>
      <w:bookmarkStart w:id="1389" w:name="_Toc26900"/>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.3地下水的环境保护措施可行性分析</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14:paraId="49909576">
      <w:pPr>
        <w:pStyle w:val="20"/>
        <w:bidi w:val="0"/>
        <w:rPr>
          <w:rFonts w:hint="default"/>
          <w:color w:val="auto"/>
          <w:u w:val="none" w:color="auto"/>
        </w:rPr>
      </w:pPr>
      <w:bookmarkStart w:id="1390" w:name="_Toc25039"/>
      <w:bookmarkStart w:id="1391" w:name="_Toc1175"/>
      <w:bookmarkStart w:id="1392" w:name="_Toc23662_WPSOffice_Level3"/>
      <w:bookmarkStart w:id="1393" w:name="_Toc3527_WPSOffice_Level3"/>
      <w:bookmarkStart w:id="1394" w:name="_Toc31510"/>
      <w:bookmarkStart w:id="1395" w:name="_Toc13758"/>
      <w:bookmarkStart w:id="1396" w:name="_Toc4212"/>
      <w:r>
        <w:rPr>
          <w:rFonts w:hint="default"/>
          <w:color w:val="auto"/>
          <w:u w:val="none" w:color="auto"/>
        </w:rPr>
        <w:t>为了杜绝</w:t>
      </w:r>
      <w:r>
        <w:rPr>
          <w:rFonts w:hint="default"/>
          <w:color w:val="auto"/>
          <w:u w:val="none" w:color="auto"/>
          <w:lang w:eastAsia="zh-CN"/>
        </w:rPr>
        <w:t>废水、</w:t>
      </w:r>
      <w:r>
        <w:rPr>
          <w:rFonts w:hint="default"/>
          <w:color w:val="auto"/>
          <w:u w:val="none" w:color="auto"/>
        </w:rPr>
        <w:t>物料等泄漏对土壤及地下水环境质量的影响，根据《中华人民共和国水污染防治法》的相关规范，按照“源头控制、分区防治、污染监控、应急响应”的原则，场地污染防治对策从以下方面考虑：</w:t>
      </w:r>
    </w:p>
    <w:p w14:paraId="03D12A09">
      <w:pPr>
        <w:pStyle w:val="20"/>
        <w:bidi w:val="0"/>
        <w:rPr>
          <w:rFonts w:hint="default"/>
          <w:color w:val="auto"/>
          <w:u w:val="none" w:color="auto"/>
          <w:lang w:eastAsia="zh-CN"/>
        </w:rPr>
      </w:pPr>
      <w:bookmarkStart w:id="1397" w:name="_Toc19300"/>
      <w:bookmarkStart w:id="1398" w:name="_Toc28311"/>
      <w:bookmarkStart w:id="1399" w:name="_Toc9174"/>
      <w:bookmarkStart w:id="1400" w:name="_Toc19043"/>
      <w:bookmarkStart w:id="1401" w:name="_Toc13085"/>
      <w:r>
        <w:rPr>
          <w:rFonts w:hint="default"/>
          <w:color w:val="auto"/>
          <w:u w:val="none" w:color="auto"/>
          <w:lang w:eastAsia="zh-CN"/>
        </w:rPr>
        <w:t>（</w:t>
      </w:r>
      <w:r>
        <w:rPr>
          <w:rFonts w:hint="default"/>
          <w:color w:val="auto"/>
          <w:u w:val="none" w:color="auto"/>
          <w:lang w:val="en-US" w:eastAsia="zh-CN"/>
        </w:rPr>
        <w:t>1</w:t>
      </w:r>
      <w:r>
        <w:rPr>
          <w:rFonts w:hint="default"/>
          <w:color w:val="auto"/>
          <w:u w:val="none" w:color="auto"/>
          <w:lang w:eastAsia="zh-CN"/>
        </w:rPr>
        <w:t>）源头控制</w:t>
      </w:r>
      <w:bookmarkEnd w:id="1397"/>
      <w:bookmarkEnd w:id="1398"/>
      <w:bookmarkEnd w:id="1399"/>
      <w:bookmarkEnd w:id="1400"/>
      <w:bookmarkEnd w:id="1401"/>
    </w:p>
    <w:p w14:paraId="72BAF4F8">
      <w:pPr>
        <w:pStyle w:val="20"/>
        <w:bidi w:val="0"/>
        <w:rPr>
          <w:rFonts w:hint="default"/>
          <w:color w:val="auto"/>
          <w:u w:val="none" w:color="auto"/>
          <w:lang w:eastAsia="zh-CN"/>
        </w:rPr>
      </w:pPr>
      <w:r>
        <w:rPr>
          <w:rFonts w:hint="default"/>
          <w:color w:val="auto"/>
          <w:u w:val="none" w:color="auto"/>
          <w:lang w:eastAsia="zh-CN"/>
        </w:rPr>
        <w:t>为了防止本项目的建设对地下水造成污染，从原料产品储存、装卸、运输、生产过程、污染处理设施等全过程控制各种有毒有害物料的泄漏（含跑、冒、滴、漏），同时对有害物质可能泄漏到地面的区域采取防渗措施，阻止其渗入地下水中，即从源头到末端全方位采取控制措施。</w:t>
      </w:r>
    </w:p>
    <w:p w14:paraId="76E714D0">
      <w:pPr>
        <w:pStyle w:val="20"/>
        <w:bidi w:val="0"/>
        <w:rPr>
          <w:rFonts w:hint="default"/>
          <w:color w:val="auto"/>
          <w:u w:val="none" w:color="auto"/>
          <w:lang w:eastAsia="zh-CN"/>
        </w:rPr>
      </w:pPr>
      <w:r>
        <w:rPr>
          <w:rFonts w:hint="eastAsia"/>
          <w:color w:val="auto"/>
          <w:u w:val="none" w:color="auto"/>
          <w:lang w:val="en-US" w:eastAsia="zh-CN"/>
        </w:rPr>
        <w:t>①</w:t>
      </w:r>
      <w:r>
        <w:rPr>
          <w:rFonts w:hint="default"/>
          <w:color w:val="auto"/>
          <w:u w:val="none" w:color="auto"/>
          <w:lang w:eastAsia="zh-CN"/>
        </w:rPr>
        <w:t>企业实施清洁生产及各类废物循环利用的方法，选用先进的生产工艺，减少污染物的排放量。</w:t>
      </w:r>
    </w:p>
    <w:p w14:paraId="76A2BCBF">
      <w:pPr>
        <w:pStyle w:val="20"/>
        <w:bidi w:val="0"/>
        <w:rPr>
          <w:rFonts w:hint="default"/>
          <w:color w:val="auto"/>
          <w:u w:val="none" w:color="auto"/>
          <w:lang w:eastAsia="zh-CN"/>
        </w:rPr>
      </w:pPr>
      <w:r>
        <w:rPr>
          <w:rFonts w:hint="eastAsia"/>
          <w:color w:val="auto"/>
          <w:u w:val="none" w:color="auto"/>
          <w:lang w:val="en-US" w:eastAsia="zh-CN"/>
        </w:rPr>
        <w:t>②</w:t>
      </w:r>
      <w:r>
        <w:rPr>
          <w:rFonts w:hint="default"/>
          <w:color w:val="auto"/>
          <w:u w:val="none" w:color="auto"/>
          <w:lang w:eastAsia="zh-CN"/>
        </w:rPr>
        <w:t>生产废水均通过防渗管道接入污水处理设施，生活污水经化粪池处理后排入市政污水管网，再排入湖南汨罗高新技术产业开发区（循环园区）污水处理厂，防止污染物的跑、冒、滴、漏。</w:t>
      </w:r>
    </w:p>
    <w:p w14:paraId="089327CB">
      <w:pPr>
        <w:pStyle w:val="20"/>
        <w:bidi w:val="0"/>
        <w:rPr>
          <w:rFonts w:hint="default"/>
          <w:color w:val="auto"/>
          <w:u w:val="none" w:color="auto"/>
          <w:lang w:eastAsia="zh-CN"/>
        </w:rPr>
      </w:pPr>
      <w:r>
        <w:rPr>
          <w:rFonts w:hint="eastAsia"/>
          <w:color w:val="auto"/>
          <w:u w:val="none" w:color="auto"/>
          <w:lang w:val="en-US" w:eastAsia="zh-CN"/>
        </w:rPr>
        <w:t>③</w:t>
      </w:r>
      <w:r>
        <w:rPr>
          <w:rFonts w:hint="default"/>
          <w:color w:val="auto"/>
          <w:u w:val="none" w:color="auto"/>
          <w:lang w:eastAsia="zh-CN"/>
        </w:rPr>
        <w:t>排水管道和污水处理设施均具有防渗功能，切断了废水进入地下水的途径。</w:t>
      </w:r>
    </w:p>
    <w:p w14:paraId="7D637D90">
      <w:pPr>
        <w:pStyle w:val="20"/>
        <w:bidi w:val="0"/>
        <w:rPr>
          <w:rFonts w:hint="default"/>
          <w:color w:val="auto"/>
          <w:u w:val="none" w:color="auto"/>
          <w:lang w:eastAsia="zh-CN"/>
        </w:rPr>
      </w:pPr>
      <w:r>
        <w:rPr>
          <w:rFonts w:hint="eastAsia"/>
          <w:color w:val="auto"/>
          <w:u w:val="none" w:color="auto"/>
          <w:lang w:val="en-US" w:eastAsia="zh-CN"/>
        </w:rPr>
        <w:t>④</w:t>
      </w:r>
      <w:r>
        <w:rPr>
          <w:rFonts w:hint="default"/>
          <w:color w:val="auto"/>
          <w:u w:val="none" w:color="auto"/>
          <w:lang w:eastAsia="zh-CN"/>
        </w:rPr>
        <w:t>本项目</w:t>
      </w:r>
      <w:r>
        <w:rPr>
          <w:rFonts w:hint="eastAsia"/>
          <w:color w:val="auto"/>
          <w:u w:val="none" w:color="auto"/>
          <w:lang w:val="en-US" w:eastAsia="zh-CN"/>
        </w:rPr>
        <w:t>循环冷却水池</w:t>
      </w:r>
      <w:r>
        <w:rPr>
          <w:rFonts w:hint="default"/>
          <w:color w:val="auto"/>
          <w:u w:val="none" w:color="auto"/>
          <w:lang w:eastAsia="zh-CN"/>
        </w:rPr>
        <w:t>均做防渗防腐处理，生产车间地面防渗处理，确保泄漏的物料</w:t>
      </w:r>
      <w:r>
        <w:rPr>
          <w:rFonts w:hint="eastAsia"/>
          <w:color w:val="auto"/>
          <w:u w:val="none" w:color="auto"/>
          <w:lang w:eastAsia="zh-CN"/>
        </w:rPr>
        <w:t>、</w:t>
      </w:r>
      <w:r>
        <w:rPr>
          <w:rFonts w:hint="eastAsia"/>
          <w:color w:val="auto"/>
          <w:u w:val="none" w:color="auto"/>
          <w:lang w:val="en-US" w:eastAsia="zh-CN"/>
        </w:rPr>
        <w:t>废水</w:t>
      </w:r>
      <w:r>
        <w:rPr>
          <w:rFonts w:hint="default"/>
          <w:color w:val="auto"/>
          <w:u w:val="none" w:color="auto"/>
          <w:lang w:eastAsia="zh-CN"/>
        </w:rPr>
        <w:t>不会渗入到土壤及地下水中。</w:t>
      </w:r>
    </w:p>
    <w:p w14:paraId="7FD99377">
      <w:pPr>
        <w:pStyle w:val="20"/>
        <w:bidi w:val="0"/>
        <w:rPr>
          <w:rFonts w:hint="default"/>
          <w:color w:val="auto"/>
          <w:u w:val="none" w:color="auto"/>
          <w:lang w:eastAsia="zh-CN"/>
        </w:rPr>
      </w:pPr>
      <w:bookmarkStart w:id="1402" w:name="_Toc15740"/>
      <w:bookmarkStart w:id="1403" w:name="_Toc6683"/>
      <w:bookmarkStart w:id="1404" w:name="_Toc23054"/>
      <w:bookmarkStart w:id="1405" w:name="_Toc28343"/>
      <w:bookmarkStart w:id="1406" w:name="_Toc23411"/>
      <w:r>
        <w:rPr>
          <w:rFonts w:hint="default"/>
          <w:color w:val="auto"/>
          <w:u w:val="none" w:color="auto"/>
          <w:lang w:eastAsia="zh-CN"/>
        </w:rPr>
        <w:t>（</w:t>
      </w:r>
      <w:r>
        <w:rPr>
          <w:rFonts w:hint="default"/>
          <w:color w:val="auto"/>
          <w:u w:val="none" w:color="auto"/>
          <w:lang w:val="en-US" w:eastAsia="zh-CN"/>
        </w:rPr>
        <w:t>2</w:t>
      </w:r>
      <w:r>
        <w:rPr>
          <w:rFonts w:hint="default"/>
          <w:color w:val="auto"/>
          <w:u w:val="none" w:color="auto"/>
          <w:lang w:eastAsia="zh-CN"/>
        </w:rPr>
        <w:t>）分区防治</w:t>
      </w:r>
      <w:bookmarkEnd w:id="1402"/>
      <w:bookmarkEnd w:id="1403"/>
      <w:bookmarkEnd w:id="1404"/>
      <w:bookmarkEnd w:id="1405"/>
      <w:bookmarkEnd w:id="1406"/>
    </w:p>
    <w:p w14:paraId="29B8F7EA">
      <w:pPr>
        <w:pStyle w:val="20"/>
        <w:bidi w:val="0"/>
        <w:rPr>
          <w:rFonts w:hint="default"/>
          <w:color w:val="auto"/>
          <w:u w:val="none" w:color="auto"/>
          <w:lang w:eastAsia="zh-CN"/>
        </w:rPr>
      </w:pPr>
      <w:r>
        <w:rPr>
          <w:rFonts w:hint="default"/>
          <w:color w:val="auto"/>
          <w:u w:val="none" w:color="auto"/>
          <w:lang w:eastAsia="zh-CN"/>
        </w:rPr>
        <w:t>污染防渗分区判定根据污染控制难易程度、天然包气带防污性能和污染物类型来判定。根据厂区各生产功能单元可能泄漏至地面区域的污染物性质和生产单元的构筑方式，将厂区划分为简单防渗区、一般防渗区和重点防渗区。</w:t>
      </w:r>
    </w:p>
    <w:p w14:paraId="3C355CDD">
      <w:pPr>
        <w:pStyle w:val="20"/>
        <w:bidi w:val="0"/>
        <w:rPr>
          <w:rFonts w:hint="default"/>
          <w:color w:val="auto"/>
          <w:u w:val="none" w:color="auto"/>
          <w:lang w:eastAsia="zh-CN"/>
        </w:rPr>
      </w:pPr>
      <w:r>
        <w:rPr>
          <w:rFonts w:hint="default"/>
          <w:color w:val="auto"/>
          <w:u w:val="none" w:color="auto"/>
          <w:lang w:eastAsia="zh-CN"/>
        </w:rPr>
        <w:t>具体详见下表。</w:t>
      </w:r>
    </w:p>
    <w:p w14:paraId="0F061989">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7.2-3</w:t>
      </w:r>
      <w:r>
        <w:rPr>
          <w:rFonts w:hint="default"/>
          <w:color w:val="auto"/>
          <w:u w:val="none" w:color="auto"/>
          <w:lang w:val="en-US" w:eastAsia="zh-CN"/>
        </w:rPr>
        <w:t xml:space="preserve"> </w:t>
      </w:r>
      <w:r>
        <w:rPr>
          <w:rFonts w:hint="default"/>
          <w:color w:val="auto"/>
          <w:u w:val="none" w:color="auto"/>
        </w:rPr>
        <w:t xml:space="preserve"> 地下水污染防渗分区判定表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1" w:type="dxa"/>
          <w:bottom w:w="0" w:type="dxa"/>
          <w:right w:w="51" w:type="dxa"/>
        </w:tblCellMar>
      </w:tblPr>
      <w:tblGrid>
        <w:gridCol w:w="2326"/>
        <w:gridCol w:w="1092"/>
        <w:gridCol w:w="1197"/>
        <w:gridCol w:w="1092"/>
        <w:gridCol w:w="2701"/>
      </w:tblGrid>
      <w:tr w14:paraId="6F4C1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7" w:hRule="atLeast"/>
          <w:jc w:val="center"/>
        </w:trPr>
        <w:tc>
          <w:tcPr>
            <w:tcW w:w="1382" w:type="pct"/>
            <w:tcBorders>
              <w:tl2br w:val="nil"/>
              <w:tr2bl w:val="nil"/>
            </w:tcBorders>
            <w:noWrap w:val="0"/>
            <w:vAlign w:val="center"/>
          </w:tcPr>
          <w:p w14:paraId="7492C52B">
            <w:pPr>
              <w:pStyle w:val="24"/>
              <w:bidi w:val="0"/>
              <w:rPr>
                <w:rFonts w:hint="default"/>
                <w:color w:val="auto"/>
                <w:u w:val="none" w:color="auto"/>
              </w:rPr>
            </w:pPr>
            <w:r>
              <w:rPr>
                <w:rFonts w:hint="default"/>
                <w:color w:val="auto"/>
                <w:u w:val="none" w:color="auto"/>
              </w:rPr>
              <w:t>区域</w:t>
            </w:r>
          </w:p>
        </w:tc>
        <w:tc>
          <w:tcPr>
            <w:tcW w:w="649" w:type="pct"/>
            <w:tcBorders>
              <w:tl2br w:val="nil"/>
              <w:tr2bl w:val="nil"/>
            </w:tcBorders>
            <w:noWrap w:val="0"/>
            <w:vAlign w:val="center"/>
          </w:tcPr>
          <w:p w14:paraId="179C5D97">
            <w:pPr>
              <w:pStyle w:val="24"/>
              <w:bidi w:val="0"/>
              <w:rPr>
                <w:rFonts w:hint="default"/>
                <w:color w:val="auto"/>
                <w:u w:val="none" w:color="auto"/>
              </w:rPr>
            </w:pPr>
            <w:r>
              <w:rPr>
                <w:rFonts w:hint="default"/>
                <w:color w:val="auto"/>
                <w:u w:val="none" w:color="auto"/>
              </w:rPr>
              <w:t>分级特征</w:t>
            </w:r>
          </w:p>
        </w:tc>
        <w:tc>
          <w:tcPr>
            <w:tcW w:w="711" w:type="pct"/>
            <w:tcBorders>
              <w:tl2br w:val="nil"/>
              <w:tr2bl w:val="nil"/>
            </w:tcBorders>
            <w:noWrap w:val="0"/>
            <w:vAlign w:val="center"/>
          </w:tcPr>
          <w:p w14:paraId="14E617D0">
            <w:pPr>
              <w:pStyle w:val="24"/>
              <w:bidi w:val="0"/>
              <w:rPr>
                <w:rFonts w:hint="default"/>
                <w:color w:val="auto"/>
                <w:u w:val="none" w:color="auto"/>
              </w:rPr>
            </w:pPr>
            <w:r>
              <w:rPr>
                <w:rFonts w:hint="default"/>
                <w:color w:val="auto"/>
                <w:u w:val="none" w:color="auto"/>
              </w:rPr>
              <w:t>污染控制难易程度</w:t>
            </w:r>
          </w:p>
        </w:tc>
        <w:tc>
          <w:tcPr>
            <w:tcW w:w="649" w:type="pct"/>
            <w:tcBorders>
              <w:tl2br w:val="nil"/>
              <w:tr2bl w:val="nil"/>
            </w:tcBorders>
            <w:noWrap w:val="0"/>
            <w:vAlign w:val="center"/>
          </w:tcPr>
          <w:p w14:paraId="271319A6">
            <w:pPr>
              <w:pStyle w:val="24"/>
              <w:bidi w:val="0"/>
              <w:rPr>
                <w:rFonts w:hint="default"/>
                <w:color w:val="auto"/>
                <w:u w:val="none" w:color="auto"/>
              </w:rPr>
            </w:pPr>
            <w:r>
              <w:rPr>
                <w:rFonts w:hint="default"/>
                <w:color w:val="auto"/>
                <w:u w:val="none" w:color="auto"/>
              </w:rPr>
              <w:t>污染物类型</w:t>
            </w:r>
          </w:p>
        </w:tc>
        <w:tc>
          <w:tcPr>
            <w:tcW w:w="1605" w:type="pct"/>
            <w:tcBorders>
              <w:tl2br w:val="nil"/>
              <w:tr2bl w:val="nil"/>
            </w:tcBorders>
            <w:noWrap w:val="0"/>
            <w:vAlign w:val="center"/>
          </w:tcPr>
          <w:p w14:paraId="679E5A07">
            <w:pPr>
              <w:pStyle w:val="24"/>
              <w:bidi w:val="0"/>
              <w:rPr>
                <w:rFonts w:hint="default"/>
                <w:color w:val="auto"/>
                <w:u w:val="none" w:color="auto"/>
              </w:rPr>
            </w:pPr>
            <w:r>
              <w:rPr>
                <w:rFonts w:hint="default"/>
                <w:color w:val="auto"/>
                <w:u w:val="none" w:color="auto"/>
              </w:rPr>
              <w:t>防渗技术要求</w:t>
            </w:r>
          </w:p>
        </w:tc>
      </w:tr>
      <w:tr w14:paraId="4A1355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1203" w:hRule="atLeast"/>
          <w:jc w:val="center"/>
        </w:trPr>
        <w:tc>
          <w:tcPr>
            <w:tcW w:w="1382" w:type="pct"/>
            <w:tcBorders>
              <w:tl2br w:val="nil"/>
              <w:tr2bl w:val="nil"/>
            </w:tcBorders>
            <w:noWrap w:val="0"/>
            <w:vAlign w:val="center"/>
          </w:tcPr>
          <w:p w14:paraId="1ADCC810">
            <w:pPr>
              <w:pStyle w:val="24"/>
              <w:bidi w:val="0"/>
              <w:rPr>
                <w:rFonts w:hint="default"/>
                <w:color w:val="auto"/>
                <w:u w:val="none" w:color="auto"/>
                <w:lang w:val="en-US" w:eastAsia="zh-CN"/>
              </w:rPr>
            </w:pPr>
            <w:r>
              <w:rPr>
                <w:rFonts w:hint="eastAsia"/>
                <w:color w:val="auto"/>
                <w:u w:val="none" w:color="auto"/>
                <w:lang w:val="en-US" w:eastAsia="zh-CN"/>
              </w:rPr>
              <w:t>循环水池、危废暂存间、仓库区域胶粘剂暂存区地面</w:t>
            </w:r>
          </w:p>
        </w:tc>
        <w:tc>
          <w:tcPr>
            <w:tcW w:w="649" w:type="pct"/>
            <w:tcBorders>
              <w:tl2br w:val="nil"/>
              <w:tr2bl w:val="nil"/>
            </w:tcBorders>
            <w:noWrap w:val="0"/>
            <w:vAlign w:val="center"/>
          </w:tcPr>
          <w:p w14:paraId="7D85807B">
            <w:pPr>
              <w:pStyle w:val="24"/>
              <w:bidi w:val="0"/>
              <w:rPr>
                <w:rFonts w:hint="default"/>
                <w:color w:val="auto"/>
                <w:u w:val="none" w:color="auto"/>
              </w:rPr>
            </w:pPr>
            <w:r>
              <w:rPr>
                <w:rFonts w:hint="default"/>
                <w:color w:val="auto"/>
                <w:u w:val="none" w:color="auto"/>
              </w:rPr>
              <w:t>重点防渗区</w:t>
            </w:r>
          </w:p>
        </w:tc>
        <w:tc>
          <w:tcPr>
            <w:tcW w:w="711" w:type="pct"/>
            <w:tcBorders>
              <w:tl2br w:val="nil"/>
              <w:tr2bl w:val="nil"/>
            </w:tcBorders>
            <w:noWrap w:val="0"/>
            <w:vAlign w:val="center"/>
          </w:tcPr>
          <w:p w14:paraId="540EF9D4">
            <w:pPr>
              <w:pStyle w:val="24"/>
              <w:bidi w:val="0"/>
              <w:rPr>
                <w:rFonts w:hint="default"/>
                <w:color w:val="auto"/>
                <w:u w:val="none" w:color="auto"/>
              </w:rPr>
            </w:pPr>
            <w:r>
              <w:rPr>
                <w:rFonts w:hint="default"/>
                <w:color w:val="auto"/>
                <w:u w:val="none" w:color="auto"/>
              </w:rPr>
              <w:t>难</w:t>
            </w:r>
          </w:p>
        </w:tc>
        <w:tc>
          <w:tcPr>
            <w:tcW w:w="649" w:type="pct"/>
            <w:tcBorders>
              <w:tl2br w:val="nil"/>
              <w:tr2bl w:val="nil"/>
            </w:tcBorders>
            <w:noWrap w:val="0"/>
            <w:vAlign w:val="center"/>
          </w:tcPr>
          <w:p w14:paraId="3272BD34">
            <w:pPr>
              <w:pStyle w:val="24"/>
              <w:bidi w:val="0"/>
              <w:rPr>
                <w:rFonts w:hint="default"/>
                <w:color w:val="auto"/>
                <w:u w:val="none" w:color="auto"/>
              </w:rPr>
            </w:pPr>
            <w:r>
              <w:rPr>
                <w:rFonts w:hint="default"/>
                <w:color w:val="auto"/>
                <w:u w:val="none" w:color="auto"/>
              </w:rPr>
              <w:t>特征污染物</w:t>
            </w:r>
          </w:p>
        </w:tc>
        <w:tc>
          <w:tcPr>
            <w:tcW w:w="1605" w:type="pct"/>
            <w:tcBorders>
              <w:tl2br w:val="nil"/>
              <w:tr2bl w:val="nil"/>
            </w:tcBorders>
            <w:noWrap w:val="0"/>
            <w:vAlign w:val="center"/>
          </w:tcPr>
          <w:p w14:paraId="7831B32A">
            <w:pPr>
              <w:pStyle w:val="24"/>
              <w:bidi w:val="0"/>
              <w:rPr>
                <w:rFonts w:hint="default"/>
                <w:color w:val="auto"/>
                <w:u w:val="none" w:color="auto"/>
                <w:lang w:val="en-US" w:eastAsia="zh-CN"/>
              </w:rPr>
            </w:pPr>
            <w:r>
              <w:rPr>
                <w:rFonts w:hint="eastAsia"/>
                <w:color w:val="auto"/>
                <w:u w:val="none" w:color="auto"/>
                <w:lang w:val="en-US" w:eastAsia="zh-CN"/>
              </w:rPr>
              <w:t>等效黏土防渗层Mb≥6.0m，K小于等于1*10</w:t>
            </w:r>
            <w:r>
              <w:rPr>
                <w:rFonts w:hint="eastAsia"/>
                <w:color w:val="auto"/>
                <w:u w:val="none" w:color="auto"/>
                <w:vertAlign w:val="superscript"/>
                <w:lang w:val="en-US" w:eastAsia="zh-CN"/>
              </w:rPr>
              <w:t>-7</w:t>
            </w:r>
            <w:r>
              <w:rPr>
                <w:rFonts w:hint="eastAsia"/>
                <w:color w:val="auto"/>
                <w:u w:val="none" w:color="auto"/>
                <w:lang w:val="en-US" w:eastAsia="zh-CN"/>
              </w:rPr>
              <w:t>cm/s；或参照GB18598执行</w:t>
            </w:r>
          </w:p>
        </w:tc>
      </w:tr>
      <w:tr w14:paraId="0DB2DE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7" w:hRule="atLeast"/>
          <w:jc w:val="center"/>
        </w:trPr>
        <w:tc>
          <w:tcPr>
            <w:tcW w:w="1382" w:type="pct"/>
            <w:tcBorders>
              <w:tl2br w:val="nil"/>
              <w:tr2bl w:val="nil"/>
            </w:tcBorders>
            <w:noWrap w:val="0"/>
            <w:vAlign w:val="center"/>
          </w:tcPr>
          <w:p w14:paraId="76AB149B">
            <w:pPr>
              <w:pStyle w:val="24"/>
              <w:bidi w:val="0"/>
              <w:rPr>
                <w:rFonts w:hint="default"/>
                <w:color w:val="auto"/>
                <w:u w:val="none" w:color="auto"/>
                <w:lang w:eastAsia="zh-CN"/>
              </w:rPr>
            </w:pPr>
            <w:r>
              <w:rPr>
                <w:rFonts w:hint="eastAsia"/>
                <w:color w:val="auto"/>
                <w:u w:val="none" w:color="auto"/>
                <w:lang w:val="en-US" w:eastAsia="zh-CN"/>
              </w:rPr>
              <w:t>生产车间地面、仓库其他区域、半成品及</w:t>
            </w:r>
            <w:r>
              <w:rPr>
                <w:rFonts w:hint="default"/>
                <w:color w:val="auto"/>
                <w:u w:val="none" w:color="auto"/>
                <w:lang w:eastAsia="zh-CN"/>
              </w:rPr>
              <w:t>成品</w:t>
            </w:r>
            <w:r>
              <w:rPr>
                <w:rFonts w:hint="eastAsia"/>
                <w:color w:val="auto"/>
                <w:u w:val="none" w:color="auto"/>
                <w:lang w:eastAsia="zh-CN"/>
              </w:rPr>
              <w:t>区</w:t>
            </w:r>
            <w:r>
              <w:rPr>
                <w:rFonts w:hint="default"/>
                <w:color w:val="auto"/>
                <w:u w:val="none" w:color="auto"/>
                <w:lang w:eastAsia="zh-CN"/>
              </w:rPr>
              <w:t>、</w:t>
            </w:r>
            <w:r>
              <w:rPr>
                <w:rFonts w:hint="eastAsia"/>
                <w:color w:val="auto"/>
                <w:u w:val="none" w:color="auto"/>
                <w:lang w:val="en-US" w:eastAsia="zh-CN"/>
              </w:rPr>
              <w:t>一般固废暂存间、</w:t>
            </w:r>
            <w:r>
              <w:rPr>
                <w:rFonts w:hint="default"/>
                <w:color w:val="auto"/>
                <w:u w:val="none" w:color="auto"/>
                <w:lang w:val="en-US" w:eastAsia="zh-CN"/>
              </w:rPr>
              <w:t>其他公用单元</w:t>
            </w:r>
            <w:r>
              <w:rPr>
                <w:rFonts w:hint="default"/>
                <w:color w:val="auto"/>
                <w:u w:val="none" w:color="auto"/>
                <w:lang w:eastAsia="zh-CN"/>
              </w:rPr>
              <w:t>等</w:t>
            </w:r>
          </w:p>
        </w:tc>
        <w:tc>
          <w:tcPr>
            <w:tcW w:w="649" w:type="pct"/>
            <w:tcBorders>
              <w:tl2br w:val="nil"/>
              <w:tr2bl w:val="nil"/>
            </w:tcBorders>
            <w:noWrap w:val="0"/>
            <w:vAlign w:val="center"/>
          </w:tcPr>
          <w:p w14:paraId="7D486571">
            <w:pPr>
              <w:pStyle w:val="24"/>
              <w:bidi w:val="0"/>
              <w:rPr>
                <w:rFonts w:hint="default"/>
                <w:color w:val="auto"/>
                <w:u w:val="none" w:color="auto"/>
              </w:rPr>
            </w:pPr>
            <w:r>
              <w:rPr>
                <w:rFonts w:hint="default"/>
                <w:color w:val="auto"/>
                <w:u w:val="none" w:color="auto"/>
              </w:rPr>
              <w:t>一般防渗区</w:t>
            </w:r>
          </w:p>
        </w:tc>
        <w:tc>
          <w:tcPr>
            <w:tcW w:w="711" w:type="pct"/>
            <w:tcBorders>
              <w:tl2br w:val="nil"/>
              <w:tr2bl w:val="nil"/>
            </w:tcBorders>
            <w:noWrap w:val="0"/>
            <w:vAlign w:val="center"/>
          </w:tcPr>
          <w:p w14:paraId="1BEDAA9F">
            <w:pPr>
              <w:pStyle w:val="24"/>
              <w:bidi w:val="0"/>
              <w:rPr>
                <w:rFonts w:hint="default"/>
                <w:color w:val="auto"/>
                <w:u w:val="none" w:color="auto"/>
              </w:rPr>
            </w:pPr>
            <w:r>
              <w:rPr>
                <w:rFonts w:hint="default"/>
                <w:color w:val="auto"/>
                <w:u w:val="none" w:color="auto"/>
              </w:rPr>
              <w:t>中</w:t>
            </w:r>
          </w:p>
        </w:tc>
        <w:tc>
          <w:tcPr>
            <w:tcW w:w="649" w:type="pct"/>
            <w:tcBorders>
              <w:tl2br w:val="nil"/>
              <w:tr2bl w:val="nil"/>
            </w:tcBorders>
            <w:noWrap w:val="0"/>
            <w:vAlign w:val="center"/>
          </w:tcPr>
          <w:p w14:paraId="284B3729">
            <w:pPr>
              <w:pStyle w:val="24"/>
              <w:bidi w:val="0"/>
              <w:rPr>
                <w:rFonts w:hint="default"/>
                <w:color w:val="auto"/>
                <w:u w:val="none" w:color="auto"/>
              </w:rPr>
            </w:pPr>
            <w:r>
              <w:rPr>
                <w:rFonts w:hint="default"/>
                <w:color w:val="auto"/>
                <w:u w:val="none" w:color="auto"/>
              </w:rPr>
              <w:t>常规污染物</w:t>
            </w:r>
          </w:p>
        </w:tc>
        <w:tc>
          <w:tcPr>
            <w:tcW w:w="1605" w:type="pct"/>
            <w:tcBorders>
              <w:tl2br w:val="nil"/>
              <w:tr2bl w:val="nil"/>
            </w:tcBorders>
            <w:noWrap w:val="0"/>
            <w:vAlign w:val="center"/>
          </w:tcPr>
          <w:p w14:paraId="0D2F99D3">
            <w:pPr>
              <w:pStyle w:val="24"/>
              <w:bidi w:val="0"/>
              <w:rPr>
                <w:rFonts w:hint="default"/>
                <w:color w:val="auto"/>
                <w:u w:val="none" w:color="auto"/>
                <w:lang w:val="en-US" w:eastAsia="zh-CN"/>
              </w:rPr>
            </w:pPr>
            <w:r>
              <w:rPr>
                <w:rFonts w:hint="eastAsia"/>
                <w:color w:val="auto"/>
                <w:u w:val="none" w:color="auto"/>
                <w:lang w:val="en-US" w:eastAsia="zh-CN"/>
              </w:rPr>
              <w:t>等效黏土防渗层Mb≥1.5m，K小于等于1*10</w:t>
            </w:r>
            <w:r>
              <w:rPr>
                <w:rFonts w:hint="eastAsia"/>
                <w:color w:val="auto"/>
                <w:u w:val="none" w:color="auto"/>
                <w:vertAlign w:val="superscript"/>
                <w:lang w:val="en-US" w:eastAsia="zh-CN"/>
              </w:rPr>
              <w:t>-7</w:t>
            </w:r>
            <w:r>
              <w:rPr>
                <w:rFonts w:hint="eastAsia"/>
                <w:color w:val="auto"/>
                <w:u w:val="none" w:color="auto"/>
                <w:lang w:val="en-US" w:eastAsia="zh-CN"/>
              </w:rPr>
              <w:t>cm/s；或参照GB16889执行</w:t>
            </w:r>
          </w:p>
        </w:tc>
      </w:tr>
      <w:tr w14:paraId="4D0094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1" w:type="dxa"/>
            <w:bottom w:w="0" w:type="dxa"/>
            <w:right w:w="51" w:type="dxa"/>
          </w:tblCellMar>
        </w:tblPrEx>
        <w:trPr>
          <w:trHeight w:val="397" w:hRule="atLeast"/>
          <w:jc w:val="center"/>
        </w:trPr>
        <w:tc>
          <w:tcPr>
            <w:tcW w:w="1382" w:type="pct"/>
            <w:tcBorders>
              <w:tl2br w:val="nil"/>
              <w:tr2bl w:val="nil"/>
            </w:tcBorders>
            <w:noWrap w:val="0"/>
            <w:vAlign w:val="center"/>
          </w:tcPr>
          <w:p w14:paraId="67CEFC83">
            <w:pPr>
              <w:pStyle w:val="24"/>
              <w:bidi w:val="0"/>
              <w:rPr>
                <w:rFonts w:hint="default"/>
                <w:color w:val="auto"/>
                <w:u w:val="none" w:color="auto"/>
                <w:lang w:val="en-US" w:eastAsia="zh-CN"/>
              </w:rPr>
            </w:pPr>
            <w:r>
              <w:rPr>
                <w:rFonts w:hint="default"/>
                <w:color w:val="auto"/>
                <w:u w:val="none" w:color="auto"/>
                <w:lang w:val="en-US" w:eastAsia="zh-CN"/>
              </w:rPr>
              <w:t>厂区道路、空闲场地、办公区域</w:t>
            </w:r>
          </w:p>
        </w:tc>
        <w:tc>
          <w:tcPr>
            <w:tcW w:w="649" w:type="pct"/>
            <w:tcBorders>
              <w:tl2br w:val="nil"/>
              <w:tr2bl w:val="nil"/>
            </w:tcBorders>
            <w:noWrap w:val="0"/>
            <w:vAlign w:val="center"/>
          </w:tcPr>
          <w:p w14:paraId="23333005">
            <w:pPr>
              <w:pStyle w:val="24"/>
              <w:bidi w:val="0"/>
              <w:rPr>
                <w:rFonts w:hint="default"/>
                <w:color w:val="auto"/>
                <w:u w:val="none" w:color="auto"/>
                <w:lang w:val="en-US" w:eastAsia="zh-CN"/>
              </w:rPr>
            </w:pPr>
            <w:r>
              <w:rPr>
                <w:rFonts w:hint="default"/>
                <w:color w:val="auto"/>
                <w:u w:val="none" w:color="auto"/>
                <w:lang w:val="en-US" w:eastAsia="zh-CN"/>
              </w:rPr>
              <w:t>简单防渗区</w:t>
            </w:r>
          </w:p>
        </w:tc>
        <w:tc>
          <w:tcPr>
            <w:tcW w:w="711" w:type="pct"/>
            <w:tcBorders>
              <w:tl2br w:val="nil"/>
              <w:tr2bl w:val="nil"/>
            </w:tcBorders>
            <w:noWrap w:val="0"/>
            <w:vAlign w:val="center"/>
          </w:tcPr>
          <w:p w14:paraId="77407AE3">
            <w:pPr>
              <w:pStyle w:val="24"/>
              <w:bidi w:val="0"/>
              <w:rPr>
                <w:rFonts w:hint="default"/>
                <w:color w:val="auto"/>
                <w:u w:val="none" w:color="auto"/>
                <w:lang w:val="en-US" w:eastAsia="zh-CN"/>
              </w:rPr>
            </w:pPr>
            <w:r>
              <w:rPr>
                <w:rFonts w:hint="default"/>
                <w:color w:val="auto"/>
                <w:u w:val="none" w:color="auto"/>
                <w:lang w:val="en-US" w:eastAsia="zh-CN"/>
              </w:rPr>
              <w:t>易</w:t>
            </w:r>
          </w:p>
        </w:tc>
        <w:tc>
          <w:tcPr>
            <w:tcW w:w="649" w:type="pct"/>
            <w:tcBorders>
              <w:tl2br w:val="nil"/>
              <w:tr2bl w:val="nil"/>
            </w:tcBorders>
            <w:noWrap w:val="0"/>
            <w:vAlign w:val="center"/>
          </w:tcPr>
          <w:p w14:paraId="2E49D29A">
            <w:pPr>
              <w:pStyle w:val="24"/>
              <w:bidi w:val="0"/>
              <w:rPr>
                <w:rFonts w:hint="default"/>
                <w:color w:val="auto"/>
                <w:u w:val="none" w:color="auto"/>
                <w:lang w:val="en-US" w:eastAsia="zh-CN"/>
              </w:rPr>
            </w:pPr>
            <w:r>
              <w:rPr>
                <w:rFonts w:hint="default"/>
                <w:color w:val="auto"/>
                <w:u w:val="none" w:color="auto"/>
                <w:lang w:val="en-US" w:eastAsia="zh-CN"/>
              </w:rPr>
              <w:t>/</w:t>
            </w:r>
          </w:p>
        </w:tc>
        <w:tc>
          <w:tcPr>
            <w:tcW w:w="1605" w:type="pct"/>
            <w:tcBorders>
              <w:tl2br w:val="nil"/>
              <w:tr2bl w:val="nil"/>
            </w:tcBorders>
            <w:noWrap w:val="0"/>
            <w:vAlign w:val="center"/>
          </w:tcPr>
          <w:p w14:paraId="3680EBB8">
            <w:pPr>
              <w:pStyle w:val="24"/>
              <w:bidi w:val="0"/>
              <w:rPr>
                <w:rFonts w:hint="default"/>
                <w:color w:val="auto"/>
                <w:u w:val="none" w:color="auto"/>
              </w:rPr>
            </w:pPr>
            <w:r>
              <w:rPr>
                <w:rFonts w:hint="default"/>
                <w:color w:val="auto"/>
                <w:u w:val="none" w:color="auto"/>
              </w:rPr>
              <w:t>一般地面硬化</w:t>
            </w:r>
          </w:p>
        </w:tc>
      </w:tr>
    </w:tbl>
    <w:p w14:paraId="54D1E163">
      <w:pPr>
        <w:pStyle w:val="20"/>
        <w:bidi w:val="0"/>
        <w:rPr>
          <w:rFonts w:hint="default"/>
          <w:color w:val="auto"/>
          <w:u w:val="none" w:color="auto"/>
        </w:rPr>
      </w:pPr>
      <w:r>
        <w:rPr>
          <w:rFonts w:hint="default"/>
          <w:color w:val="auto"/>
          <w:u w:val="none" w:color="auto"/>
          <w:lang w:eastAsia="zh-CN"/>
        </w:rPr>
        <w:t>①简单</w:t>
      </w:r>
      <w:r>
        <w:rPr>
          <w:rFonts w:hint="default"/>
          <w:color w:val="auto"/>
          <w:u w:val="none" w:color="auto"/>
        </w:rPr>
        <w:t>防渗区</w:t>
      </w:r>
    </w:p>
    <w:p w14:paraId="5FFBDEF0">
      <w:pPr>
        <w:pStyle w:val="20"/>
        <w:bidi w:val="0"/>
        <w:rPr>
          <w:rFonts w:hint="default"/>
          <w:color w:val="auto"/>
          <w:u w:val="none" w:color="auto"/>
          <w:lang w:eastAsia="zh-CN"/>
        </w:rPr>
      </w:pPr>
      <w:r>
        <w:rPr>
          <w:rFonts w:hint="default"/>
          <w:color w:val="auto"/>
          <w:u w:val="none" w:color="auto"/>
        </w:rPr>
        <w:t>主要包括厂区道路</w:t>
      </w:r>
      <w:r>
        <w:rPr>
          <w:rFonts w:hint="default"/>
          <w:color w:val="auto"/>
          <w:u w:val="none" w:color="auto"/>
          <w:lang w:eastAsia="zh-CN"/>
        </w:rPr>
        <w:t>、空闲场地</w:t>
      </w:r>
      <w:r>
        <w:rPr>
          <w:rFonts w:hint="default"/>
          <w:color w:val="auto"/>
          <w:u w:val="none" w:color="auto"/>
          <w:lang w:val="en-US" w:eastAsia="zh-CN"/>
        </w:rPr>
        <w:t>以及办公区域</w:t>
      </w:r>
      <w:r>
        <w:rPr>
          <w:rFonts w:hint="default"/>
          <w:color w:val="auto"/>
          <w:u w:val="none" w:color="auto"/>
        </w:rPr>
        <w:t>等</w:t>
      </w:r>
      <w:r>
        <w:rPr>
          <w:rFonts w:hint="default"/>
          <w:color w:val="auto"/>
          <w:u w:val="none" w:color="auto"/>
          <w:lang w:eastAsia="zh-CN"/>
        </w:rPr>
        <w:t>基本不涉及污染的区域，该类区域只需做一般地面水泥硬化即可。</w:t>
      </w:r>
    </w:p>
    <w:p w14:paraId="6499BDD6">
      <w:pPr>
        <w:pStyle w:val="20"/>
        <w:bidi w:val="0"/>
        <w:rPr>
          <w:rFonts w:hint="default"/>
          <w:color w:val="auto"/>
          <w:u w:val="none" w:color="auto"/>
        </w:rPr>
      </w:pPr>
      <w:r>
        <w:rPr>
          <w:rFonts w:hint="default"/>
          <w:color w:val="auto"/>
          <w:u w:val="none" w:color="auto"/>
          <w:lang w:val="en-US" w:eastAsia="zh-CN"/>
        </w:rPr>
        <w:t>②</w:t>
      </w:r>
      <w:r>
        <w:rPr>
          <w:rFonts w:hint="default"/>
          <w:color w:val="auto"/>
          <w:u w:val="none" w:color="auto"/>
        </w:rPr>
        <w:t>一般</w:t>
      </w:r>
      <w:r>
        <w:rPr>
          <w:rFonts w:hint="eastAsia"/>
          <w:color w:val="auto"/>
          <w:u w:val="none" w:color="auto"/>
          <w:lang w:val="en-US" w:eastAsia="zh-CN"/>
        </w:rPr>
        <w:t>防渗</w:t>
      </w:r>
      <w:r>
        <w:rPr>
          <w:rFonts w:hint="default"/>
          <w:color w:val="auto"/>
          <w:u w:val="none" w:color="auto"/>
        </w:rPr>
        <w:t>区</w:t>
      </w:r>
    </w:p>
    <w:p w14:paraId="666EA25B">
      <w:pPr>
        <w:pStyle w:val="20"/>
        <w:bidi w:val="0"/>
        <w:rPr>
          <w:rFonts w:hint="default"/>
          <w:color w:val="auto"/>
          <w:u w:val="none" w:color="auto"/>
        </w:rPr>
      </w:pPr>
      <w:r>
        <w:rPr>
          <w:rFonts w:hint="default"/>
          <w:color w:val="auto"/>
          <w:u w:val="none" w:color="auto"/>
        </w:rPr>
        <w:t>裸露于地面的生产功能单元，污染地下水环境的物料或污染物泄漏后，可及时发现和处理的区域或部位。本项目将生产车间地面、</w:t>
      </w:r>
      <w:r>
        <w:rPr>
          <w:rFonts w:hint="eastAsia"/>
          <w:color w:val="auto"/>
          <w:u w:val="none" w:color="auto"/>
          <w:lang w:val="en-US" w:eastAsia="zh-CN"/>
        </w:rPr>
        <w:t>仓库其他区域</w:t>
      </w:r>
      <w:r>
        <w:rPr>
          <w:rFonts w:hint="default"/>
          <w:color w:val="auto"/>
          <w:u w:val="none" w:color="auto"/>
        </w:rPr>
        <w:t>、</w:t>
      </w:r>
      <w:r>
        <w:rPr>
          <w:rFonts w:hint="eastAsia"/>
          <w:color w:val="auto"/>
          <w:u w:val="none" w:color="auto"/>
          <w:lang w:val="en-US" w:eastAsia="zh-CN"/>
        </w:rPr>
        <w:t>半成品及</w:t>
      </w:r>
      <w:r>
        <w:rPr>
          <w:rFonts w:hint="default"/>
          <w:color w:val="auto"/>
          <w:u w:val="none" w:color="auto"/>
        </w:rPr>
        <w:t>成品区</w:t>
      </w:r>
      <w:r>
        <w:rPr>
          <w:rFonts w:hint="eastAsia"/>
          <w:color w:val="auto"/>
          <w:u w:val="none" w:color="auto"/>
          <w:lang w:eastAsia="zh-CN"/>
        </w:rPr>
        <w:t>、</w:t>
      </w:r>
      <w:r>
        <w:rPr>
          <w:rFonts w:hint="eastAsia"/>
          <w:color w:val="auto"/>
          <w:u w:val="none" w:color="auto"/>
          <w:lang w:val="en-US" w:eastAsia="zh-CN"/>
        </w:rPr>
        <w:t>一般固废暂存间</w:t>
      </w:r>
      <w:r>
        <w:rPr>
          <w:rFonts w:hint="default"/>
          <w:color w:val="auto"/>
          <w:u w:val="none" w:color="auto"/>
        </w:rPr>
        <w:t>以及其他公用单元划分为一般污染防治区。</w:t>
      </w:r>
    </w:p>
    <w:p w14:paraId="1584C68B">
      <w:pPr>
        <w:pStyle w:val="20"/>
        <w:bidi w:val="0"/>
        <w:rPr>
          <w:rFonts w:hint="default"/>
          <w:color w:val="auto"/>
          <w:u w:val="none" w:color="auto"/>
        </w:rPr>
      </w:pPr>
      <w:r>
        <w:rPr>
          <w:rFonts w:hint="default"/>
          <w:color w:val="auto"/>
          <w:u w:val="none" w:color="auto"/>
          <w:lang w:val="en-US" w:eastAsia="zh-CN"/>
        </w:rPr>
        <w:t>③</w:t>
      </w:r>
      <w:r>
        <w:rPr>
          <w:rFonts w:hint="default"/>
          <w:color w:val="auto"/>
          <w:u w:val="none" w:color="auto"/>
        </w:rPr>
        <w:t>重点</w:t>
      </w:r>
      <w:r>
        <w:rPr>
          <w:rFonts w:hint="eastAsia"/>
          <w:color w:val="auto"/>
          <w:u w:val="none" w:color="auto"/>
          <w:lang w:val="en-US" w:eastAsia="zh-CN"/>
        </w:rPr>
        <w:t>防渗</w:t>
      </w:r>
      <w:r>
        <w:rPr>
          <w:rFonts w:hint="default"/>
          <w:color w:val="auto"/>
          <w:u w:val="none" w:color="auto"/>
        </w:rPr>
        <w:t>区</w:t>
      </w:r>
    </w:p>
    <w:p w14:paraId="5FB8FD97">
      <w:pPr>
        <w:pStyle w:val="20"/>
        <w:bidi w:val="0"/>
        <w:rPr>
          <w:rFonts w:hint="default"/>
          <w:color w:val="auto"/>
          <w:u w:val="none" w:color="auto"/>
        </w:rPr>
      </w:pPr>
      <w:r>
        <w:rPr>
          <w:rFonts w:hint="default"/>
          <w:color w:val="auto"/>
          <w:u w:val="none" w:color="auto"/>
        </w:rPr>
        <w:t>位于地下或半地下的生产功能单元，污染地下水环境的物料或污染泄漏后，不易及时发现和处理的区域或部位。本项目将</w:t>
      </w:r>
      <w:r>
        <w:rPr>
          <w:rFonts w:hint="eastAsia"/>
          <w:color w:val="auto"/>
          <w:u w:val="none" w:color="auto"/>
          <w:lang w:val="en-US" w:eastAsia="zh-CN"/>
        </w:rPr>
        <w:t>循环水池、</w:t>
      </w:r>
      <w:r>
        <w:rPr>
          <w:rFonts w:hint="default"/>
          <w:color w:val="auto"/>
          <w:u w:val="none" w:color="auto"/>
        </w:rPr>
        <w:t>危废暂存间、仓库区域胶粘剂暂存区划分为重点污染防治区。</w:t>
      </w:r>
    </w:p>
    <w:p w14:paraId="12B95E07">
      <w:pPr>
        <w:pStyle w:val="20"/>
        <w:bidi w:val="0"/>
        <w:rPr>
          <w:rFonts w:hint="default"/>
          <w:color w:val="auto"/>
          <w:u w:val="none" w:color="auto"/>
          <w:lang w:val="en-US" w:eastAsia="zh-CN"/>
        </w:rPr>
      </w:pPr>
      <w:bookmarkStart w:id="1407" w:name="_Toc12146"/>
      <w:bookmarkStart w:id="1408" w:name="_Toc27597"/>
      <w:bookmarkStart w:id="1409" w:name="_Toc721"/>
      <w:bookmarkStart w:id="1410" w:name="_Toc7010"/>
      <w:bookmarkStart w:id="1411" w:name="_Toc15302"/>
      <w:r>
        <w:rPr>
          <w:rFonts w:hint="default"/>
          <w:color w:val="auto"/>
          <w:u w:val="none" w:color="auto"/>
          <w:lang w:val="en-US" w:eastAsia="zh-CN"/>
        </w:rPr>
        <w:t>（3）分区防渗措施及要求</w:t>
      </w:r>
      <w:bookmarkEnd w:id="1407"/>
      <w:bookmarkEnd w:id="1408"/>
      <w:bookmarkEnd w:id="1409"/>
      <w:bookmarkEnd w:id="1410"/>
      <w:bookmarkEnd w:id="1411"/>
    </w:p>
    <w:p w14:paraId="7EFB10FF">
      <w:pPr>
        <w:pStyle w:val="20"/>
        <w:bidi w:val="0"/>
        <w:rPr>
          <w:rFonts w:hint="default"/>
          <w:color w:val="auto"/>
          <w:u w:val="none" w:color="auto"/>
          <w:lang w:eastAsia="zh-CN"/>
        </w:rPr>
      </w:pPr>
      <w:r>
        <w:rPr>
          <w:rFonts w:hint="default"/>
          <w:color w:val="auto"/>
          <w:u w:val="none" w:color="auto"/>
          <w:lang w:eastAsia="zh-CN"/>
        </w:rPr>
        <w:t>①防渗要求</w:t>
      </w:r>
    </w:p>
    <w:p w14:paraId="043CDC5C">
      <w:pPr>
        <w:pStyle w:val="20"/>
        <w:bidi w:val="0"/>
        <w:rPr>
          <w:rFonts w:hint="default"/>
          <w:color w:val="auto"/>
          <w:u w:val="none" w:color="auto"/>
        </w:rPr>
      </w:pPr>
      <w:r>
        <w:rPr>
          <w:rFonts w:hint="default"/>
          <w:color w:val="auto"/>
          <w:u w:val="none" w:color="auto"/>
          <w:lang w:eastAsia="zh-CN"/>
        </w:rPr>
        <w:t>一般工业固体废物暂存按照有关要求进行设计，严禁在室外露天堆放，厂房内地面采用水泥硬化，基础</w:t>
      </w:r>
      <w:r>
        <w:rPr>
          <w:rFonts w:hint="default"/>
          <w:color w:val="auto"/>
          <w:u w:val="none" w:color="auto"/>
        </w:rPr>
        <w:t>进行防渗处理；对于重点污染防治区，如</w:t>
      </w:r>
      <w:r>
        <w:rPr>
          <w:rFonts w:hint="default"/>
          <w:color w:val="auto"/>
          <w:u w:val="none" w:color="auto"/>
          <w:lang w:val="en-US" w:eastAsia="zh-CN"/>
        </w:rPr>
        <w:t>危废暂存间</w:t>
      </w:r>
      <w:r>
        <w:rPr>
          <w:rFonts w:hint="default"/>
          <w:color w:val="auto"/>
          <w:u w:val="none" w:color="auto"/>
        </w:rPr>
        <w:t>，严格按照《危险废物贮存污染控制标准》（GB18597-20</w:t>
      </w:r>
      <w:r>
        <w:rPr>
          <w:rFonts w:hint="eastAsia"/>
          <w:color w:val="auto"/>
          <w:u w:val="none" w:color="auto"/>
          <w:lang w:val="en-US" w:eastAsia="zh-CN"/>
        </w:rPr>
        <w:t>23</w:t>
      </w:r>
      <w:r>
        <w:rPr>
          <w:rFonts w:hint="default"/>
          <w:color w:val="auto"/>
          <w:u w:val="none" w:color="auto"/>
        </w:rPr>
        <w:t>）的有关要求设计，包括：</w:t>
      </w:r>
    </w:p>
    <w:p w14:paraId="74C5460D">
      <w:pPr>
        <w:pStyle w:val="20"/>
        <w:bidi w:val="0"/>
        <w:rPr>
          <w:rFonts w:hint="default"/>
          <w:color w:val="auto"/>
          <w:u w:val="none" w:color="auto"/>
        </w:rPr>
      </w:pPr>
      <w:r>
        <w:rPr>
          <w:rFonts w:hint="default"/>
          <w:color w:val="auto"/>
          <w:u w:val="none" w:color="auto"/>
          <w:lang w:val="en-US" w:eastAsia="zh-CN"/>
        </w:rPr>
        <w:t>a</w:t>
      </w:r>
      <w:r>
        <w:rPr>
          <w:rFonts w:hint="default"/>
          <w:color w:val="auto"/>
          <w:u w:val="none" w:color="auto"/>
        </w:rPr>
        <w:t xml:space="preserve"> 在各车间暂存区按储存的危险废物类别分别建设专用的危险废物贮存设施，危险废物贮存设施的地面与裙脚必须用坚固、防渗的材料建造，建筑材料与危险废物相容（即不相互反应）；</w:t>
      </w:r>
    </w:p>
    <w:p w14:paraId="688D680D">
      <w:pPr>
        <w:pStyle w:val="20"/>
        <w:bidi w:val="0"/>
        <w:rPr>
          <w:rFonts w:hint="default"/>
          <w:color w:val="auto"/>
          <w:u w:val="none" w:color="auto"/>
        </w:rPr>
      </w:pPr>
      <w:r>
        <w:rPr>
          <w:rFonts w:hint="default"/>
          <w:color w:val="auto"/>
          <w:u w:val="none" w:color="auto"/>
          <w:lang w:val="en-US" w:eastAsia="zh-CN"/>
        </w:rPr>
        <w:t>b</w:t>
      </w:r>
      <w:r>
        <w:rPr>
          <w:rFonts w:hint="default"/>
          <w:color w:val="auto"/>
          <w:u w:val="none" w:color="auto"/>
        </w:rPr>
        <w:t xml:space="preserve"> 有泄漏液体收集装置；</w:t>
      </w:r>
    </w:p>
    <w:p w14:paraId="39163F8D">
      <w:pPr>
        <w:pStyle w:val="20"/>
        <w:bidi w:val="0"/>
        <w:rPr>
          <w:rFonts w:hint="default"/>
          <w:color w:val="auto"/>
          <w:u w:val="none" w:color="auto"/>
        </w:rPr>
      </w:pPr>
      <w:r>
        <w:rPr>
          <w:rFonts w:hint="default"/>
          <w:color w:val="auto"/>
          <w:u w:val="none" w:color="auto"/>
          <w:lang w:val="en-US" w:eastAsia="zh-CN"/>
        </w:rPr>
        <w:t xml:space="preserve">c </w:t>
      </w:r>
      <w:r>
        <w:rPr>
          <w:rFonts w:hint="default"/>
          <w:color w:val="auto"/>
          <w:u w:val="none" w:color="auto"/>
        </w:rPr>
        <w:t>设施内有安全照明设施和观察窗口；</w:t>
      </w:r>
    </w:p>
    <w:p w14:paraId="5AE55DA4">
      <w:pPr>
        <w:pStyle w:val="20"/>
        <w:bidi w:val="0"/>
        <w:rPr>
          <w:rFonts w:hint="default"/>
          <w:color w:val="auto"/>
          <w:u w:val="none" w:color="auto"/>
        </w:rPr>
      </w:pPr>
      <w:r>
        <w:rPr>
          <w:rFonts w:hint="default"/>
          <w:color w:val="auto"/>
          <w:u w:val="none" w:color="auto"/>
          <w:lang w:val="en-US" w:eastAsia="zh-CN"/>
        </w:rPr>
        <w:t>d</w:t>
      </w:r>
      <w:r>
        <w:rPr>
          <w:rFonts w:hint="default"/>
          <w:color w:val="auto"/>
          <w:u w:val="none" w:color="auto"/>
        </w:rPr>
        <w:t xml:space="preserve"> 有耐腐蚀的硬化地面，且表面无裂隙；</w:t>
      </w:r>
    </w:p>
    <w:p w14:paraId="327AC917">
      <w:pPr>
        <w:pStyle w:val="20"/>
        <w:bidi w:val="0"/>
        <w:rPr>
          <w:rFonts w:hint="default"/>
          <w:color w:val="auto"/>
          <w:u w:val="none" w:color="auto"/>
        </w:rPr>
      </w:pPr>
      <w:r>
        <w:rPr>
          <w:rFonts w:hint="default"/>
          <w:color w:val="auto"/>
          <w:u w:val="none" w:color="auto"/>
          <w:lang w:val="en-US" w:eastAsia="zh-CN"/>
        </w:rPr>
        <w:t>e</w:t>
      </w:r>
      <w:r>
        <w:rPr>
          <w:rFonts w:hint="default"/>
          <w:color w:val="auto"/>
          <w:u w:val="none" w:color="auto"/>
        </w:rPr>
        <w:t xml:space="preserve"> 有堵截泄漏的裙脚，地面与裙脚所围建的容积不低于堵截最大容器的最大储量或总储量的五分之一；</w:t>
      </w:r>
    </w:p>
    <w:p w14:paraId="6D0E8805">
      <w:pPr>
        <w:pStyle w:val="20"/>
        <w:bidi w:val="0"/>
        <w:rPr>
          <w:rFonts w:hint="default"/>
          <w:color w:val="auto"/>
          <w:u w:val="none" w:color="auto"/>
        </w:rPr>
      </w:pPr>
      <w:r>
        <w:rPr>
          <w:rFonts w:hint="default"/>
          <w:color w:val="auto"/>
          <w:u w:val="none" w:color="auto"/>
          <w:lang w:val="en-US" w:eastAsia="zh-CN"/>
        </w:rPr>
        <w:t>f</w:t>
      </w:r>
      <w:r>
        <w:rPr>
          <w:rFonts w:hint="default"/>
          <w:color w:val="auto"/>
          <w:u w:val="none" w:color="auto"/>
        </w:rPr>
        <w:t xml:space="preserve"> 危废</w:t>
      </w:r>
      <w:r>
        <w:rPr>
          <w:rFonts w:hint="default"/>
          <w:color w:val="auto"/>
          <w:u w:val="none" w:color="auto"/>
          <w:lang w:val="en-US" w:eastAsia="zh-CN"/>
        </w:rPr>
        <w:t>暂存间</w:t>
      </w:r>
      <w:r>
        <w:rPr>
          <w:rFonts w:hint="default"/>
          <w:color w:val="auto"/>
          <w:u w:val="none" w:color="auto"/>
        </w:rPr>
        <w:t>顶部设有顶棚，可避免风吹日晒或雨水淋滤，堆放基础需设防渗层，防渗层为至少1m厚粘土层（渗透系数≤10</w:t>
      </w:r>
      <w:r>
        <w:rPr>
          <w:rFonts w:hint="default"/>
          <w:color w:val="auto"/>
          <w:u w:val="none" w:color="auto"/>
          <w:vertAlign w:val="superscript"/>
        </w:rPr>
        <w:t>-7</w:t>
      </w:r>
      <w:r>
        <w:rPr>
          <w:rFonts w:hint="default"/>
          <w:color w:val="auto"/>
          <w:u w:val="none" w:color="auto"/>
        </w:rPr>
        <w:t>cm/s），或2</w:t>
      </w:r>
      <w:r>
        <w:rPr>
          <w:rFonts w:hint="default"/>
          <w:color w:val="auto"/>
          <w:u w:val="none" w:color="auto"/>
          <w:lang w:val="en-US" w:eastAsia="zh-CN"/>
        </w:rPr>
        <w:t>mm</w:t>
      </w:r>
      <w:r>
        <w:rPr>
          <w:rFonts w:hint="default"/>
          <w:color w:val="auto"/>
          <w:u w:val="none" w:color="auto"/>
        </w:rPr>
        <w:t>厚高密度聚乙烯，或至少2</w:t>
      </w:r>
      <w:r>
        <w:rPr>
          <w:rFonts w:hint="default"/>
          <w:color w:val="auto"/>
          <w:u w:val="none" w:color="auto"/>
          <w:lang w:val="en-US" w:eastAsia="zh-CN"/>
        </w:rPr>
        <w:t>mm</w:t>
      </w:r>
      <w:r>
        <w:rPr>
          <w:rFonts w:hint="default"/>
          <w:color w:val="auto"/>
          <w:u w:val="none" w:color="auto"/>
        </w:rPr>
        <w:t>厚的其它人工材料，渗透系数≤10</w:t>
      </w:r>
      <w:r>
        <w:rPr>
          <w:rFonts w:hint="default"/>
          <w:color w:val="auto"/>
          <w:u w:val="none" w:color="auto"/>
          <w:vertAlign w:val="superscript"/>
        </w:rPr>
        <w:t>-10</w:t>
      </w:r>
      <w:r>
        <w:rPr>
          <w:rFonts w:hint="default"/>
          <w:color w:val="auto"/>
          <w:u w:val="none" w:color="auto"/>
        </w:rPr>
        <w:t xml:space="preserve"> cm/s；</w:t>
      </w:r>
    </w:p>
    <w:p w14:paraId="73DE9DCD">
      <w:pPr>
        <w:pStyle w:val="20"/>
        <w:bidi w:val="0"/>
        <w:rPr>
          <w:rFonts w:hint="default"/>
          <w:color w:val="auto"/>
          <w:u w:val="none" w:color="auto"/>
        </w:rPr>
      </w:pPr>
      <w:r>
        <w:rPr>
          <w:rFonts w:hint="default"/>
          <w:color w:val="auto"/>
          <w:u w:val="none" w:color="auto"/>
          <w:lang w:val="en-US" w:eastAsia="zh-CN"/>
        </w:rPr>
        <w:t>g</w:t>
      </w:r>
      <w:r>
        <w:rPr>
          <w:rFonts w:hint="default"/>
          <w:color w:val="auto"/>
          <w:u w:val="none" w:color="auto"/>
        </w:rPr>
        <w:t xml:space="preserve"> 在常温常压下不水解、不挥发的固体危险废物（如废包装桶）在暂存</w:t>
      </w:r>
      <w:r>
        <w:rPr>
          <w:rFonts w:hint="default"/>
          <w:color w:val="auto"/>
          <w:u w:val="none" w:color="auto"/>
          <w:lang w:val="en-US" w:eastAsia="zh-CN"/>
        </w:rPr>
        <w:t>间</w:t>
      </w:r>
      <w:r>
        <w:rPr>
          <w:rFonts w:hint="default"/>
          <w:color w:val="auto"/>
          <w:u w:val="none" w:color="auto"/>
        </w:rPr>
        <w:t>内分类堆放。</w:t>
      </w:r>
    </w:p>
    <w:p w14:paraId="23C6FBC2">
      <w:pPr>
        <w:pStyle w:val="20"/>
        <w:bidi w:val="0"/>
        <w:rPr>
          <w:rFonts w:hint="default"/>
          <w:color w:val="auto"/>
          <w:u w:val="none" w:color="auto"/>
        </w:rPr>
      </w:pPr>
      <w:r>
        <w:rPr>
          <w:rFonts w:hint="default"/>
          <w:color w:val="auto"/>
          <w:u w:val="none" w:color="auto"/>
          <w:lang w:eastAsia="zh-CN"/>
        </w:rPr>
        <w:t>②</w:t>
      </w:r>
      <w:r>
        <w:rPr>
          <w:rFonts w:hint="default"/>
          <w:color w:val="auto"/>
          <w:u w:val="none" w:color="auto"/>
        </w:rPr>
        <w:t xml:space="preserve"> 厂区污水管道防渗措施</w:t>
      </w:r>
    </w:p>
    <w:p w14:paraId="228DF028">
      <w:pPr>
        <w:pStyle w:val="20"/>
        <w:bidi w:val="0"/>
        <w:rPr>
          <w:rFonts w:hint="default"/>
          <w:color w:val="auto"/>
          <w:u w:val="none" w:color="auto"/>
        </w:rPr>
      </w:pPr>
      <w:r>
        <w:rPr>
          <w:rFonts w:hint="default"/>
          <w:color w:val="auto"/>
          <w:u w:val="none" w:color="auto"/>
          <w:lang w:val="en-US" w:eastAsia="zh-CN"/>
        </w:rPr>
        <w:t>a</w:t>
      </w:r>
      <w:r>
        <w:rPr>
          <w:rFonts w:hint="default"/>
          <w:color w:val="auto"/>
          <w:u w:val="none" w:color="auto"/>
        </w:rPr>
        <w:t xml:space="preserve"> 做好管道基础处理工作，管道基础一定要平整，管道周围不得有硬块或尖状物，遇软地基时要回填沙石分层夯实；回填土必须夯实，密实度应达90%以上；</w:t>
      </w:r>
    </w:p>
    <w:p w14:paraId="35804F93">
      <w:pPr>
        <w:pStyle w:val="20"/>
        <w:bidi w:val="0"/>
        <w:rPr>
          <w:rFonts w:hint="default"/>
          <w:color w:val="auto"/>
          <w:u w:val="none" w:color="auto"/>
        </w:rPr>
      </w:pPr>
      <w:r>
        <w:rPr>
          <w:rFonts w:hint="default"/>
          <w:color w:val="auto"/>
          <w:u w:val="none" w:color="auto"/>
          <w:lang w:val="en-US" w:eastAsia="zh-CN"/>
        </w:rPr>
        <w:t>b</w:t>
      </w:r>
      <w:r>
        <w:rPr>
          <w:rFonts w:hint="default"/>
          <w:color w:val="auto"/>
          <w:u w:val="none" w:color="auto"/>
        </w:rPr>
        <w:t xml:space="preserve"> 地下管道必须采取两层管，内层采用耐压塑料管，外层再加一层水泥管道；管道内衬防渗膜，须具有耐酸、耐碱和经久耐用的特性，可有效防止渗漏；</w:t>
      </w:r>
    </w:p>
    <w:p w14:paraId="506A860D">
      <w:pPr>
        <w:pStyle w:val="20"/>
        <w:bidi w:val="0"/>
        <w:rPr>
          <w:rFonts w:hint="default"/>
          <w:color w:val="auto"/>
          <w:u w:val="none" w:color="auto"/>
        </w:rPr>
      </w:pPr>
      <w:r>
        <w:rPr>
          <w:rFonts w:hint="default"/>
          <w:color w:val="auto"/>
          <w:u w:val="none" w:color="auto"/>
          <w:lang w:val="en-US" w:eastAsia="zh-CN"/>
        </w:rPr>
        <w:t>c</w:t>
      </w:r>
      <w:r>
        <w:rPr>
          <w:rFonts w:hint="default"/>
          <w:color w:val="auto"/>
          <w:u w:val="none" w:color="auto"/>
        </w:rPr>
        <w:t xml:space="preserve"> 严格材料的验收、检查制度，管道在搬运、存放时要按要求执行，管材和管制件按标准严格进行防腐；</w:t>
      </w:r>
    </w:p>
    <w:p w14:paraId="46B7D9B4">
      <w:pPr>
        <w:pStyle w:val="20"/>
        <w:bidi w:val="0"/>
        <w:rPr>
          <w:rFonts w:hint="default"/>
          <w:color w:val="auto"/>
          <w:u w:val="none" w:color="auto"/>
        </w:rPr>
      </w:pPr>
      <w:r>
        <w:rPr>
          <w:rFonts w:hint="default"/>
          <w:color w:val="auto"/>
          <w:u w:val="none" w:color="auto"/>
          <w:lang w:val="en-US" w:eastAsia="zh-CN"/>
        </w:rPr>
        <w:t>d</w:t>
      </w:r>
      <w:r>
        <w:rPr>
          <w:rFonts w:hint="default"/>
          <w:color w:val="auto"/>
          <w:u w:val="none" w:color="auto"/>
        </w:rPr>
        <w:t xml:space="preserve"> 应用管道连接、防腐等方面的先进施工技术。一般情况下，承插接口应采用橡胶圈密封的柔性接口技术，金属管内壁采用涂水泥沙浆或树脂的防腐技术；焊接、粘接的管道应考虑涨缩性问题，采用相应的施工技术，如适当距离安装柔性接口、伸缩器或U 形弯管；同时管道阀门设专用防渗管沟，管沟上设活动观察顶盖，以便出现渗漏问题及时发现解决。</w:t>
      </w:r>
    </w:p>
    <w:p w14:paraId="302DF368">
      <w:pPr>
        <w:pStyle w:val="20"/>
        <w:bidi w:val="0"/>
        <w:rPr>
          <w:rFonts w:hint="default"/>
          <w:color w:val="auto"/>
          <w:u w:val="none" w:color="auto"/>
        </w:rPr>
      </w:pPr>
      <w:r>
        <w:rPr>
          <w:rFonts w:hint="default"/>
          <w:color w:val="auto"/>
          <w:u w:val="none" w:color="auto"/>
          <w:lang w:val="en-US" w:eastAsia="zh-CN"/>
        </w:rPr>
        <w:t>e</w:t>
      </w:r>
      <w:r>
        <w:rPr>
          <w:rFonts w:hint="default"/>
          <w:color w:val="auto"/>
          <w:u w:val="none" w:color="auto"/>
        </w:rPr>
        <w:t xml:space="preserve"> 严格按照施工图及施工规范按照，不可随意变更设计；</w:t>
      </w:r>
    </w:p>
    <w:p w14:paraId="1F4343A6">
      <w:pPr>
        <w:pStyle w:val="20"/>
        <w:bidi w:val="0"/>
        <w:rPr>
          <w:rFonts w:hint="default"/>
          <w:color w:val="auto"/>
          <w:u w:val="none" w:color="auto"/>
        </w:rPr>
      </w:pPr>
      <w:r>
        <w:rPr>
          <w:rFonts w:hint="default"/>
          <w:color w:val="auto"/>
          <w:u w:val="none" w:color="auto"/>
          <w:lang w:val="en-US" w:eastAsia="zh-CN"/>
        </w:rPr>
        <w:t>f</w:t>
      </w:r>
      <w:r>
        <w:rPr>
          <w:rFonts w:hint="default"/>
          <w:color w:val="auto"/>
          <w:u w:val="none" w:color="auto"/>
        </w:rPr>
        <w:t xml:space="preserve"> 做好管道试水试压工作，严格按验收规程进行，认真做好管道施工竣工图绘制，及时归档备案，方便管网维修、管理；</w:t>
      </w:r>
    </w:p>
    <w:p w14:paraId="7CE2C7BA">
      <w:pPr>
        <w:pStyle w:val="20"/>
        <w:bidi w:val="0"/>
        <w:rPr>
          <w:rFonts w:hint="default"/>
          <w:color w:val="auto"/>
          <w:u w:val="none" w:color="auto"/>
        </w:rPr>
      </w:pPr>
      <w:r>
        <w:rPr>
          <w:rFonts w:hint="default"/>
          <w:color w:val="auto"/>
          <w:u w:val="none" w:color="auto"/>
          <w:lang w:val="en-US" w:eastAsia="zh-CN"/>
        </w:rPr>
        <w:t>g</w:t>
      </w:r>
      <w:r>
        <w:rPr>
          <w:rFonts w:hint="default"/>
          <w:color w:val="auto"/>
          <w:u w:val="none" w:color="auto"/>
        </w:rPr>
        <w:t xml:space="preserve"> 加强管道日常维修管理和检查工作。</w:t>
      </w:r>
    </w:p>
    <w:p w14:paraId="30526C2B">
      <w:pPr>
        <w:pStyle w:val="20"/>
        <w:bidi w:val="0"/>
        <w:rPr>
          <w:rFonts w:hint="default"/>
          <w:color w:val="auto"/>
          <w:u w:val="none" w:color="auto"/>
        </w:rPr>
      </w:pPr>
      <w:r>
        <w:rPr>
          <w:rFonts w:hint="default"/>
          <w:color w:val="auto"/>
          <w:u w:val="none" w:color="auto"/>
          <w:lang w:eastAsia="zh-CN"/>
        </w:rPr>
        <w:t>③</w:t>
      </w:r>
      <w:r>
        <w:rPr>
          <w:rFonts w:hint="default"/>
          <w:color w:val="auto"/>
          <w:u w:val="none" w:color="auto"/>
        </w:rPr>
        <w:t>其它污染防治措施</w:t>
      </w:r>
    </w:p>
    <w:p w14:paraId="2CD482C7">
      <w:pPr>
        <w:pStyle w:val="20"/>
        <w:bidi w:val="0"/>
        <w:rPr>
          <w:rFonts w:hint="default"/>
          <w:color w:val="auto"/>
          <w:u w:val="none" w:color="auto"/>
        </w:rPr>
      </w:pPr>
      <w:r>
        <w:rPr>
          <w:rFonts w:hint="default"/>
          <w:color w:val="auto"/>
          <w:u w:val="none" w:color="auto"/>
          <w:lang w:val="en-US" w:eastAsia="zh-CN"/>
        </w:rPr>
        <w:t>a</w:t>
      </w:r>
      <w:r>
        <w:rPr>
          <w:rFonts w:hint="default"/>
          <w:color w:val="auto"/>
          <w:u w:val="none" w:color="auto"/>
        </w:rPr>
        <w:t xml:space="preserve"> 废水池及各处理单元应按建筑规范要求做好防渗、硬底化工程，渗透系数&lt;10</w:t>
      </w:r>
      <w:r>
        <w:rPr>
          <w:rFonts w:hint="default"/>
          <w:color w:val="auto"/>
          <w:u w:val="none" w:color="auto"/>
          <w:vertAlign w:val="superscript"/>
        </w:rPr>
        <w:t>-7</w:t>
      </w:r>
      <w:r>
        <w:rPr>
          <w:rFonts w:hint="default"/>
          <w:color w:val="auto"/>
          <w:u w:val="none" w:color="auto"/>
        </w:rPr>
        <w:t>cm/s。同时定期检查，若发现池体或管道出现裂痕等问题，应立即进行抢修。</w:t>
      </w:r>
    </w:p>
    <w:p w14:paraId="6AB8D638">
      <w:pPr>
        <w:pStyle w:val="20"/>
        <w:bidi w:val="0"/>
        <w:rPr>
          <w:rFonts w:hint="default"/>
          <w:color w:val="auto"/>
          <w:u w:val="none" w:color="auto"/>
        </w:rPr>
      </w:pPr>
      <w:r>
        <w:rPr>
          <w:rFonts w:hint="default"/>
          <w:color w:val="auto"/>
          <w:u w:val="none" w:color="auto"/>
          <w:lang w:val="en-US" w:eastAsia="zh-CN"/>
        </w:rPr>
        <w:t>b</w:t>
      </w:r>
      <w:r>
        <w:rPr>
          <w:rFonts w:hint="default"/>
          <w:color w:val="auto"/>
          <w:u w:val="none" w:color="auto"/>
        </w:rPr>
        <w:t xml:space="preserve"> 危险废物在交给有资质单位处理前，贮存危险废物的容器或设施必须按《危险废物贮存污染控制标准》（GB18597-20</w:t>
      </w:r>
      <w:r>
        <w:rPr>
          <w:rFonts w:hint="eastAsia"/>
          <w:color w:val="auto"/>
          <w:u w:val="none" w:color="auto"/>
          <w:lang w:val="en-US" w:eastAsia="zh-CN"/>
        </w:rPr>
        <w:t>23</w:t>
      </w:r>
      <w:r>
        <w:rPr>
          <w:rFonts w:hint="default"/>
          <w:color w:val="auto"/>
          <w:u w:val="none" w:color="auto"/>
        </w:rPr>
        <w:t>）</w:t>
      </w:r>
      <w:r>
        <w:rPr>
          <w:rFonts w:hint="eastAsia"/>
          <w:color w:val="auto"/>
          <w:u w:val="none" w:color="auto"/>
          <w:lang w:val="en-US" w:eastAsia="zh-CN"/>
        </w:rPr>
        <w:t>中</w:t>
      </w:r>
      <w:r>
        <w:rPr>
          <w:rFonts w:hint="default"/>
          <w:color w:val="auto"/>
          <w:u w:val="none" w:color="auto"/>
        </w:rPr>
        <w:t>的有关要求进行，不得在露天堆放。</w:t>
      </w:r>
    </w:p>
    <w:p w14:paraId="56D26086">
      <w:pPr>
        <w:pStyle w:val="20"/>
        <w:bidi w:val="0"/>
        <w:rPr>
          <w:rFonts w:hint="default"/>
          <w:color w:val="auto"/>
          <w:u w:val="none" w:color="auto"/>
        </w:rPr>
      </w:pPr>
      <w:r>
        <w:rPr>
          <w:rFonts w:hint="default"/>
          <w:color w:val="auto"/>
          <w:u w:val="none" w:color="auto"/>
          <w:lang w:val="en-US" w:eastAsia="zh-CN"/>
        </w:rPr>
        <w:t>c</w:t>
      </w:r>
      <w:r>
        <w:rPr>
          <w:rFonts w:hint="default"/>
          <w:color w:val="auto"/>
          <w:u w:val="none" w:color="auto"/>
        </w:rPr>
        <w:t xml:space="preserve"> 生产车间可能发生泄漏的单元应按建筑规范要求做好防渗、硬底化工程，渗透系数&lt;10</w:t>
      </w:r>
      <w:r>
        <w:rPr>
          <w:rFonts w:hint="default"/>
          <w:color w:val="auto"/>
          <w:u w:val="none" w:color="auto"/>
          <w:vertAlign w:val="superscript"/>
        </w:rPr>
        <w:t>-7</w:t>
      </w:r>
      <w:r>
        <w:rPr>
          <w:rFonts w:hint="default"/>
          <w:color w:val="auto"/>
          <w:u w:val="none" w:color="auto"/>
        </w:rPr>
        <w:t>cm/s。定期检查车间地面及事故沟的情况，若出现裂痕等问题，应立即进行抢修。</w:t>
      </w:r>
    </w:p>
    <w:p w14:paraId="543C5708">
      <w:pPr>
        <w:pStyle w:val="20"/>
        <w:bidi w:val="0"/>
        <w:rPr>
          <w:rFonts w:hint="default"/>
          <w:color w:val="auto"/>
          <w:u w:val="none" w:color="auto"/>
        </w:rPr>
      </w:pPr>
      <w:r>
        <w:rPr>
          <w:rFonts w:hint="default"/>
          <w:color w:val="auto"/>
          <w:u w:val="none" w:color="auto"/>
          <w:lang w:val="en-US" w:eastAsia="zh-CN"/>
        </w:rPr>
        <w:t>d</w:t>
      </w:r>
      <w:r>
        <w:rPr>
          <w:rFonts w:hint="default"/>
          <w:color w:val="auto"/>
          <w:u w:val="none" w:color="auto"/>
        </w:rPr>
        <w:t xml:space="preserve"> 为防止泄漏物的下渗，厂区道路应做好硬底化防渗措施。</w:t>
      </w:r>
    </w:p>
    <w:p w14:paraId="10A3D547">
      <w:pPr>
        <w:pStyle w:val="20"/>
        <w:bidi w:val="0"/>
        <w:rPr>
          <w:rFonts w:hint="default"/>
          <w:color w:val="auto"/>
          <w:u w:val="none" w:color="auto"/>
        </w:rPr>
      </w:pPr>
      <w:r>
        <w:rPr>
          <w:rFonts w:hint="default"/>
          <w:color w:val="auto"/>
          <w:u w:val="none" w:color="auto"/>
        </w:rPr>
        <w:t>在做好上述措施的情况下，营运期对地下水造成的影响可以得到有效控制。</w:t>
      </w:r>
    </w:p>
    <w:p w14:paraId="1D7DBCCC">
      <w:pPr>
        <w:pStyle w:val="20"/>
        <w:bidi w:val="0"/>
        <w:rPr>
          <w:rFonts w:hint="default"/>
          <w:color w:val="auto"/>
          <w:u w:val="none" w:color="auto"/>
          <w:lang w:val="en-US" w:eastAsia="zh-CN"/>
        </w:rPr>
      </w:pPr>
      <w:bookmarkStart w:id="1412" w:name="_Toc14121"/>
      <w:bookmarkStart w:id="1413" w:name="_Toc29630"/>
      <w:bookmarkStart w:id="1414" w:name="_Toc18029"/>
      <w:bookmarkStart w:id="1415" w:name="_Toc7750"/>
      <w:bookmarkStart w:id="1416" w:name="_Toc30095"/>
      <w:r>
        <w:rPr>
          <w:rFonts w:hint="default"/>
          <w:color w:val="auto"/>
          <w:u w:val="none" w:color="auto"/>
          <w:lang w:val="en-US" w:eastAsia="zh-CN"/>
        </w:rPr>
        <w:t>（4）</w:t>
      </w:r>
      <w:r>
        <w:rPr>
          <w:rFonts w:hint="default"/>
          <w:color w:val="auto"/>
          <w:u w:val="none" w:color="auto"/>
          <w:lang w:eastAsia="zh-CN"/>
        </w:rPr>
        <w:t>污染监控</w:t>
      </w:r>
      <w:bookmarkEnd w:id="1412"/>
      <w:bookmarkEnd w:id="1413"/>
      <w:bookmarkEnd w:id="1414"/>
      <w:bookmarkEnd w:id="1415"/>
      <w:bookmarkEnd w:id="1416"/>
    </w:p>
    <w:p w14:paraId="1D9CE337">
      <w:pPr>
        <w:pStyle w:val="20"/>
        <w:bidi w:val="0"/>
        <w:rPr>
          <w:rFonts w:hint="default"/>
          <w:color w:val="auto"/>
          <w:u w:val="none" w:color="auto"/>
          <w:lang w:eastAsia="zh-CN"/>
        </w:rPr>
      </w:pPr>
      <w:r>
        <w:rPr>
          <w:rFonts w:hint="default"/>
          <w:color w:val="auto"/>
          <w:u w:val="none" w:color="auto"/>
          <w:lang w:eastAsia="zh-CN"/>
        </w:rPr>
        <w:t>建立完善的地下水环境监控体系，包括建立地下水监控制度和环境管理体系、制定监测计划、配备必要的监测仪器和设备，以便及时发现问题，及时采取措施。</w:t>
      </w:r>
    </w:p>
    <w:p w14:paraId="2AC62C72">
      <w:pPr>
        <w:pStyle w:val="20"/>
        <w:bidi w:val="0"/>
        <w:rPr>
          <w:rFonts w:hint="default"/>
          <w:color w:val="auto"/>
          <w:u w:val="none" w:color="auto"/>
          <w:lang w:eastAsia="zh-CN"/>
        </w:rPr>
      </w:pPr>
      <w:r>
        <w:rPr>
          <w:rFonts w:hint="default"/>
          <w:color w:val="auto"/>
          <w:u w:val="none" w:color="auto"/>
          <w:lang w:eastAsia="zh-CN"/>
        </w:rPr>
        <w:t>根据《环境影响评价技术导则 地下水环境》（HJ610-2016）的相关要求，三级评价跟踪监测点位数量一般为1个，本次评价建议在</w:t>
      </w:r>
      <w:r>
        <w:rPr>
          <w:rFonts w:hint="eastAsia"/>
          <w:color w:val="auto"/>
          <w:u w:val="none" w:color="auto"/>
          <w:lang w:eastAsia="zh-CN"/>
        </w:rPr>
        <w:t>项目厂区下游</w:t>
      </w:r>
      <w:r>
        <w:rPr>
          <w:rFonts w:hint="default"/>
          <w:color w:val="auto"/>
          <w:u w:val="none" w:color="auto"/>
          <w:lang w:eastAsia="zh-CN"/>
        </w:rPr>
        <w:t>布置监测井。</w:t>
      </w:r>
      <w:r>
        <w:rPr>
          <w:rFonts w:hint="default"/>
          <w:color w:val="auto"/>
          <w:u w:val="none" w:color="auto"/>
          <w:lang w:val="en-US" w:eastAsia="zh-CN"/>
        </w:rPr>
        <w:t>厂区</w:t>
      </w:r>
      <w:r>
        <w:rPr>
          <w:rFonts w:hint="default"/>
          <w:color w:val="auto"/>
          <w:u w:val="none" w:color="auto"/>
          <w:lang w:eastAsia="zh-CN"/>
        </w:rPr>
        <w:t>安全环保部门作为项目建设单位的环境综合管理部门，负责对整个项目环境保护措施的落实情况实行统一的监督管理，并对项目所在区域环境质量全面负责，接受上级环境保护行政部门的监督、检查和指导。</w:t>
      </w:r>
    </w:p>
    <w:p w14:paraId="2BAAD7B4">
      <w:pPr>
        <w:pStyle w:val="20"/>
        <w:bidi w:val="0"/>
        <w:rPr>
          <w:rFonts w:hint="default"/>
          <w:color w:val="auto"/>
          <w:u w:val="none" w:color="auto"/>
          <w:lang w:eastAsia="zh-CN"/>
        </w:rPr>
      </w:pPr>
      <w:r>
        <w:rPr>
          <w:rFonts w:hint="default"/>
          <w:color w:val="auto"/>
          <w:u w:val="none" w:color="auto"/>
          <w:lang w:eastAsia="zh-CN"/>
        </w:rPr>
        <w:t>同时，上述</w:t>
      </w:r>
      <w:r>
        <w:rPr>
          <w:rFonts w:hint="default"/>
          <w:color w:val="auto"/>
          <w:u w:val="none" w:color="auto"/>
          <w:lang w:val="en-US" w:eastAsia="zh-CN"/>
        </w:rPr>
        <w:t>跟踪</w:t>
      </w:r>
      <w:r>
        <w:rPr>
          <w:rFonts w:hint="default"/>
          <w:color w:val="auto"/>
          <w:u w:val="none" w:color="auto"/>
          <w:lang w:eastAsia="zh-CN"/>
        </w:rPr>
        <w:t>监测结果应按项目有关规定及时建立档案，并定期向</w:t>
      </w:r>
      <w:r>
        <w:rPr>
          <w:rFonts w:hint="default"/>
          <w:color w:val="auto"/>
          <w:u w:val="none" w:color="auto"/>
          <w:lang w:val="en-US" w:eastAsia="zh-CN"/>
        </w:rPr>
        <w:t>厂区</w:t>
      </w:r>
      <w:r>
        <w:rPr>
          <w:rFonts w:hint="default"/>
          <w:color w:val="auto"/>
          <w:u w:val="none" w:color="auto"/>
          <w:lang w:eastAsia="zh-CN"/>
        </w:rPr>
        <w:t>安全环保部门汇报，对于常规监测数据应该进行公开，特别是对项目所在区域的居民进行公开，满足法律中关于知情权的要求。如发现异常或发生事故，加密监测频次，并分析污染原因，确定泄漏污染源，及时采取应急措施。</w:t>
      </w:r>
    </w:p>
    <w:p w14:paraId="402EB4B5">
      <w:pPr>
        <w:pStyle w:val="20"/>
        <w:bidi w:val="0"/>
        <w:rPr>
          <w:rFonts w:hint="default"/>
          <w:color w:val="auto"/>
          <w:u w:val="none" w:color="auto"/>
          <w:lang w:eastAsia="zh-CN"/>
        </w:rPr>
      </w:pPr>
      <w:bookmarkStart w:id="1417" w:name="_Toc18858"/>
      <w:bookmarkStart w:id="1418" w:name="_Toc25012"/>
      <w:bookmarkStart w:id="1419" w:name="_Toc5628"/>
      <w:bookmarkStart w:id="1420" w:name="_Toc3517"/>
      <w:bookmarkStart w:id="1421" w:name="_Toc22130"/>
      <w:r>
        <w:rPr>
          <w:rFonts w:hint="default"/>
          <w:color w:val="auto"/>
          <w:u w:val="none" w:color="auto"/>
          <w:lang w:val="en-US" w:eastAsia="zh-CN"/>
        </w:rPr>
        <w:t>（5）</w:t>
      </w:r>
      <w:r>
        <w:rPr>
          <w:rFonts w:hint="default"/>
          <w:color w:val="auto"/>
          <w:u w:val="none" w:color="auto"/>
          <w:lang w:eastAsia="zh-CN"/>
        </w:rPr>
        <w:t>应急响应</w:t>
      </w:r>
      <w:bookmarkEnd w:id="1417"/>
      <w:bookmarkEnd w:id="1418"/>
      <w:bookmarkEnd w:id="1419"/>
      <w:bookmarkEnd w:id="1420"/>
      <w:bookmarkEnd w:id="1421"/>
    </w:p>
    <w:p w14:paraId="081DABF5">
      <w:pPr>
        <w:pStyle w:val="20"/>
        <w:bidi w:val="0"/>
        <w:rPr>
          <w:rFonts w:hint="default"/>
          <w:color w:val="auto"/>
          <w:u w:val="none" w:color="auto"/>
        </w:rPr>
      </w:pPr>
      <w:r>
        <w:rPr>
          <w:rFonts w:hint="default"/>
          <w:color w:val="auto"/>
          <w:u w:val="none" w:color="auto"/>
          <w:lang w:val="en-US" w:eastAsia="zh-CN"/>
        </w:rPr>
        <w:t>建设单位</w:t>
      </w:r>
      <w:r>
        <w:rPr>
          <w:rFonts w:hint="default"/>
          <w:color w:val="auto"/>
          <w:u w:val="none" w:color="auto"/>
        </w:rPr>
        <w:t>制定风险事故应急预案中应包括地下水风险事故应急响应内容，提出防止受污染地下水扩散和对受污染的地下水进行治理的的具体方案。</w:t>
      </w:r>
    </w:p>
    <w:p w14:paraId="6A703F31">
      <w:pPr>
        <w:pStyle w:val="20"/>
        <w:bidi w:val="0"/>
        <w:rPr>
          <w:rFonts w:hint="default"/>
          <w:color w:val="auto"/>
          <w:u w:val="none" w:color="auto"/>
          <w:lang w:eastAsia="zh-CN"/>
        </w:rPr>
      </w:pPr>
      <w:r>
        <w:rPr>
          <w:rFonts w:hint="default"/>
          <w:color w:val="auto"/>
          <w:u w:val="none" w:color="auto"/>
          <w:lang w:eastAsia="zh-CN"/>
        </w:rPr>
        <w:t>一旦发现地下水发生异常情况，必须按照应急预案马上采取紧急措施：</w:t>
      </w:r>
    </w:p>
    <w:p w14:paraId="5C48F7C0">
      <w:pPr>
        <w:pStyle w:val="20"/>
        <w:bidi w:val="0"/>
        <w:rPr>
          <w:rFonts w:hint="default"/>
          <w:color w:val="auto"/>
          <w:u w:val="none" w:color="auto"/>
          <w:lang w:eastAsia="zh-CN"/>
        </w:rPr>
      </w:pPr>
      <w:r>
        <w:rPr>
          <w:rFonts w:hint="default"/>
          <w:color w:val="auto"/>
          <w:u w:val="none" w:color="auto"/>
          <w:lang w:eastAsia="zh-CN"/>
        </w:rPr>
        <w:t>①当确定发生地下水异常情况时，在第一时间内尽快上报公司主管领导，通知当地生态环境局、附近居民等，密切关注地下水水质变化情况。</w:t>
      </w:r>
    </w:p>
    <w:p w14:paraId="393394C3">
      <w:pPr>
        <w:pStyle w:val="20"/>
        <w:bidi w:val="0"/>
        <w:rPr>
          <w:rFonts w:hint="default"/>
          <w:color w:val="auto"/>
          <w:u w:val="none" w:color="auto"/>
          <w:lang w:eastAsia="zh-CN"/>
        </w:rPr>
      </w:pPr>
      <w:r>
        <w:rPr>
          <w:rFonts w:hint="default"/>
          <w:color w:val="auto"/>
          <w:u w:val="none" w:color="auto"/>
          <w:lang w:eastAsia="zh-CN"/>
        </w:rPr>
        <w:t>②组织专业队伍对事故现场进行调查、监测，查找环境事故发生地点、分析事故原因，尽量将紧急事件局部化，如可能应予以消除，采取包括切断生产装置或设施等措施，防止事故的扩散、蔓延及连锁反应，尽量缩小地下水污染事故对人和财产的影响。</w:t>
      </w:r>
    </w:p>
    <w:p w14:paraId="78477F9F">
      <w:pPr>
        <w:pStyle w:val="20"/>
        <w:bidi w:val="0"/>
        <w:rPr>
          <w:rFonts w:hint="default"/>
          <w:color w:val="auto"/>
          <w:u w:val="none" w:color="auto"/>
          <w:lang w:eastAsia="zh-CN"/>
        </w:rPr>
      </w:pPr>
      <w:r>
        <w:rPr>
          <w:rFonts w:hint="default"/>
          <w:color w:val="auto"/>
          <w:u w:val="none" w:color="auto"/>
          <w:lang w:eastAsia="zh-CN"/>
        </w:rPr>
        <w:t>③当通过监测发现对周围地下水造成污染时，根据观测井的反馈信息，可对污染区地下水人工开采以形成地下水漏斗，控制污染区地下水流场，尽量防止污染物扩散。地下水排水系统是根据建设项目对地下水可能产生影响而采取的被动防范措施，是建设项目环境工程的重要组成部分。当地下水污染事件发生后，启动地下水排水应急系统，将会有效抑制污染物向下游扩散速度，控制污染范围，使地下水质量得到尽快恢复。</w:t>
      </w:r>
    </w:p>
    <w:p w14:paraId="22BFB06E">
      <w:pPr>
        <w:pStyle w:val="20"/>
        <w:bidi w:val="0"/>
        <w:rPr>
          <w:rFonts w:hint="default"/>
          <w:color w:val="auto"/>
          <w:u w:val="none" w:color="auto"/>
          <w:lang w:eastAsia="zh-CN"/>
        </w:rPr>
      </w:pPr>
      <w:r>
        <w:rPr>
          <w:rFonts w:hint="default"/>
          <w:color w:val="auto"/>
          <w:u w:val="none" w:color="auto"/>
          <w:lang w:eastAsia="zh-CN"/>
        </w:rPr>
        <w:t>④对被破坏的区域设置紧急隔离围堤，防止物料进一步渗入地下。</w:t>
      </w:r>
    </w:p>
    <w:p w14:paraId="2CB6E64C">
      <w:pPr>
        <w:pStyle w:val="20"/>
        <w:bidi w:val="0"/>
        <w:rPr>
          <w:rFonts w:hint="default"/>
          <w:color w:val="auto"/>
          <w:u w:val="none" w:color="auto"/>
          <w:lang w:eastAsia="zh-CN"/>
        </w:rPr>
      </w:pPr>
      <w:r>
        <w:rPr>
          <w:rFonts w:hint="default"/>
          <w:color w:val="auto"/>
          <w:u w:val="none" w:color="auto"/>
          <w:lang w:eastAsia="zh-CN"/>
        </w:rPr>
        <w:t>⑤对事故后果进行评估，并制定防止类似事件发生的措施；</w:t>
      </w:r>
    </w:p>
    <w:p w14:paraId="0F4F63BD">
      <w:pPr>
        <w:pStyle w:val="20"/>
        <w:bidi w:val="0"/>
        <w:rPr>
          <w:rFonts w:hint="default"/>
          <w:color w:val="auto"/>
          <w:u w:val="none" w:color="auto"/>
          <w:lang w:eastAsia="zh-CN"/>
        </w:rPr>
      </w:pPr>
      <w:r>
        <w:rPr>
          <w:rFonts w:hint="default"/>
          <w:color w:val="auto"/>
          <w:u w:val="none" w:color="auto"/>
          <w:lang w:eastAsia="zh-CN"/>
        </w:rPr>
        <w:t>⑥如果</w:t>
      </w:r>
      <w:r>
        <w:rPr>
          <w:rFonts w:hint="default"/>
          <w:color w:val="auto"/>
          <w:u w:val="none" w:color="auto"/>
          <w:lang w:val="en-US" w:eastAsia="zh-CN"/>
        </w:rPr>
        <w:t>厂区</w:t>
      </w:r>
      <w:r>
        <w:rPr>
          <w:rFonts w:hint="default"/>
          <w:color w:val="auto"/>
          <w:u w:val="none" w:color="auto"/>
          <w:lang w:eastAsia="zh-CN"/>
        </w:rPr>
        <w:t>力量无法应对污染事故，应立即请求社会应急力量协助处理。</w:t>
      </w:r>
    </w:p>
    <w:p w14:paraId="525774D3">
      <w:pPr>
        <w:pStyle w:val="20"/>
        <w:bidi w:val="0"/>
        <w:rPr>
          <w:rFonts w:hint="default"/>
          <w:color w:val="auto"/>
          <w:u w:val="none" w:color="auto"/>
        </w:rPr>
      </w:pPr>
      <w:r>
        <w:rPr>
          <w:rFonts w:hint="default"/>
          <w:color w:val="auto"/>
          <w:u w:val="none" w:color="auto"/>
        </w:rPr>
        <w:t>从上述措施可以看出，项目对可能产生地下水影响的各项途径均应进行有效预防，在确保各项防渗措施得以落实，并加强维护和厂区环境管理的前提下，可有效控制厂区内的污染物下渗现象，避免污染地下水，因此</w:t>
      </w:r>
      <w:r>
        <w:rPr>
          <w:rFonts w:hint="default"/>
          <w:color w:val="auto"/>
          <w:u w:val="none" w:color="auto"/>
          <w:lang w:eastAsia="zh-CN"/>
        </w:rPr>
        <w:t>，本项目</w:t>
      </w:r>
      <w:r>
        <w:rPr>
          <w:rFonts w:hint="default"/>
          <w:color w:val="auto"/>
          <w:u w:val="none" w:color="auto"/>
        </w:rPr>
        <w:t>不会对所在地的地下水环境产生明显影响。</w:t>
      </w:r>
    </w:p>
    <w:p w14:paraId="7321AB9E">
      <w:pPr>
        <w:pStyle w:val="20"/>
        <w:bidi w:val="0"/>
        <w:rPr>
          <w:rFonts w:hint="default" w:ascii="Times New Roman" w:hAnsi="Times New Roman" w:cs="Times New Roman"/>
          <w:color w:val="auto"/>
          <w:u w:val="none" w:color="auto"/>
        </w:rPr>
      </w:pPr>
      <w:r>
        <w:rPr>
          <w:rFonts w:hint="default"/>
          <w:color w:val="auto"/>
          <w:u w:val="none" w:color="auto"/>
        </w:rPr>
        <w:t>综上所述，本项目</w:t>
      </w:r>
      <w:r>
        <w:rPr>
          <w:rFonts w:hint="default"/>
          <w:color w:val="auto"/>
          <w:u w:val="none" w:color="auto"/>
          <w:lang w:eastAsia="zh-CN"/>
        </w:rPr>
        <w:t>地下水污染</w:t>
      </w:r>
      <w:r>
        <w:rPr>
          <w:rFonts w:hint="default"/>
          <w:color w:val="auto"/>
          <w:u w:val="none" w:color="auto"/>
        </w:rPr>
        <w:t>防治措施方案可行。</w:t>
      </w:r>
      <w:r>
        <w:rPr>
          <w:rFonts w:hint="default" w:ascii="Times New Roman" w:hAnsi="Times New Roman" w:cs="Times New Roman"/>
          <w:color w:val="auto"/>
          <w:u w:val="none" w:color="auto"/>
        </w:rPr>
        <w:t xml:space="preserve"> </w:t>
      </w:r>
    </w:p>
    <w:p w14:paraId="3A39CD78">
      <w:pPr>
        <w:pStyle w:val="4"/>
        <w:rPr>
          <w:rFonts w:hint="default" w:ascii="Times New Roman" w:hAnsi="Times New Roman" w:cs="Times New Roman"/>
          <w:color w:val="auto"/>
          <w:u w:val="none" w:color="auto"/>
        </w:rPr>
      </w:pPr>
      <w:bookmarkStart w:id="1422" w:name="_Toc20755"/>
      <w:bookmarkStart w:id="1423" w:name="_Toc17806"/>
      <w:bookmarkStart w:id="1424" w:name="_Toc12521"/>
      <w:bookmarkStart w:id="1425" w:name="_Toc21475"/>
      <w:bookmarkStart w:id="1426" w:name="_Toc16732"/>
      <w:bookmarkStart w:id="1427" w:name="_Toc12214"/>
      <w:bookmarkStart w:id="1428" w:name="_Toc32275"/>
      <w:bookmarkStart w:id="1429" w:name="_Toc25950"/>
      <w:bookmarkStart w:id="1430" w:name="_Toc13669"/>
      <w:bookmarkStart w:id="1431" w:name="_Toc18021"/>
      <w:bookmarkStart w:id="1432" w:name="_Toc5660"/>
      <w:bookmarkStart w:id="1433" w:name="_Toc6543"/>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.4噪声治理措施及达标可行性分析</w:t>
      </w:r>
      <w:bookmarkEnd w:id="1390"/>
      <w:bookmarkEnd w:id="1391"/>
      <w:bookmarkEnd w:id="1392"/>
      <w:bookmarkEnd w:id="1393"/>
      <w:bookmarkEnd w:id="1394"/>
      <w:bookmarkEnd w:id="1395"/>
      <w:bookmarkEnd w:id="1396"/>
      <w:bookmarkEnd w:id="1422"/>
      <w:bookmarkEnd w:id="1423"/>
      <w:bookmarkEnd w:id="1424"/>
      <w:bookmarkEnd w:id="1425"/>
      <w:bookmarkEnd w:id="1426"/>
      <w:bookmarkEnd w:id="1427"/>
      <w:bookmarkEnd w:id="1428"/>
      <w:bookmarkEnd w:id="1429"/>
      <w:bookmarkEnd w:id="1430"/>
      <w:bookmarkEnd w:id="1431"/>
      <w:bookmarkEnd w:id="1432"/>
      <w:bookmarkEnd w:id="1433"/>
    </w:p>
    <w:p w14:paraId="483344E5">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本项目的噪声源主要为设备运转时产生的噪声，噪声源强为</w:t>
      </w:r>
      <w:r>
        <w:rPr>
          <w:rFonts w:hint="eastAsia" w:ascii="Times New Roman" w:hAnsi="Times New Roman" w:cs="Times New Roman"/>
          <w:color w:val="auto"/>
          <w:u w:val="none" w:color="auto"/>
          <w:lang w:val="en-US" w:eastAsia="zh-CN"/>
        </w:rPr>
        <w:t>75</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85</w:t>
      </w:r>
      <w:r>
        <w:rPr>
          <w:rFonts w:hint="default" w:ascii="Times New Roman" w:hAnsi="Times New Roman" w:cs="Times New Roman"/>
          <w:color w:val="auto"/>
          <w:u w:val="none" w:color="auto"/>
        </w:rPr>
        <w:t>dBA，所有设备均按照工业设备安装的有关规范安装，采取减振隔声措施，且大多数噪声源设置在室内。对于室外噪声源等安装时尽可能的安装在远离厂界的位置，采用隔声房或隔声罩等隔声措施进行处理，以降低噪声对环境的影响，使厂界噪声达到《工业企业厂界环境噪声排放标准》（GB12348</w:t>
      </w:r>
      <w:r>
        <w:rPr>
          <w:rFonts w:hint="eastAsia" w:ascii="Times New Roman" w:hAnsi="Times New Roman" w:cs="Times New Roman"/>
          <w:color w:val="auto"/>
          <w:u w:val="none" w:color="auto"/>
          <w:lang w:val="en-US" w:eastAsia="zh-CN"/>
        </w:rPr>
        <w:t>-</w:t>
      </w:r>
      <w:r>
        <w:rPr>
          <w:rFonts w:hint="default" w:ascii="Times New Roman" w:hAnsi="Times New Roman" w:cs="Times New Roman"/>
          <w:color w:val="auto"/>
          <w:u w:val="none" w:color="auto"/>
        </w:rPr>
        <w:t>2008）</w:t>
      </w:r>
      <w:r>
        <w:rPr>
          <w:rFonts w:hint="eastAsia" w:cs="Times New Roman"/>
          <w:color w:val="auto"/>
          <w:u w:val="none" w:color="auto"/>
          <w:lang w:val="en-US" w:eastAsia="zh-CN"/>
        </w:rPr>
        <w:t>3</w:t>
      </w:r>
      <w:r>
        <w:rPr>
          <w:rFonts w:hint="default" w:ascii="Times New Roman" w:hAnsi="Times New Roman" w:cs="Times New Roman"/>
          <w:color w:val="auto"/>
          <w:u w:val="none" w:color="auto"/>
        </w:rPr>
        <w:t>类标准。</w:t>
      </w:r>
    </w:p>
    <w:p w14:paraId="38E786C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为进一步防止项目生产产生的噪声对周边环境的影响，确保厂界噪声达标排放，本环评建议：（1）在设备选型时，除考虑满足生产工艺要求外，还必须考虑设备的声学特性（选用高效低噪设备），对于噪声较高的设备应与设备出售厂方协商提供配套的降噪措施。（2）将各设备均安装于生产车间内，进行墙体隔声，并且在设备安装时加减振垫。（3）应加强设备的保养和维修，使设备随时处于良好的运行状态，避免偶发强噪声产生。高噪声设备操作人员，操作时应佩戴防护头盔或耳套。（4）声屏障的存在使声波不能直达受声点，从而使受声点噪声降低。声屏障通常指墙、建筑物、土坡、树丛等。建议结合项目周边防护绿地，种植树木或加建围墙，以达到声屏障降噪的目的。</w:t>
      </w:r>
    </w:p>
    <w:p w14:paraId="18CF460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综上所述，在落实各项噪声污染防治措施的情况下，项目投产后对周围声环境影响较小。</w:t>
      </w:r>
    </w:p>
    <w:p w14:paraId="73F05FCC">
      <w:pPr>
        <w:pStyle w:val="4"/>
        <w:rPr>
          <w:rFonts w:hint="default" w:ascii="Times New Roman" w:hAnsi="Times New Roman" w:cs="Times New Roman"/>
          <w:color w:val="auto"/>
          <w:u w:val="none" w:color="auto"/>
        </w:rPr>
      </w:pPr>
      <w:bookmarkStart w:id="1434" w:name="_Toc22646"/>
      <w:bookmarkStart w:id="1435" w:name="_Toc14796_WPSOffice_Level3"/>
      <w:bookmarkStart w:id="1436" w:name="_Toc30653"/>
      <w:bookmarkStart w:id="1437" w:name="_Toc32012"/>
      <w:bookmarkStart w:id="1438" w:name="_Toc17531"/>
      <w:bookmarkStart w:id="1439" w:name="_Toc16163"/>
      <w:bookmarkStart w:id="1440" w:name="_Toc29897"/>
      <w:bookmarkStart w:id="1441" w:name="_Toc16085"/>
      <w:bookmarkStart w:id="1442" w:name="_Toc28023"/>
      <w:bookmarkStart w:id="1443" w:name="_Toc31391"/>
      <w:bookmarkStart w:id="1444" w:name="_Toc4635"/>
      <w:bookmarkStart w:id="1445" w:name="_Toc24945_WPSOffice_Level3"/>
      <w:bookmarkStart w:id="1446" w:name="_Toc4500"/>
      <w:bookmarkStart w:id="1447" w:name="_Toc12467"/>
      <w:bookmarkStart w:id="1448" w:name="_Toc27059"/>
      <w:bookmarkStart w:id="1449" w:name="_Toc6082"/>
      <w:bookmarkStart w:id="1450" w:name="_Toc23612"/>
      <w:bookmarkStart w:id="1451" w:name="_Toc13157"/>
      <w:bookmarkStart w:id="1452" w:name="_Toc26011"/>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.5固体废物治理措施及达标可行性分析</w:t>
      </w:r>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p>
    <w:p w14:paraId="3D32A283">
      <w:pPr>
        <w:pStyle w:val="20"/>
        <w:ind w:firstLine="480"/>
        <w:rPr>
          <w:rFonts w:hint="default" w:ascii="Times New Roman" w:hAnsi="Times New Roman" w:cs="Times New Roman"/>
          <w:color w:val="auto"/>
          <w:u w:val="none" w:color="auto"/>
        </w:rPr>
      </w:pPr>
      <w:bookmarkStart w:id="1453" w:name="_Toc25815_WPSOffice_Level3"/>
      <w:bookmarkStart w:id="1454" w:name="_Toc28872_WPSOffice_Level3"/>
      <w:bookmarkStart w:id="1455" w:name="_Toc27082"/>
      <w:bookmarkStart w:id="1456" w:name="_Toc12045"/>
      <w:bookmarkStart w:id="1457" w:name="_Toc26395"/>
      <w:bookmarkStart w:id="1458" w:name="_Toc5116"/>
      <w:bookmarkStart w:id="1459" w:name="_Toc12049"/>
      <w:bookmarkStart w:id="1460" w:name="_Toc20466"/>
      <w:r>
        <w:rPr>
          <w:rFonts w:hint="default" w:ascii="Times New Roman" w:hAnsi="Times New Roman" w:cs="Times New Roman"/>
          <w:color w:val="auto"/>
          <w:u w:val="none" w:color="auto"/>
        </w:rPr>
        <w:t>1、处置方式</w:t>
      </w:r>
      <w:bookmarkEnd w:id="1453"/>
      <w:bookmarkEnd w:id="1454"/>
    </w:p>
    <w:p w14:paraId="733A73E0">
      <w:pPr>
        <w:pStyle w:val="20"/>
        <w:ind w:firstLine="480"/>
        <w:rPr>
          <w:rFonts w:hint="default" w:ascii="Times New Roman" w:hAnsi="Times New Roman" w:cs="Times New Roman"/>
          <w:color w:val="auto"/>
          <w:u w:val="none" w:color="auto"/>
        </w:rPr>
      </w:pPr>
      <w:bookmarkStart w:id="1461" w:name="_Toc24548_WPSOffice_Level3"/>
      <w:bookmarkStart w:id="1462" w:name="_Toc5952_WPSOffice_Level3"/>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新建</w:t>
      </w:r>
      <w:r>
        <w:rPr>
          <w:rFonts w:hint="default" w:ascii="Times New Roman" w:hAnsi="Times New Roman" w:cs="Times New Roman"/>
          <w:color w:val="auto"/>
          <w:u w:val="none" w:color="auto"/>
        </w:rPr>
        <w:t>一般固体废物</w:t>
      </w:r>
      <w:r>
        <w:rPr>
          <w:rFonts w:hint="default" w:ascii="Times New Roman" w:hAnsi="Times New Roman" w:cs="Times New Roman"/>
          <w:color w:val="auto"/>
          <w:u w:val="none" w:color="auto"/>
          <w:lang w:eastAsia="zh-CN"/>
        </w:rPr>
        <w:t>暂存</w:t>
      </w:r>
      <w:r>
        <w:rPr>
          <w:rFonts w:hint="eastAsia" w:ascii="Times New Roman" w:hAnsi="Times New Roman" w:cs="Times New Roman"/>
          <w:color w:val="auto"/>
          <w:u w:val="none" w:color="auto"/>
          <w:lang w:val="en-US" w:eastAsia="zh-CN"/>
        </w:rPr>
        <w:t>间与危险废物暂存间</w:t>
      </w:r>
      <w:r>
        <w:rPr>
          <w:rFonts w:hint="default" w:ascii="Times New Roman" w:hAnsi="Times New Roman" w:cs="Times New Roman"/>
          <w:color w:val="auto"/>
          <w:u w:val="none" w:color="auto"/>
        </w:rPr>
        <w:t>，一般固体废物</w:t>
      </w:r>
      <w:r>
        <w:rPr>
          <w:rFonts w:hint="eastAsia" w:ascii="Times New Roman" w:hAnsi="Times New Roman" w:cs="Times New Roman"/>
          <w:color w:val="auto"/>
          <w:u w:val="none" w:color="auto"/>
          <w:lang w:val="en-US" w:eastAsia="zh-CN"/>
        </w:rPr>
        <w:t>需</w:t>
      </w:r>
      <w:r>
        <w:rPr>
          <w:rFonts w:hint="default" w:ascii="Times New Roman" w:hAnsi="Times New Roman" w:cs="Times New Roman"/>
          <w:color w:val="auto"/>
          <w:u w:val="none" w:color="auto"/>
        </w:rPr>
        <w:t>作好防风、防雨措施，地面进行硬化处理，危险废物暂存区</w:t>
      </w:r>
      <w:r>
        <w:rPr>
          <w:rFonts w:hint="eastAsia" w:ascii="Times New Roman" w:hAnsi="Times New Roman" w:cs="Times New Roman"/>
          <w:color w:val="auto"/>
          <w:u w:val="none" w:color="auto"/>
          <w:lang w:val="en-US" w:eastAsia="zh-CN"/>
        </w:rPr>
        <w:t>需</w:t>
      </w:r>
      <w:r>
        <w:rPr>
          <w:rFonts w:hint="default" w:ascii="Times New Roman" w:hAnsi="Times New Roman" w:cs="Times New Roman"/>
          <w:color w:val="auto"/>
          <w:u w:val="none" w:color="auto"/>
        </w:rPr>
        <w:t>作好防风、防雨、防晒，防渗防漏处理。项目一般固体废物的种类较多，收集的固废可分类暂存于暂存区。</w:t>
      </w:r>
    </w:p>
    <w:p w14:paraId="66E9A3F0">
      <w:pPr>
        <w:pStyle w:val="20"/>
        <w:ind w:firstLine="480"/>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除尘系统收集的粉尘、废膜、不合格品及边角料</w:t>
      </w:r>
      <w:r>
        <w:rPr>
          <w:rFonts w:hint="default" w:ascii="Times New Roman" w:hAnsi="Times New Roman" w:cs="Times New Roman"/>
          <w:color w:val="auto"/>
          <w:u w:val="none" w:color="auto"/>
          <w:lang w:eastAsia="zh-CN"/>
        </w:rPr>
        <w:t>回用于生产，</w:t>
      </w:r>
      <w:r>
        <w:rPr>
          <w:rFonts w:hint="eastAsia" w:ascii="Times New Roman" w:hAnsi="Times New Roman" w:cs="Times New Roman"/>
          <w:color w:val="auto"/>
          <w:u w:val="none" w:color="auto"/>
          <w:lang w:val="en-US" w:eastAsia="zh-CN"/>
        </w:rPr>
        <w:t>循环沉淀池沉渣、一般性废包装材料</w:t>
      </w:r>
      <w:r>
        <w:rPr>
          <w:rFonts w:hint="default" w:ascii="Times New Roman" w:hAnsi="Times New Roman" w:cs="Times New Roman"/>
          <w:color w:val="auto"/>
          <w:u w:val="none" w:color="auto"/>
        </w:rPr>
        <w:t>在一般固体废物暂存</w:t>
      </w:r>
      <w:r>
        <w:rPr>
          <w:rFonts w:hint="eastAsia" w:ascii="Times New Roman" w:hAnsi="Times New Roman" w:cs="Times New Roman"/>
          <w:color w:val="auto"/>
          <w:u w:val="none" w:color="auto"/>
          <w:lang w:val="en-US" w:eastAsia="zh-CN"/>
        </w:rPr>
        <w:t>间</w:t>
      </w:r>
      <w:r>
        <w:rPr>
          <w:rFonts w:hint="default" w:ascii="Times New Roman" w:hAnsi="Times New Roman" w:cs="Times New Roman"/>
          <w:color w:val="auto"/>
          <w:u w:val="none" w:color="auto"/>
        </w:rPr>
        <w:t>分类收集暂存</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定期</w:t>
      </w:r>
      <w:r>
        <w:rPr>
          <w:rFonts w:hint="eastAsia"/>
          <w:color w:val="auto"/>
          <w:u w:val="none" w:color="auto"/>
          <w:lang w:val="en-US" w:eastAsia="zh-CN"/>
        </w:rPr>
        <w:t>外售综合</w:t>
      </w:r>
      <w:r>
        <w:rPr>
          <w:rFonts w:hint="default"/>
          <w:color w:val="auto"/>
          <w:u w:val="none" w:color="auto"/>
        </w:rPr>
        <w:t>利用</w:t>
      </w:r>
      <w:r>
        <w:rPr>
          <w:rFonts w:hint="eastAsia"/>
          <w:color w:val="auto"/>
          <w:u w:val="none" w:color="auto"/>
          <w:lang w:val="en-US" w:eastAsia="zh-CN"/>
        </w:rPr>
        <w:t>或交由厂家回收</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项目一般固体废物的暂存需按照</w:t>
      </w:r>
      <w:r>
        <w:rPr>
          <w:rFonts w:ascii="Times New Roman" w:hAnsi="Times New Roman" w:eastAsia="宋体"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一般工业固体废物贮存和填埋污染控制标准</w:t>
      </w:r>
      <w:r>
        <w:rPr>
          <w:rFonts w:ascii="Times New Roman" w:hAnsi="Times New Roman" w:eastAsia="宋体" w:cs="Times New Roman"/>
          <w:color w:val="auto"/>
          <w:kern w:val="2"/>
          <w:sz w:val="24"/>
          <w:szCs w:val="24"/>
          <w:highlight w:val="none"/>
          <w:u w:val="none" w:color="auto"/>
          <w:lang w:val="en-US" w:eastAsia="zh-CN" w:bidi="ar-SA"/>
        </w:rPr>
        <w:t>》（GB18599-20</w:t>
      </w:r>
      <w:r>
        <w:rPr>
          <w:rFonts w:hint="eastAsia" w:ascii="Times New Roman" w:hAnsi="Times New Roman" w:eastAsia="宋体" w:cs="Times New Roman"/>
          <w:color w:val="auto"/>
          <w:kern w:val="2"/>
          <w:sz w:val="24"/>
          <w:szCs w:val="24"/>
          <w:highlight w:val="none"/>
          <w:u w:val="none" w:color="auto"/>
          <w:lang w:val="en-US" w:eastAsia="zh-CN" w:bidi="ar-SA"/>
        </w:rPr>
        <w:t>20</w:t>
      </w:r>
      <w:r>
        <w:rPr>
          <w:rFonts w:ascii="Times New Roman" w:hAnsi="Times New Roman" w:eastAsia="宋体" w:cs="Times New Roman"/>
          <w:color w:val="auto"/>
          <w:kern w:val="2"/>
          <w:sz w:val="24"/>
          <w:szCs w:val="24"/>
          <w:highlight w:val="none"/>
          <w:u w:val="none" w:color="auto"/>
          <w:lang w:val="en-US" w:eastAsia="zh-CN" w:bidi="ar-SA"/>
        </w:rPr>
        <w:t>）</w:t>
      </w:r>
      <w:r>
        <w:rPr>
          <w:rFonts w:hint="default" w:ascii="Times New Roman" w:hAnsi="Times New Roman" w:cs="Times New Roman"/>
          <w:color w:val="auto"/>
          <w:u w:val="none" w:color="auto"/>
        </w:rPr>
        <w:t>的相关要求管理规范暂存库，通过加强管理，不与危险废物和生活垃圾相混。</w:t>
      </w:r>
      <w:r>
        <w:rPr>
          <w:color w:val="auto"/>
          <w:sz w:val="24"/>
          <w:highlight w:val="none"/>
          <w:u w:val="none" w:color="auto"/>
        </w:rPr>
        <w:t>一般固废</w:t>
      </w:r>
      <w:r>
        <w:rPr>
          <w:rFonts w:hint="eastAsia"/>
          <w:color w:val="auto"/>
          <w:sz w:val="24"/>
          <w:highlight w:val="none"/>
          <w:u w:val="none" w:color="auto"/>
        </w:rPr>
        <w:t>暂存</w:t>
      </w:r>
      <w:r>
        <w:rPr>
          <w:color w:val="auto"/>
          <w:sz w:val="24"/>
          <w:highlight w:val="none"/>
          <w:u w:val="none" w:color="auto"/>
        </w:rPr>
        <w:t>间</w:t>
      </w:r>
      <w:r>
        <w:rPr>
          <w:rFonts w:hint="eastAsia"/>
          <w:color w:val="auto"/>
          <w:sz w:val="24"/>
          <w:highlight w:val="none"/>
          <w:u w:val="none" w:color="auto"/>
        </w:rPr>
        <w:t>位于</w:t>
      </w:r>
      <w:r>
        <w:rPr>
          <w:rFonts w:hint="eastAsia"/>
          <w:color w:val="auto"/>
          <w:sz w:val="24"/>
          <w:highlight w:val="none"/>
          <w:u w:val="none" w:color="auto"/>
          <w:lang w:val="en-US" w:eastAsia="zh-CN"/>
        </w:rPr>
        <w:t>1#厂房</w:t>
      </w:r>
      <w:r>
        <w:rPr>
          <w:rFonts w:hint="eastAsia"/>
          <w:color w:val="auto"/>
          <w:sz w:val="24"/>
          <w:highlight w:val="none"/>
          <w:u w:val="none" w:color="auto"/>
        </w:rPr>
        <w:t>，</w:t>
      </w:r>
      <w:r>
        <w:rPr>
          <w:color w:val="auto"/>
          <w:sz w:val="24"/>
          <w:highlight w:val="none"/>
          <w:u w:val="none" w:color="auto"/>
        </w:rPr>
        <w:t>占地面积</w:t>
      </w:r>
      <w:r>
        <w:rPr>
          <w:rFonts w:hint="eastAsia"/>
          <w:color w:val="auto"/>
          <w:sz w:val="24"/>
          <w:highlight w:val="none"/>
          <w:u w:val="none" w:color="auto"/>
          <w:lang w:val="en-US" w:eastAsia="zh-CN"/>
        </w:rPr>
        <w:t>50</w:t>
      </w:r>
      <w:r>
        <w:rPr>
          <w:rFonts w:hint="eastAsia"/>
          <w:color w:val="auto"/>
          <w:sz w:val="24"/>
          <w:highlight w:val="none"/>
          <w:u w:val="none" w:color="auto"/>
        </w:rPr>
        <w:t>m</w:t>
      </w:r>
      <w:r>
        <w:rPr>
          <w:color w:val="auto"/>
          <w:sz w:val="24"/>
          <w:highlight w:val="none"/>
          <w:u w:val="none" w:color="auto"/>
          <w:vertAlign w:val="superscript"/>
        </w:rPr>
        <w:t>2</w:t>
      </w:r>
      <w:r>
        <w:rPr>
          <w:rFonts w:hint="eastAsia"/>
          <w:color w:val="auto"/>
          <w:sz w:val="24"/>
          <w:highlight w:val="none"/>
          <w:u w:val="none" w:color="auto"/>
          <w:lang w:eastAsia="zh-CN"/>
        </w:rPr>
        <w:t>。</w:t>
      </w:r>
    </w:p>
    <w:p w14:paraId="46BD7115">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w:t>
      </w:r>
      <w:r>
        <w:rPr>
          <w:rFonts w:hint="default" w:ascii="Times New Roman" w:hAnsi="Times New Roman" w:cs="Times New Roman"/>
          <w:color w:val="auto"/>
          <w:u w:val="none" w:color="auto"/>
          <w:lang w:eastAsia="zh-CN"/>
        </w:rPr>
        <w:t>废活性炭、</w:t>
      </w:r>
      <w:r>
        <w:rPr>
          <w:rFonts w:hint="eastAsia" w:ascii="Times New Roman" w:hAnsi="Times New Roman" w:cs="Times New Roman"/>
          <w:color w:val="auto"/>
          <w:u w:val="none" w:color="auto"/>
          <w:lang w:val="en-US" w:eastAsia="zh-CN"/>
        </w:rPr>
        <w:t>废矿物油、溶剂型胶粘剂包装桶</w:t>
      </w:r>
      <w:r>
        <w:rPr>
          <w:rFonts w:hint="default" w:ascii="Times New Roman" w:hAnsi="Times New Roman" w:cs="Times New Roman"/>
          <w:color w:val="auto"/>
          <w:u w:val="none" w:color="auto"/>
        </w:rPr>
        <w:t>等属于危险废物</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lang w:eastAsia="zh-CN"/>
        </w:rPr>
        <w:t>定期交由有资质的单位处置。</w:t>
      </w:r>
      <w:r>
        <w:rPr>
          <w:rFonts w:hint="default" w:ascii="Times New Roman" w:hAnsi="Times New Roman" w:cs="Times New Roman"/>
          <w:color w:val="auto"/>
          <w:u w:val="none" w:color="auto"/>
        </w:rPr>
        <w:t>危险废物储存、运输、处置必须严格按《中华人民共和国固体废物污染环境防治法》、国家环保总局《关于发布〈危险废物污染防治技术政策〉的通知》[环发2001（199）号]及《危险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贮存污染控制标准（GB18597-20</w:t>
      </w:r>
      <w:r>
        <w:rPr>
          <w:rFonts w:hint="eastAsia" w:ascii="Times New Roman" w:hAnsi="Times New Roman" w:cs="Times New Roman"/>
          <w:color w:val="auto"/>
          <w:u w:val="none" w:color="auto"/>
          <w:lang w:val="en-US" w:eastAsia="zh-CN"/>
        </w:rPr>
        <w:t>23</w:t>
      </w:r>
      <w:r>
        <w:rPr>
          <w:rFonts w:hint="default" w:ascii="Times New Roman" w:hAnsi="Times New Roman" w:cs="Times New Roman"/>
          <w:color w:val="auto"/>
          <w:u w:val="none" w:color="auto"/>
        </w:rPr>
        <w:t>）》中的相关要求进行，在厂区内设专门的库房暂存并加强管理，库房要防风、防雨、防晒，地面与裙脚要用坚固、防渗的材料建造，硬化并进行防渗防漏处理，避免由于雨水淋溶、渗透等原因对地下水、地表水等环境产生不利影响，设施周围应设置围墙并做密闭处理。同时应严格履行国家与地方政府关于危险废物转移的规定，危险废物送至具有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处理资质的机构处置（与其签订处置协议），由具有防渗漏设施的专用车辆运输。严禁危险废物混入一般工业固废及生活垃圾中。项目危险固体废物按上述措施实施后，可满足环保要求，各类危险固体废物可得到有效处置。</w:t>
      </w:r>
    </w:p>
    <w:p w14:paraId="7984E353">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生活垃圾：本项目职工办公、生活产生的垃圾属于生活垃圾，建设单位在厂内设立垃圾收集箱，由环卫部门集中收集处理，对环境的影响很小。</w:t>
      </w:r>
    </w:p>
    <w:p w14:paraId="7AB3315D">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2、暂存措施</w:t>
      </w:r>
      <w:bookmarkEnd w:id="1461"/>
      <w:bookmarkEnd w:id="1462"/>
    </w:p>
    <w:p w14:paraId="66021264">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w:t>
      </w:r>
      <w:r>
        <w:rPr>
          <w:rFonts w:hint="eastAsia" w:ascii="Times New Roman" w:hAnsi="Times New Roman" w:cs="Times New Roman"/>
          <w:color w:val="auto"/>
          <w:u w:val="none" w:color="auto"/>
          <w:lang w:val="en-US" w:eastAsia="zh-CN"/>
        </w:rPr>
        <w:t>新建</w:t>
      </w:r>
      <w:r>
        <w:rPr>
          <w:rFonts w:hint="default" w:ascii="Times New Roman" w:hAnsi="Times New Roman" w:cs="Times New Roman"/>
          <w:color w:val="auto"/>
          <w:u w:val="none" w:color="auto"/>
        </w:rPr>
        <w:t>一般固体废物</w:t>
      </w:r>
      <w:r>
        <w:rPr>
          <w:rFonts w:hint="default" w:ascii="Times New Roman" w:hAnsi="Times New Roman" w:cs="Times New Roman"/>
          <w:color w:val="auto"/>
          <w:u w:val="none" w:color="auto"/>
          <w:lang w:eastAsia="zh-CN"/>
        </w:rPr>
        <w:t>暂存区</w:t>
      </w:r>
      <w:r>
        <w:rPr>
          <w:rFonts w:hint="eastAsia" w:ascii="Times New Roman" w:hAnsi="Times New Roman" w:cs="Times New Roman"/>
          <w:color w:val="auto"/>
          <w:u w:val="none" w:color="auto"/>
          <w:lang w:val="en-US" w:eastAsia="zh-CN"/>
        </w:rPr>
        <w:t>与危险废物暂存间</w:t>
      </w:r>
      <w:r>
        <w:rPr>
          <w:rFonts w:hint="default" w:ascii="Times New Roman" w:hAnsi="Times New Roman" w:cs="Times New Roman"/>
          <w:color w:val="auto"/>
          <w:u w:val="none" w:color="auto"/>
        </w:rPr>
        <w:t>，危险废物处置应严格按照以下规定及相关要求管理：</w:t>
      </w:r>
    </w:p>
    <w:p w14:paraId="0D147FC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中华人民共和国固体废物污染环境防治法（修订）》规定：对危险废物的容器和包装物以及收集、贮存、运输、处置危险废物的设施、场所、必须设置危险废物识别标志。厂内危险废物临时堆存应采取相应污染控制措施防止对环境产生影响；</w:t>
      </w:r>
    </w:p>
    <w:p w14:paraId="66DB4C4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必须按照国家有关规定制定危险废物管理计划：</w:t>
      </w:r>
    </w:p>
    <w:p w14:paraId="440849DD">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必须按照国家有关规定处置危险废物，不得擅自倾倒、堆放：</w:t>
      </w:r>
    </w:p>
    <w:p w14:paraId="2DD6C984">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事收集、贮存、处置危险废物经营活动的单位，必须向县级以上人民政府环境保护行政主管部门申请领取经营许可证；禁止将危险废物提供或者委托给无经营许可证的单位从事收集、贮存、利用、处置的经营活动。</w:t>
      </w:r>
    </w:p>
    <w:p w14:paraId="5BB81229">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转移危险废物的，须按照国家有关规定填写危险废物转移联单，并向危险废物移出地的市级以上地方人民政府环境保护行政主管部门提出申请。运输危险废物，必须采取防止污染环境的措施，并遵守国家有关危险货物运输管理的规定。</w:t>
      </w:r>
    </w:p>
    <w:p w14:paraId="448A970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收集、贮存、运输、处置危险废物的场所，设施、设备和容器，包装物及其他物品转作他用时，必须经过消除污染的处理．方可使用。</w:t>
      </w:r>
    </w:p>
    <w:p w14:paraId="72E3CB9C">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产生、收集、贮存、运输、利用、处置危险废物的单位、应当制定意外事故的防范措施和应急预案，并向所在地县级以上地方人民政府环境保护行政主管部门备案，环境保护行政主管部门应当进行检查。</w:t>
      </w:r>
    </w:p>
    <w:p w14:paraId="1366305F">
      <w:pPr>
        <w:pStyle w:val="20"/>
        <w:ind w:firstLine="480"/>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综上所述，本项目产生的各种固体废物均能得到妥善处置，对周围环境的影响较小。建设方应严格按照《危险废物贮存污染控制标准（GB18597-20</w:t>
      </w:r>
      <w:r>
        <w:rPr>
          <w:rFonts w:hint="eastAsia" w:ascii="Times New Roman" w:hAnsi="Times New Roman" w:cs="Times New Roman"/>
          <w:color w:val="auto"/>
          <w:u w:val="none" w:color="auto"/>
          <w:lang w:val="en-US" w:eastAsia="zh-CN"/>
        </w:rPr>
        <w:t>23</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要求</w:t>
      </w:r>
      <w:r>
        <w:rPr>
          <w:rFonts w:hint="default" w:ascii="Times New Roman" w:hAnsi="Times New Roman" w:cs="Times New Roman"/>
          <w:color w:val="auto"/>
          <w:u w:val="none" w:color="auto"/>
        </w:rPr>
        <w:t>建设危险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暂存间</w:t>
      </w:r>
      <w:r>
        <w:rPr>
          <w:rFonts w:hint="default" w:ascii="Times New Roman" w:hAnsi="Times New Roman" w:cs="Times New Roman"/>
          <w:color w:val="auto"/>
          <w:u w:val="none" w:color="auto"/>
          <w:lang w:eastAsia="zh-CN"/>
        </w:rPr>
        <w:t>：</w:t>
      </w:r>
    </w:p>
    <w:p w14:paraId="3A9598E8">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a．</w:t>
      </w:r>
      <w:r>
        <w:rPr>
          <w:rFonts w:hint="eastAsia" w:ascii="Times New Roman" w:hAnsi="Times New Roman" w:cs="Times New Roman"/>
          <w:color w:val="auto"/>
          <w:u w:val="none" w:color="auto"/>
          <w:lang w:val="en-US" w:eastAsia="zh-CN"/>
        </w:rPr>
        <w:t>贮存设施或贮存分区内地面、墙面群脚、堵截泄漏的围堰、接触危险废物的隔板和墙体等应采用坚固的材料建造，表面无裂缝</w:t>
      </w:r>
      <w:r>
        <w:rPr>
          <w:rFonts w:hint="default" w:ascii="Times New Roman" w:hAnsi="Times New Roman" w:cs="Times New Roman"/>
          <w:color w:val="auto"/>
          <w:u w:val="none" w:color="auto"/>
        </w:rPr>
        <w:t>。</w:t>
      </w:r>
    </w:p>
    <w:p w14:paraId="1F88C6AC">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b．</w:t>
      </w:r>
      <w:r>
        <w:rPr>
          <w:rFonts w:hint="eastAsia" w:ascii="Times New Roman" w:hAnsi="Times New Roman" w:cs="Times New Roman"/>
          <w:color w:val="auto"/>
          <w:u w:val="none" w:color="auto"/>
          <w:lang w:val="en-US" w:eastAsia="zh-CN"/>
        </w:rPr>
        <w:t>贮存设施地面与群脚应采取表面防渗措施</w:t>
      </w:r>
      <w:r>
        <w:rPr>
          <w:rFonts w:hint="default" w:ascii="Times New Roman" w:hAnsi="Times New Roman" w:cs="Times New Roman"/>
          <w:color w:val="auto"/>
          <w:u w:val="none" w:color="auto"/>
        </w:rPr>
        <w:t>。</w:t>
      </w:r>
    </w:p>
    <w:p w14:paraId="6A5569C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c．</w:t>
      </w:r>
      <w:r>
        <w:rPr>
          <w:rFonts w:hint="eastAsia" w:ascii="Times New Roman" w:hAnsi="Times New Roman" w:cs="Times New Roman"/>
          <w:color w:val="auto"/>
          <w:u w:val="none" w:color="auto"/>
          <w:lang w:val="en-US" w:eastAsia="zh-CN"/>
        </w:rPr>
        <w:t>同一贮存设施采用相同的防渗、防腐工艺；采用不同防渗、防腐工艺应分别建设贮存分区</w:t>
      </w:r>
      <w:r>
        <w:rPr>
          <w:rFonts w:hint="default" w:ascii="Times New Roman" w:hAnsi="Times New Roman" w:cs="Times New Roman"/>
          <w:color w:val="auto"/>
          <w:u w:val="none" w:color="auto"/>
        </w:rPr>
        <w:t>。</w:t>
      </w:r>
    </w:p>
    <w:p w14:paraId="3894DFA5">
      <w:pPr>
        <w:pStyle w:val="20"/>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f</w:t>
      </w:r>
      <w:r>
        <w:rPr>
          <w:rFonts w:hint="default" w:ascii="Times New Roman" w:hAnsi="Times New Roman" w:cs="Times New Roman"/>
          <w:color w:val="auto"/>
          <w:u w:val="none" w:color="auto"/>
        </w:rPr>
        <w:t>．应配备通讯设备、照明设施、安全防护服装，并设有报警装置和应急防护设施。</w:t>
      </w:r>
    </w:p>
    <w:p w14:paraId="6A47FDFB">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7</w:t>
      </w:r>
      <w:r>
        <w:rPr>
          <w:rFonts w:hint="default"/>
          <w:color w:val="auto"/>
          <w:u w:val="none" w:color="auto"/>
          <w:lang w:val="en-US" w:eastAsia="zh-CN"/>
        </w:rPr>
        <w:t>.2-</w:t>
      </w:r>
      <w:r>
        <w:rPr>
          <w:rFonts w:hint="eastAsia"/>
          <w:color w:val="auto"/>
          <w:u w:val="none" w:color="auto"/>
          <w:lang w:val="en-US" w:eastAsia="zh-CN"/>
        </w:rPr>
        <w:t>4</w:t>
      </w:r>
      <w:r>
        <w:rPr>
          <w:rFonts w:hint="default"/>
          <w:color w:val="auto"/>
          <w:u w:val="none" w:color="auto"/>
        </w:rPr>
        <w:t xml:space="preserve"> 建设项目危险废物贮存场所（设施）基本情况表</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157"/>
        <w:gridCol w:w="819"/>
        <w:gridCol w:w="819"/>
        <w:gridCol w:w="762"/>
        <w:gridCol w:w="861"/>
        <w:gridCol w:w="479"/>
        <w:gridCol w:w="668"/>
        <w:gridCol w:w="660"/>
        <w:gridCol w:w="705"/>
        <w:gridCol w:w="1170"/>
      </w:tblGrid>
      <w:tr w14:paraId="02A9F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49E19FED">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bookmarkStart w:id="1463" w:name="_Toc4206"/>
            <w:bookmarkStart w:id="1464" w:name="_Toc31210"/>
            <w:r>
              <w:rPr>
                <w:rFonts w:hint="default" w:ascii="Times New Roman" w:hAnsi="Times New Roman" w:eastAsia="宋体" w:cs="Times New Roman"/>
                <w:color w:val="auto"/>
                <w:sz w:val="21"/>
                <w:szCs w:val="21"/>
                <w:u w:val="none" w:color="auto"/>
              </w:rPr>
              <w:t>序号</w:t>
            </w:r>
          </w:p>
        </w:tc>
        <w:tc>
          <w:tcPr>
            <w:tcW w:w="1157" w:type="dxa"/>
            <w:tcBorders>
              <w:tl2br w:val="nil"/>
              <w:tr2bl w:val="nil"/>
            </w:tcBorders>
            <w:noWrap w:val="0"/>
            <w:vAlign w:val="center"/>
          </w:tcPr>
          <w:p w14:paraId="5E78A8E2">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危险废物</w:t>
            </w:r>
            <w:r>
              <w:rPr>
                <w:rFonts w:hint="default" w:ascii="Times New Roman" w:hAnsi="Times New Roman" w:eastAsia="宋体" w:cs="Times New Roman"/>
                <w:color w:val="auto"/>
                <w:sz w:val="21"/>
                <w:szCs w:val="21"/>
                <w:u w:val="none" w:color="auto"/>
              </w:rPr>
              <w:t>名称</w:t>
            </w:r>
          </w:p>
        </w:tc>
        <w:tc>
          <w:tcPr>
            <w:tcW w:w="819" w:type="dxa"/>
            <w:tcBorders>
              <w:tl2br w:val="nil"/>
              <w:tr2bl w:val="nil"/>
            </w:tcBorders>
            <w:noWrap w:val="0"/>
            <w:vAlign w:val="center"/>
          </w:tcPr>
          <w:p w14:paraId="30376096">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危险废物类别</w:t>
            </w:r>
          </w:p>
        </w:tc>
        <w:tc>
          <w:tcPr>
            <w:tcW w:w="819" w:type="dxa"/>
            <w:tcBorders>
              <w:tl2br w:val="nil"/>
              <w:tr2bl w:val="nil"/>
            </w:tcBorders>
            <w:noWrap w:val="0"/>
            <w:vAlign w:val="center"/>
          </w:tcPr>
          <w:p w14:paraId="708D14DF">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危险废物代码</w:t>
            </w:r>
          </w:p>
        </w:tc>
        <w:tc>
          <w:tcPr>
            <w:tcW w:w="762" w:type="dxa"/>
            <w:tcBorders>
              <w:tl2br w:val="nil"/>
              <w:tr2bl w:val="nil"/>
            </w:tcBorders>
            <w:noWrap w:val="0"/>
            <w:vAlign w:val="center"/>
          </w:tcPr>
          <w:p w14:paraId="6ABEAC7F">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产生</w:t>
            </w:r>
            <w:r>
              <w:rPr>
                <w:rFonts w:hint="default" w:ascii="Times New Roman" w:hAnsi="Times New Roman" w:eastAsia="宋体" w:cs="Times New Roman"/>
                <w:color w:val="auto"/>
                <w:sz w:val="21"/>
                <w:szCs w:val="21"/>
                <w:u w:val="none" w:color="auto"/>
              </w:rPr>
              <w:t>量(t/a)</w:t>
            </w:r>
          </w:p>
        </w:tc>
        <w:tc>
          <w:tcPr>
            <w:tcW w:w="861" w:type="dxa"/>
            <w:tcBorders>
              <w:tl2br w:val="nil"/>
              <w:tr2bl w:val="nil"/>
            </w:tcBorders>
            <w:noWrap w:val="0"/>
            <w:vAlign w:val="center"/>
          </w:tcPr>
          <w:p w14:paraId="1A100E6F">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产生来源</w:t>
            </w:r>
          </w:p>
        </w:tc>
        <w:tc>
          <w:tcPr>
            <w:tcW w:w="479" w:type="dxa"/>
            <w:tcBorders>
              <w:tl2br w:val="nil"/>
              <w:tr2bl w:val="nil"/>
            </w:tcBorders>
            <w:noWrap w:val="0"/>
            <w:vAlign w:val="center"/>
          </w:tcPr>
          <w:p w14:paraId="18CE471D">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形态</w:t>
            </w:r>
          </w:p>
        </w:tc>
        <w:tc>
          <w:tcPr>
            <w:tcW w:w="668" w:type="dxa"/>
            <w:tcBorders>
              <w:tl2br w:val="nil"/>
              <w:tr2bl w:val="nil"/>
            </w:tcBorders>
            <w:noWrap w:val="0"/>
            <w:vAlign w:val="center"/>
          </w:tcPr>
          <w:p w14:paraId="75E5FA0C">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主要</w:t>
            </w:r>
            <w:r>
              <w:rPr>
                <w:rFonts w:hint="default" w:ascii="Times New Roman" w:hAnsi="Times New Roman" w:eastAsia="宋体" w:cs="Times New Roman"/>
                <w:color w:val="auto"/>
                <w:sz w:val="21"/>
                <w:szCs w:val="21"/>
                <w:u w:val="none" w:color="auto"/>
                <w:lang w:eastAsia="zh-CN"/>
              </w:rPr>
              <w:t>有害</w:t>
            </w:r>
            <w:r>
              <w:rPr>
                <w:rFonts w:hint="default" w:ascii="Times New Roman" w:hAnsi="Times New Roman" w:eastAsia="宋体" w:cs="Times New Roman"/>
                <w:color w:val="auto"/>
                <w:sz w:val="21"/>
                <w:szCs w:val="21"/>
                <w:u w:val="none" w:color="auto"/>
              </w:rPr>
              <w:t>成分</w:t>
            </w:r>
          </w:p>
        </w:tc>
        <w:tc>
          <w:tcPr>
            <w:tcW w:w="660" w:type="dxa"/>
            <w:tcBorders>
              <w:tl2br w:val="nil"/>
              <w:tr2bl w:val="nil"/>
            </w:tcBorders>
            <w:noWrap w:val="0"/>
            <w:vAlign w:val="center"/>
          </w:tcPr>
          <w:p w14:paraId="52B6FBA3">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产废周期</w:t>
            </w:r>
          </w:p>
        </w:tc>
        <w:tc>
          <w:tcPr>
            <w:tcW w:w="705" w:type="dxa"/>
            <w:tcBorders>
              <w:tl2br w:val="nil"/>
              <w:tr2bl w:val="nil"/>
            </w:tcBorders>
            <w:noWrap w:val="0"/>
            <w:vAlign w:val="center"/>
          </w:tcPr>
          <w:p w14:paraId="588373E1">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危险特性</w:t>
            </w:r>
          </w:p>
        </w:tc>
        <w:tc>
          <w:tcPr>
            <w:tcW w:w="1170" w:type="dxa"/>
            <w:tcBorders>
              <w:tl2br w:val="nil"/>
              <w:tr2bl w:val="nil"/>
            </w:tcBorders>
            <w:noWrap w:val="0"/>
            <w:vAlign w:val="center"/>
          </w:tcPr>
          <w:p w14:paraId="61F6F7AB">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eastAsia="zh-CN"/>
              </w:rPr>
              <w:t>污染防治措施</w:t>
            </w:r>
          </w:p>
        </w:tc>
      </w:tr>
      <w:tr w14:paraId="2CCE24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0DF59E4D">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1157" w:type="dxa"/>
            <w:tcBorders>
              <w:tl2br w:val="nil"/>
              <w:tr2bl w:val="nil"/>
            </w:tcBorders>
            <w:noWrap w:val="0"/>
            <w:vAlign w:val="center"/>
          </w:tcPr>
          <w:p w14:paraId="7CF8B92F">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kern w:val="2"/>
                <w:sz w:val="21"/>
                <w:szCs w:val="21"/>
                <w:u w:val="none" w:color="auto"/>
                <w:lang w:val="en-US" w:eastAsia="zh-CN" w:bidi="ar-SA"/>
              </w:rPr>
              <w:t>废矿物油</w:t>
            </w:r>
          </w:p>
        </w:tc>
        <w:tc>
          <w:tcPr>
            <w:tcW w:w="819" w:type="dxa"/>
            <w:tcBorders>
              <w:tl2br w:val="nil"/>
              <w:tr2bl w:val="nil"/>
            </w:tcBorders>
            <w:noWrap w:val="0"/>
            <w:vAlign w:val="center"/>
          </w:tcPr>
          <w:p w14:paraId="10EFCFF9">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25D99D9D">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lang w:eastAsia="zh-CN"/>
              </w:rPr>
              <w:t>900-</w:t>
            </w:r>
            <w:r>
              <w:rPr>
                <w:rFonts w:hint="default" w:ascii="Times New Roman" w:hAnsi="Times New Roman" w:eastAsia="宋体" w:cs="Times New Roman"/>
                <w:color w:val="auto"/>
                <w:sz w:val="21"/>
                <w:szCs w:val="21"/>
                <w:u w:val="none" w:color="auto"/>
                <w:lang w:val="en-US" w:eastAsia="zh-CN"/>
              </w:rPr>
              <w:t>214-08</w:t>
            </w:r>
          </w:p>
        </w:tc>
        <w:tc>
          <w:tcPr>
            <w:tcW w:w="762" w:type="dxa"/>
            <w:tcBorders>
              <w:tl2br w:val="nil"/>
              <w:tr2bl w:val="nil"/>
            </w:tcBorders>
            <w:noWrap w:val="0"/>
            <w:vAlign w:val="center"/>
          </w:tcPr>
          <w:p w14:paraId="03A19733">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0.1</w:t>
            </w:r>
          </w:p>
        </w:tc>
        <w:tc>
          <w:tcPr>
            <w:tcW w:w="861" w:type="dxa"/>
            <w:tcBorders>
              <w:tl2br w:val="nil"/>
              <w:tr2bl w:val="nil"/>
            </w:tcBorders>
            <w:noWrap w:val="0"/>
            <w:vAlign w:val="center"/>
          </w:tcPr>
          <w:p w14:paraId="7ABB8C76">
            <w:pPr>
              <w:pStyle w:val="20"/>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设备维修</w:t>
            </w:r>
          </w:p>
        </w:tc>
        <w:tc>
          <w:tcPr>
            <w:tcW w:w="479" w:type="dxa"/>
            <w:tcBorders>
              <w:tl2br w:val="nil"/>
              <w:tr2bl w:val="nil"/>
            </w:tcBorders>
            <w:noWrap w:val="0"/>
            <w:vAlign w:val="center"/>
          </w:tcPr>
          <w:p w14:paraId="0B0949D4">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eastAsia="zh-CN"/>
              </w:rPr>
            </w:pPr>
            <w:r>
              <w:rPr>
                <w:rFonts w:hint="default" w:ascii="Times New Roman" w:hAnsi="Times New Roman" w:eastAsia="宋体" w:cs="Times New Roman"/>
                <w:color w:val="auto"/>
                <w:sz w:val="21"/>
                <w:szCs w:val="21"/>
                <w:u w:val="none" w:color="auto"/>
                <w:vertAlign w:val="baseline"/>
                <w:lang w:val="en-US" w:eastAsia="zh-CN"/>
              </w:rPr>
              <w:t>液</w:t>
            </w:r>
            <w:r>
              <w:rPr>
                <w:rFonts w:hint="default" w:ascii="Times New Roman" w:hAnsi="Times New Roman" w:eastAsia="宋体" w:cs="Times New Roman"/>
                <w:color w:val="auto"/>
                <w:sz w:val="21"/>
                <w:szCs w:val="21"/>
                <w:u w:val="none" w:color="auto"/>
                <w:vertAlign w:val="baseline"/>
                <w:lang w:eastAsia="zh-CN"/>
              </w:rPr>
              <w:t>体</w:t>
            </w:r>
          </w:p>
        </w:tc>
        <w:tc>
          <w:tcPr>
            <w:tcW w:w="668" w:type="dxa"/>
            <w:tcBorders>
              <w:tl2br w:val="nil"/>
              <w:tr2bl w:val="nil"/>
            </w:tcBorders>
            <w:noWrap w:val="0"/>
            <w:vAlign w:val="center"/>
          </w:tcPr>
          <w:p w14:paraId="2CFCC77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油类</w:t>
            </w:r>
          </w:p>
        </w:tc>
        <w:tc>
          <w:tcPr>
            <w:tcW w:w="660" w:type="dxa"/>
            <w:tcBorders>
              <w:tl2br w:val="nil"/>
              <w:tr2bl w:val="nil"/>
            </w:tcBorders>
            <w:noWrap w:val="0"/>
            <w:vAlign w:val="center"/>
          </w:tcPr>
          <w:p w14:paraId="386D574F">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一年</w:t>
            </w:r>
          </w:p>
        </w:tc>
        <w:tc>
          <w:tcPr>
            <w:tcW w:w="705" w:type="dxa"/>
            <w:tcBorders>
              <w:tl2br w:val="nil"/>
              <w:tr2bl w:val="nil"/>
            </w:tcBorders>
            <w:noWrap w:val="0"/>
            <w:vAlign w:val="center"/>
          </w:tcPr>
          <w:p w14:paraId="04627D27">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 xml:space="preserve">T，I </w:t>
            </w:r>
          </w:p>
        </w:tc>
        <w:tc>
          <w:tcPr>
            <w:tcW w:w="1170" w:type="dxa"/>
            <w:vMerge w:val="restart"/>
            <w:tcBorders>
              <w:tl2br w:val="nil"/>
              <w:tr2bl w:val="nil"/>
            </w:tcBorders>
            <w:noWrap w:val="0"/>
            <w:vAlign w:val="center"/>
          </w:tcPr>
          <w:p w14:paraId="663ADFEA">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eastAsia="zh-CN"/>
              </w:rPr>
              <w:t>暂存于危废暂存间、定期交由有资质单位处置</w:t>
            </w:r>
          </w:p>
        </w:tc>
      </w:tr>
      <w:tr w14:paraId="673359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6B38166A">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1157" w:type="dxa"/>
            <w:tcBorders>
              <w:tl2br w:val="nil"/>
              <w:tr2bl w:val="nil"/>
            </w:tcBorders>
            <w:noWrap w:val="0"/>
            <w:vAlign w:val="center"/>
          </w:tcPr>
          <w:p w14:paraId="6E455CC9">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u w:val="none" w:color="auto"/>
                <w:lang w:val="en-US" w:eastAsia="zh-CN"/>
              </w:rPr>
              <w:t>废活性炭</w:t>
            </w:r>
          </w:p>
        </w:tc>
        <w:tc>
          <w:tcPr>
            <w:tcW w:w="819" w:type="dxa"/>
            <w:tcBorders>
              <w:tl2br w:val="nil"/>
              <w:tr2bl w:val="nil"/>
            </w:tcBorders>
            <w:noWrap w:val="0"/>
            <w:vAlign w:val="center"/>
          </w:tcPr>
          <w:p w14:paraId="77FFBE8E">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HW49</w:t>
            </w:r>
          </w:p>
        </w:tc>
        <w:tc>
          <w:tcPr>
            <w:tcW w:w="819" w:type="dxa"/>
            <w:tcBorders>
              <w:tl2br w:val="nil"/>
              <w:tr2bl w:val="nil"/>
            </w:tcBorders>
            <w:noWrap w:val="0"/>
            <w:vAlign w:val="center"/>
          </w:tcPr>
          <w:p w14:paraId="10B89125">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900-039-49</w:t>
            </w:r>
          </w:p>
        </w:tc>
        <w:tc>
          <w:tcPr>
            <w:tcW w:w="762" w:type="dxa"/>
            <w:tcBorders>
              <w:tl2br w:val="nil"/>
              <w:tr2bl w:val="nil"/>
            </w:tcBorders>
            <w:noWrap w:val="0"/>
            <w:vAlign w:val="center"/>
          </w:tcPr>
          <w:p w14:paraId="37A4E208">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4.29</w:t>
            </w:r>
          </w:p>
        </w:tc>
        <w:tc>
          <w:tcPr>
            <w:tcW w:w="861" w:type="dxa"/>
            <w:tcBorders>
              <w:tl2br w:val="nil"/>
              <w:tr2bl w:val="nil"/>
            </w:tcBorders>
            <w:noWrap w:val="0"/>
            <w:vAlign w:val="center"/>
          </w:tcPr>
          <w:p w14:paraId="19EF46EB">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废气处理</w:t>
            </w:r>
          </w:p>
        </w:tc>
        <w:tc>
          <w:tcPr>
            <w:tcW w:w="479" w:type="dxa"/>
            <w:tcBorders>
              <w:tl2br w:val="nil"/>
              <w:tr2bl w:val="nil"/>
            </w:tcBorders>
            <w:noWrap w:val="0"/>
            <w:vAlign w:val="center"/>
          </w:tcPr>
          <w:p w14:paraId="2D60F8F5">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固体</w:t>
            </w:r>
          </w:p>
        </w:tc>
        <w:tc>
          <w:tcPr>
            <w:tcW w:w="668" w:type="dxa"/>
            <w:tcBorders>
              <w:tl2br w:val="nil"/>
              <w:tr2bl w:val="nil"/>
            </w:tcBorders>
            <w:noWrap w:val="0"/>
            <w:vAlign w:val="center"/>
          </w:tcPr>
          <w:p w14:paraId="3E640A0C">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default" w:ascii="Times New Roman" w:hAnsi="Times New Roman" w:eastAsia="宋体" w:cs="Times New Roman"/>
                <w:color w:val="auto"/>
                <w:sz w:val="21"/>
                <w:szCs w:val="21"/>
                <w:u w:val="none" w:color="auto"/>
                <w:vertAlign w:val="baseline"/>
                <w:lang w:val="en-US" w:eastAsia="zh-CN"/>
              </w:rPr>
              <w:t>吸附有机废气</w:t>
            </w:r>
          </w:p>
        </w:tc>
        <w:tc>
          <w:tcPr>
            <w:tcW w:w="660" w:type="dxa"/>
            <w:tcBorders>
              <w:tl2br w:val="nil"/>
              <w:tr2bl w:val="nil"/>
            </w:tcBorders>
            <w:noWrap w:val="0"/>
            <w:vAlign w:val="center"/>
          </w:tcPr>
          <w:p w14:paraId="2DD6C429">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季度</w:t>
            </w:r>
          </w:p>
        </w:tc>
        <w:tc>
          <w:tcPr>
            <w:tcW w:w="705" w:type="dxa"/>
            <w:tcBorders>
              <w:tl2br w:val="nil"/>
              <w:tr2bl w:val="nil"/>
            </w:tcBorders>
            <w:noWrap w:val="0"/>
            <w:vAlign w:val="center"/>
          </w:tcPr>
          <w:p w14:paraId="46682B51">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T</w:t>
            </w:r>
          </w:p>
        </w:tc>
        <w:tc>
          <w:tcPr>
            <w:tcW w:w="1170" w:type="dxa"/>
            <w:vMerge w:val="continue"/>
            <w:tcBorders>
              <w:tl2br w:val="nil"/>
              <w:tr2bl w:val="nil"/>
            </w:tcBorders>
            <w:noWrap w:val="0"/>
            <w:vAlign w:val="center"/>
          </w:tcPr>
          <w:p w14:paraId="62AFDBB5">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r w14:paraId="440435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422" w:type="dxa"/>
            <w:tcBorders>
              <w:tl2br w:val="nil"/>
              <w:tr2bl w:val="nil"/>
            </w:tcBorders>
            <w:noWrap w:val="0"/>
            <w:vAlign w:val="center"/>
          </w:tcPr>
          <w:p w14:paraId="35459A54">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3</w:t>
            </w:r>
          </w:p>
        </w:tc>
        <w:tc>
          <w:tcPr>
            <w:tcW w:w="1157" w:type="dxa"/>
            <w:tcBorders>
              <w:tl2br w:val="nil"/>
              <w:tr2bl w:val="nil"/>
            </w:tcBorders>
            <w:noWrap w:val="0"/>
            <w:vAlign w:val="center"/>
          </w:tcPr>
          <w:p w14:paraId="5FFAA76B">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溶剂型胶粘剂包装桶</w:t>
            </w:r>
          </w:p>
        </w:tc>
        <w:tc>
          <w:tcPr>
            <w:tcW w:w="819" w:type="dxa"/>
            <w:tcBorders>
              <w:tl2br w:val="nil"/>
              <w:tr2bl w:val="nil"/>
            </w:tcBorders>
            <w:noWrap w:val="0"/>
            <w:vAlign w:val="center"/>
          </w:tcPr>
          <w:p w14:paraId="526B3D27">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HW08</w:t>
            </w:r>
          </w:p>
        </w:tc>
        <w:tc>
          <w:tcPr>
            <w:tcW w:w="819" w:type="dxa"/>
            <w:tcBorders>
              <w:tl2br w:val="nil"/>
              <w:tr2bl w:val="nil"/>
            </w:tcBorders>
            <w:noWrap w:val="0"/>
            <w:vAlign w:val="center"/>
          </w:tcPr>
          <w:p w14:paraId="19380769">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900-210-08</w:t>
            </w:r>
          </w:p>
        </w:tc>
        <w:tc>
          <w:tcPr>
            <w:tcW w:w="762" w:type="dxa"/>
            <w:tcBorders>
              <w:tl2br w:val="nil"/>
              <w:tr2bl w:val="nil"/>
            </w:tcBorders>
            <w:noWrap w:val="0"/>
            <w:vAlign w:val="center"/>
          </w:tcPr>
          <w:p w14:paraId="1B26D0E0">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0.152</w:t>
            </w:r>
          </w:p>
        </w:tc>
        <w:tc>
          <w:tcPr>
            <w:tcW w:w="861" w:type="dxa"/>
            <w:tcBorders>
              <w:tl2br w:val="nil"/>
              <w:tr2bl w:val="nil"/>
            </w:tcBorders>
            <w:noWrap w:val="0"/>
            <w:vAlign w:val="center"/>
          </w:tcPr>
          <w:p w14:paraId="343F8430">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废气处理</w:t>
            </w:r>
          </w:p>
        </w:tc>
        <w:tc>
          <w:tcPr>
            <w:tcW w:w="479" w:type="dxa"/>
            <w:tcBorders>
              <w:tl2br w:val="nil"/>
              <w:tr2bl w:val="nil"/>
            </w:tcBorders>
            <w:noWrap w:val="0"/>
            <w:vAlign w:val="center"/>
          </w:tcPr>
          <w:p w14:paraId="5BFD8605">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固体</w:t>
            </w:r>
          </w:p>
        </w:tc>
        <w:tc>
          <w:tcPr>
            <w:tcW w:w="668" w:type="dxa"/>
            <w:tcBorders>
              <w:tl2br w:val="nil"/>
              <w:tr2bl w:val="nil"/>
            </w:tcBorders>
            <w:noWrap w:val="0"/>
            <w:vAlign w:val="center"/>
          </w:tcPr>
          <w:p w14:paraId="54C87BCA">
            <w:pPr>
              <w:pStyle w:val="24"/>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u w:val="none" w:color="auto"/>
                <w:vertAlign w:val="baseline"/>
                <w:lang w:val="en-US" w:eastAsia="zh-CN"/>
              </w:rPr>
            </w:pPr>
            <w:r>
              <w:rPr>
                <w:rFonts w:hint="eastAsia" w:ascii="Times New Roman" w:hAnsi="Times New Roman" w:eastAsia="宋体" w:cs="Times New Roman"/>
                <w:color w:val="auto"/>
                <w:sz w:val="21"/>
                <w:szCs w:val="21"/>
                <w:u w:val="none" w:color="auto"/>
                <w:vertAlign w:val="baseline"/>
                <w:lang w:val="en-US" w:eastAsia="zh-CN"/>
              </w:rPr>
              <w:t>有机溶剂</w:t>
            </w:r>
          </w:p>
        </w:tc>
        <w:tc>
          <w:tcPr>
            <w:tcW w:w="660" w:type="dxa"/>
            <w:tcBorders>
              <w:tl2br w:val="nil"/>
              <w:tr2bl w:val="nil"/>
            </w:tcBorders>
            <w:noWrap w:val="0"/>
            <w:vAlign w:val="center"/>
          </w:tcPr>
          <w:p w14:paraId="6A923E45">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季度</w:t>
            </w:r>
          </w:p>
        </w:tc>
        <w:tc>
          <w:tcPr>
            <w:tcW w:w="705" w:type="dxa"/>
            <w:tcBorders>
              <w:tl2br w:val="nil"/>
              <w:tr2bl w:val="nil"/>
            </w:tcBorders>
            <w:noWrap w:val="0"/>
            <w:vAlign w:val="center"/>
          </w:tcPr>
          <w:p w14:paraId="7F822AC6">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T，I</w:t>
            </w:r>
          </w:p>
        </w:tc>
        <w:tc>
          <w:tcPr>
            <w:tcW w:w="1170" w:type="dxa"/>
            <w:vMerge w:val="continue"/>
            <w:tcBorders>
              <w:tl2br w:val="nil"/>
              <w:tr2bl w:val="nil"/>
            </w:tcBorders>
            <w:noWrap w:val="0"/>
            <w:vAlign w:val="center"/>
          </w:tcPr>
          <w:p w14:paraId="08597B63">
            <w:pPr>
              <w:pStyle w:val="24"/>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color w:val="auto"/>
                <w:sz w:val="21"/>
                <w:szCs w:val="21"/>
                <w:u w:val="none" w:color="auto"/>
              </w:rPr>
            </w:pPr>
          </w:p>
        </w:tc>
      </w:tr>
    </w:tbl>
    <w:p w14:paraId="433B2846">
      <w:pPr>
        <w:pStyle w:val="4"/>
        <w:rPr>
          <w:rFonts w:hint="default" w:ascii="Times New Roman" w:hAnsi="Times New Roman" w:eastAsia="宋体" w:cs="Times New Roman"/>
          <w:color w:val="auto"/>
          <w:u w:val="none" w:color="auto"/>
          <w:lang w:val="en-US" w:eastAsia="zh-CN"/>
        </w:rPr>
      </w:pPr>
      <w:bookmarkStart w:id="1465" w:name="_Toc6115"/>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.2</w:t>
      </w:r>
      <w:r>
        <w:rPr>
          <w:rFonts w:hint="default" w:ascii="Times New Roman" w:hAnsi="Times New Roman" w:eastAsia="宋体" w:cs="Times New Roman"/>
          <w:color w:val="auto"/>
          <w:u w:val="none" w:color="auto"/>
          <w:lang w:val="en-US" w:eastAsia="zh-CN"/>
        </w:rPr>
        <w:t>.6土壤防治措施分析</w:t>
      </w:r>
      <w:bookmarkEnd w:id="1455"/>
      <w:bookmarkEnd w:id="1456"/>
      <w:bookmarkEnd w:id="1457"/>
      <w:bookmarkEnd w:id="1458"/>
      <w:bookmarkEnd w:id="1459"/>
      <w:bookmarkEnd w:id="1460"/>
      <w:bookmarkEnd w:id="1463"/>
      <w:bookmarkEnd w:id="1464"/>
      <w:bookmarkEnd w:id="1465"/>
      <w:r>
        <w:rPr>
          <w:rFonts w:hint="default" w:ascii="Times New Roman" w:hAnsi="Times New Roman" w:eastAsia="宋体" w:cs="Times New Roman"/>
          <w:color w:val="auto"/>
          <w:u w:val="none" w:color="auto"/>
          <w:lang w:val="en-US" w:eastAsia="zh-CN"/>
        </w:rPr>
        <w:t xml:space="preserve"> </w:t>
      </w:r>
    </w:p>
    <w:p w14:paraId="434250E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根据现场调查，项目厂界周边</w:t>
      </w:r>
      <w:r>
        <w:rPr>
          <w:rFonts w:hint="eastAsia" w:ascii="Times New Roman" w:hAnsi="Times New Roman" w:cs="Times New Roman"/>
          <w:color w:val="auto"/>
          <w:u w:val="none" w:color="auto"/>
          <w:lang w:val="en-US" w:eastAsia="zh-CN"/>
        </w:rPr>
        <w:t>无</w:t>
      </w:r>
      <w:r>
        <w:rPr>
          <w:rFonts w:hint="default" w:ascii="Times New Roman" w:hAnsi="Times New Roman" w:cs="Times New Roman"/>
          <w:color w:val="auto"/>
          <w:u w:val="none" w:color="auto"/>
        </w:rPr>
        <w:t>居民点，</w:t>
      </w:r>
      <w:r>
        <w:rPr>
          <w:rFonts w:hint="eastAsia" w:ascii="Times New Roman" w:hAnsi="Times New Roman" w:cs="Times New Roman"/>
          <w:color w:val="auto"/>
          <w:u w:val="none" w:color="auto"/>
          <w:lang w:val="en-US" w:eastAsia="zh-CN"/>
        </w:rPr>
        <w:t>无</w:t>
      </w:r>
      <w:r>
        <w:rPr>
          <w:rFonts w:hint="default" w:ascii="Times New Roman" w:hAnsi="Times New Roman" w:cs="Times New Roman"/>
          <w:color w:val="auto"/>
          <w:u w:val="none" w:color="auto"/>
        </w:rPr>
        <w:t>耕地、园地，区域内地面大部分实现硬化和绿化，对区域土壤环境影响极小。本项目废气经采取相应的措施后，外排废气各因子均能达到规定排放限值要求。生产过程未使用有毒有害化学药剂。项目对土壤环境的影响主要是危废暂存间等。企业应加强管理，保证企业固废尤其是危险</w:t>
      </w:r>
      <w:r>
        <w:rPr>
          <w:rFonts w:hint="eastAsia" w:ascii="Times New Roman" w:hAnsi="Times New Roman" w:cs="Times New Roman"/>
          <w:color w:val="auto"/>
          <w:u w:val="none" w:color="auto"/>
          <w:lang w:val="en-US" w:eastAsia="zh-CN"/>
        </w:rPr>
        <w:t>废物</w:t>
      </w:r>
      <w:r>
        <w:rPr>
          <w:rFonts w:hint="default" w:ascii="Times New Roman" w:hAnsi="Times New Roman" w:cs="Times New Roman"/>
          <w:color w:val="auto"/>
          <w:u w:val="none" w:color="auto"/>
        </w:rPr>
        <w:t>，在暂存和存贮过程中注意防雨、防渗，以避免固废渗滤液污染土壤环境，对企业重点防渗区域严格按相关标准要求实施与管理，取上述措施后，项目对土壤环境影响较小。</w:t>
      </w:r>
    </w:p>
    <w:p w14:paraId="76CC944D">
      <w:pPr>
        <w:pStyle w:val="4"/>
        <w:bidi w:val="0"/>
        <w:rPr>
          <w:rFonts w:hint="default" w:ascii="Times New Roman" w:hAnsi="Times New Roman" w:cs="Times New Roman"/>
          <w:color w:val="auto"/>
          <w:u w:val="none" w:color="auto"/>
          <w:lang w:eastAsia="zh-CN"/>
        </w:rPr>
      </w:pPr>
      <w:bookmarkStart w:id="1466" w:name="_Toc26396"/>
      <w:bookmarkStart w:id="1467" w:name="_Toc4566"/>
      <w:bookmarkStart w:id="1468" w:name="_Toc29174"/>
      <w:bookmarkStart w:id="1469" w:name="_Toc15879"/>
      <w:r>
        <w:rPr>
          <w:rFonts w:hint="eastAsia" w:ascii="Times New Roman" w:hAnsi="Times New Roman" w:cs="Times New Roman"/>
          <w:color w:val="auto"/>
          <w:u w:val="none" w:color="auto"/>
          <w:lang w:val="en-US" w:eastAsia="zh-CN"/>
        </w:rPr>
        <w:t>7</w:t>
      </w:r>
      <w:r>
        <w:rPr>
          <w:rFonts w:hint="default" w:ascii="Times New Roman" w:hAnsi="Times New Roman" w:cs="Times New Roman"/>
          <w:color w:val="auto"/>
          <w:u w:val="none" w:color="auto"/>
          <w:lang w:val="en-US" w:eastAsia="zh-CN"/>
        </w:rPr>
        <w:t>.2.7</w:t>
      </w:r>
      <w:r>
        <w:rPr>
          <w:rFonts w:hint="default" w:ascii="Times New Roman" w:hAnsi="Times New Roman" w:cs="Times New Roman"/>
          <w:color w:val="auto"/>
          <w:u w:val="none" w:color="auto"/>
          <w:lang w:eastAsia="zh-CN"/>
        </w:rPr>
        <w:t>环保措施及投资估算</w:t>
      </w:r>
      <w:bookmarkEnd w:id="1466"/>
      <w:bookmarkEnd w:id="1467"/>
      <w:bookmarkEnd w:id="1468"/>
      <w:bookmarkEnd w:id="1469"/>
    </w:p>
    <w:p w14:paraId="453EA65C">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本</w:t>
      </w:r>
      <w:r>
        <w:rPr>
          <w:rFonts w:hint="default" w:ascii="Times New Roman" w:hAnsi="Times New Roman" w:cs="Times New Roman"/>
          <w:color w:val="auto"/>
          <w:u w:val="none" w:color="auto"/>
        </w:rPr>
        <w:t>项目总投资约</w:t>
      </w:r>
      <w:r>
        <w:rPr>
          <w:rFonts w:hint="eastAsia" w:cs="Times New Roman"/>
          <w:color w:val="auto"/>
          <w:u w:val="none" w:color="auto"/>
          <w:lang w:val="en-US" w:eastAsia="zh-CN"/>
        </w:rPr>
        <w:t>3000</w:t>
      </w:r>
      <w:r>
        <w:rPr>
          <w:rFonts w:hint="default" w:ascii="Times New Roman" w:hAnsi="Times New Roman" w:cs="Times New Roman"/>
          <w:color w:val="auto"/>
          <w:u w:val="none" w:color="auto"/>
        </w:rPr>
        <w:t>万元，环保投资</w:t>
      </w:r>
      <w:r>
        <w:rPr>
          <w:rFonts w:hint="eastAsia" w:ascii="Times New Roman" w:hAnsi="Times New Roman" w:cs="Times New Roman"/>
          <w:color w:val="auto"/>
          <w:u w:val="none" w:color="auto"/>
          <w:lang w:val="en-US" w:eastAsia="zh-CN"/>
        </w:rPr>
        <w:t>9</w:t>
      </w:r>
      <w:r>
        <w:rPr>
          <w:rFonts w:hint="eastAsia" w:cs="Times New Roman"/>
          <w:color w:val="auto"/>
          <w:u w:val="none" w:color="auto"/>
          <w:lang w:val="en-US" w:eastAsia="zh-CN"/>
        </w:rPr>
        <w:t>8</w:t>
      </w:r>
      <w:r>
        <w:rPr>
          <w:rFonts w:hint="default" w:ascii="Times New Roman" w:hAnsi="Times New Roman" w:cs="Times New Roman"/>
          <w:color w:val="auto"/>
          <w:u w:val="none" w:color="auto"/>
        </w:rPr>
        <w:t>万元，占项目建设投资的比例为</w:t>
      </w:r>
      <w:r>
        <w:rPr>
          <w:rFonts w:hint="eastAsia" w:cs="Times New Roman"/>
          <w:color w:val="auto"/>
          <w:u w:val="none" w:color="auto"/>
          <w:lang w:val="en-US" w:eastAsia="zh-CN"/>
        </w:rPr>
        <w:t>3.27</w:t>
      </w:r>
      <w:r>
        <w:rPr>
          <w:rFonts w:hint="default" w:ascii="Times New Roman" w:hAnsi="Times New Roman" w:cs="Times New Roman"/>
          <w:color w:val="auto"/>
          <w:u w:val="none" w:color="auto"/>
          <w:lang w:val="en-US" w:eastAsia="zh-CN"/>
        </w:rPr>
        <w:t>%</w:t>
      </w:r>
      <w:r>
        <w:rPr>
          <w:rFonts w:hint="default" w:ascii="Times New Roman" w:hAnsi="Times New Roman" w:cs="Times New Roman"/>
          <w:color w:val="auto"/>
          <w:u w:val="none" w:color="auto"/>
          <w:lang w:eastAsia="zh-CN"/>
        </w:rPr>
        <w:t>，具体环保措施及投资情况见下表</w:t>
      </w:r>
      <w:r>
        <w:rPr>
          <w:rFonts w:hint="default" w:ascii="Times New Roman" w:hAnsi="Times New Roman" w:cs="Times New Roman"/>
          <w:color w:val="auto"/>
          <w:u w:val="none" w:color="auto"/>
        </w:rPr>
        <w:t>。</w:t>
      </w:r>
    </w:p>
    <w:p w14:paraId="377ECA6F">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7</w:t>
      </w:r>
      <w:r>
        <w:rPr>
          <w:rFonts w:hint="default"/>
          <w:color w:val="auto"/>
          <w:u w:val="none" w:color="auto"/>
          <w:lang w:val="en-US" w:eastAsia="zh-CN"/>
        </w:rPr>
        <w:t>.2</w:t>
      </w:r>
      <w:r>
        <w:rPr>
          <w:rFonts w:hint="default"/>
          <w:color w:val="auto"/>
          <w:u w:val="none" w:color="auto"/>
        </w:rPr>
        <w:t>-</w:t>
      </w:r>
      <w:r>
        <w:rPr>
          <w:rFonts w:hint="eastAsia"/>
          <w:color w:val="auto"/>
          <w:u w:val="none" w:color="auto"/>
          <w:lang w:val="en-US" w:eastAsia="zh-CN"/>
        </w:rPr>
        <w:t xml:space="preserve">5 </w:t>
      </w:r>
      <w:r>
        <w:rPr>
          <w:rFonts w:hint="default"/>
          <w:color w:val="auto"/>
          <w:u w:val="none" w:color="auto"/>
        </w:rPr>
        <w:t>环保设施投资估算表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28" w:type="dxa"/>
          <w:bottom w:w="0" w:type="dxa"/>
          <w:right w:w="28" w:type="dxa"/>
        </w:tblCellMar>
      </w:tblPr>
      <w:tblGrid>
        <w:gridCol w:w="464"/>
        <w:gridCol w:w="1050"/>
        <w:gridCol w:w="1497"/>
        <w:gridCol w:w="3384"/>
        <w:gridCol w:w="930"/>
        <w:gridCol w:w="1037"/>
      </w:tblGrid>
      <w:tr w14:paraId="729C68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tcBorders>
              <w:tl2br w:val="nil"/>
              <w:tr2bl w:val="nil"/>
            </w:tcBorders>
            <w:noWrap w:val="0"/>
            <w:vAlign w:val="center"/>
          </w:tcPr>
          <w:p w14:paraId="2450E685">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序号</w:t>
            </w:r>
          </w:p>
        </w:tc>
        <w:tc>
          <w:tcPr>
            <w:tcW w:w="1050" w:type="dxa"/>
            <w:tcBorders>
              <w:tl2br w:val="nil"/>
              <w:tr2bl w:val="nil"/>
            </w:tcBorders>
            <w:noWrap w:val="0"/>
            <w:vAlign w:val="center"/>
          </w:tcPr>
          <w:p w14:paraId="635255B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环境工程项目</w:t>
            </w:r>
          </w:p>
        </w:tc>
        <w:tc>
          <w:tcPr>
            <w:tcW w:w="1497" w:type="dxa"/>
            <w:tcBorders>
              <w:tl2br w:val="nil"/>
              <w:tr2bl w:val="nil"/>
            </w:tcBorders>
            <w:noWrap w:val="0"/>
            <w:vAlign w:val="center"/>
          </w:tcPr>
          <w:p w14:paraId="6A7D4DF5">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污染物类别</w:t>
            </w:r>
          </w:p>
        </w:tc>
        <w:tc>
          <w:tcPr>
            <w:tcW w:w="3384" w:type="dxa"/>
            <w:tcBorders>
              <w:tl2br w:val="nil"/>
              <w:tr2bl w:val="nil"/>
            </w:tcBorders>
            <w:noWrap w:val="0"/>
            <w:vAlign w:val="center"/>
          </w:tcPr>
          <w:p w14:paraId="051C10F6">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环保措施</w:t>
            </w:r>
          </w:p>
        </w:tc>
        <w:tc>
          <w:tcPr>
            <w:tcW w:w="930" w:type="dxa"/>
            <w:tcBorders>
              <w:tl2br w:val="nil"/>
              <w:tr2bl w:val="nil"/>
            </w:tcBorders>
            <w:noWrap w:val="0"/>
            <w:vAlign w:val="center"/>
          </w:tcPr>
          <w:p w14:paraId="1C472497">
            <w:pPr>
              <w:pStyle w:val="24"/>
              <w:rPr>
                <w:rFonts w:hint="default" w:ascii="Times New Roman" w:hAnsi="Times New Roman" w:cs="Times New Roman"/>
                <w:color w:val="auto"/>
                <w:u w:val="none" w:color="auto"/>
              </w:rPr>
            </w:pPr>
            <w:r>
              <w:rPr>
                <w:rFonts w:hint="eastAsia" w:ascii="Times New Roman" w:hAnsi="Times New Roman" w:cs="Times New Roman"/>
                <w:color w:val="auto"/>
                <w:u w:val="none" w:color="auto"/>
                <w:lang w:val="en-US" w:eastAsia="zh-CN"/>
              </w:rPr>
              <w:t>投资</w:t>
            </w:r>
            <w:r>
              <w:rPr>
                <w:rFonts w:hint="default" w:ascii="Times New Roman" w:hAnsi="Times New Roman" w:cs="Times New Roman"/>
                <w:color w:val="auto"/>
                <w:u w:val="none" w:color="auto"/>
              </w:rPr>
              <w:t>(万元)</w:t>
            </w:r>
          </w:p>
        </w:tc>
        <w:tc>
          <w:tcPr>
            <w:tcW w:w="1037" w:type="dxa"/>
            <w:tcBorders>
              <w:tl2br w:val="nil"/>
              <w:tr2bl w:val="nil"/>
            </w:tcBorders>
            <w:noWrap w:val="0"/>
            <w:vAlign w:val="center"/>
          </w:tcPr>
          <w:p w14:paraId="38C38B4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备注</w:t>
            </w:r>
          </w:p>
        </w:tc>
      </w:tr>
      <w:tr w14:paraId="58A676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240" w:hRule="atLeast"/>
          <w:jc w:val="center"/>
        </w:trPr>
        <w:tc>
          <w:tcPr>
            <w:tcW w:w="464" w:type="dxa"/>
            <w:vMerge w:val="restart"/>
            <w:tcBorders>
              <w:tl2br w:val="nil"/>
              <w:tr2bl w:val="nil"/>
            </w:tcBorders>
            <w:noWrap w:val="0"/>
            <w:vAlign w:val="center"/>
          </w:tcPr>
          <w:p w14:paraId="00AE2C54">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1</w:t>
            </w:r>
          </w:p>
        </w:tc>
        <w:tc>
          <w:tcPr>
            <w:tcW w:w="1050" w:type="dxa"/>
            <w:vMerge w:val="restart"/>
            <w:tcBorders>
              <w:tl2br w:val="nil"/>
              <w:tr2bl w:val="nil"/>
            </w:tcBorders>
            <w:noWrap w:val="0"/>
            <w:vAlign w:val="center"/>
          </w:tcPr>
          <w:p w14:paraId="451FD3D6">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废水处理工程</w:t>
            </w:r>
          </w:p>
        </w:tc>
        <w:tc>
          <w:tcPr>
            <w:tcW w:w="1497" w:type="dxa"/>
            <w:tcBorders>
              <w:tl2br w:val="nil"/>
              <w:tr2bl w:val="nil"/>
            </w:tcBorders>
            <w:noWrap w:val="0"/>
            <w:vAlign w:val="center"/>
          </w:tcPr>
          <w:p w14:paraId="393B11ED">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生活污水</w:t>
            </w:r>
          </w:p>
        </w:tc>
        <w:tc>
          <w:tcPr>
            <w:tcW w:w="3384" w:type="dxa"/>
            <w:tcBorders>
              <w:tl2br w:val="nil"/>
              <w:tr2bl w:val="nil"/>
            </w:tcBorders>
            <w:noWrap w:val="0"/>
            <w:vAlign w:val="center"/>
          </w:tcPr>
          <w:p w14:paraId="79600E54">
            <w:pPr>
              <w:pStyle w:val="24"/>
              <w:rPr>
                <w:rFonts w:hint="eastAsia" w:ascii="Times New Roman" w:hAnsi="Times New Roman" w:eastAsia="宋体" w:cs="Times New Roman"/>
                <w:color w:val="auto"/>
                <w:u w:val="none" w:color="auto"/>
                <w:lang w:eastAsia="zh-CN"/>
              </w:rPr>
            </w:pPr>
            <w:r>
              <w:rPr>
                <w:rFonts w:hint="eastAsia" w:cs="Times New Roman"/>
                <w:color w:val="auto"/>
                <w:u w:val="none" w:color="auto"/>
                <w:lang w:eastAsia="zh-CN"/>
              </w:rPr>
              <w:t>化粪池</w:t>
            </w:r>
          </w:p>
        </w:tc>
        <w:tc>
          <w:tcPr>
            <w:tcW w:w="930" w:type="dxa"/>
            <w:tcBorders>
              <w:tl2br w:val="nil"/>
              <w:tr2bl w:val="nil"/>
            </w:tcBorders>
            <w:noWrap w:val="0"/>
            <w:vAlign w:val="center"/>
          </w:tcPr>
          <w:p w14:paraId="4ED5B4E4">
            <w:pPr>
              <w:pStyle w:val="24"/>
              <w:rPr>
                <w:rFonts w:hint="eastAsia" w:ascii="Times New Roman" w:hAnsi="Times New Roman" w:eastAsia="宋体" w:cs="Times New Roman"/>
                <w:color w:val="auto"/>
                <w:u w:val="none" w:color="auto"/>
                <w:lang w:eastAsia="zh-CN"/>
              </w:rPr>
            </w:pPr>
            <w:r>
              <w:rPr>
                <w:rFonts w:hint="eastAsia" w:ascii="Times New Roman" w:hAnsi="Times New Roman" w:cs="Times New Roman"/>
                <w:color w:val="auto"/>
                <w:u w:val="none" w:color="auto"/>
                <w:lang w:val="en-US" w:eastAsia="zh-CN"/>
              </w:rPr>
              <w:t>2</w:t>
            </w:r>
          </w:p>
        </w:tc>
        <w:tc>
          <w:tcPr>
            <w:tcW w:w="1037" w:type="dxa"/>
            <w:tcBorders>
              <w:tl2br w:val="nil"/>
              <w:tr2bl w:val="nil"/>
            </w:tcBorders>
            <w:noWrap w:val="0"/>
            <w:vAlign w:val="center"/>
          </w:tcPr>
          <w:p w14:paraId="677B37CE">
            <w:pPr>
              <w:pStyle w:val="24"/>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新建</w:t>
            </w:r>
          </w:p>
        </w:tc>
      </w:tr>
      <w:tr w14:paraId="65996F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continue"/>
            <w:tcBorders>
              <w:tl2br w:val="nil"/>
              <w:tr2bl w:val="nil"/>
            </w:tcBorders>
            <w:noWrap w:val="0"/>
            <w:vAlign w:val="center"/>
          </w:tcPr>
          <w:p w14:paraId="00A85E36">
            <w:pPr>
              <w:pStyle w:val="24"/>
              <w:rPr>
                <w:rFonts w:hint="default" w:ascii="Times New Roman" w:hAnsi="Times New Roman" w:cs="Times New Roman"/>
                <w:color w:val="auto"/>
                <w:u w:val="none" w:color="auto"/>
              </w:rPr>
            </w:pPr>
          </w:p>
        </w:tc>
        <w:tc>
          <w:tcPr>
            <w:tcW w:w="1050" w:type="dxa"/>
            <w:vMerge w:val="continue"/>
            <w:tcBorders>
              <w:tl2br w:val="nil"/>
              <w:tr2bl w:val="nil"/>
            </w:tcBorders>
            <w:noWrap w:val="0"/>
            <w:vAlign w:val="center"/>
          </w:tcPr>
          <w:p w14:paraId="1B81055E">
            <w:pPr>
              <w:pStyle w:val="24"/>
              <w:rPr>
                <w:rFonts w:hint="default" w:ascii="Times New Roman" w:hAnsi="Times New Roman" w:cs="Times New Roman"/>
                <w:color w:val="auto"/>
                <w:u w:val="none" w:color="auto"/>
              </w:rPr>
            </w:pPr>
          </w:p>
        </w:tc>
        <w:tc>
          <w:tcPr>
            <w:tcW w:w="1497" w:type="dxa"/>
            <w:tcBorders>
              <w:tl2br w:val="nil"/>
              <w:tr2bl w:val="nil"/>
            </w:tcBorders>
            <w:noWrap w:val="0"/>
            <w:vAlign w:val="center"/>
          </w:tcPr>
          <w:p w14:paraId="43E4390D">
            <w:pPr>
              <w:pStyle w:val="24"/>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冷却水</w:t>
            </w:r>
          </w:p>
        </w:tc>
        <w:tc>
          <w:tcPr>
            <w:tcW w:w="3384" w:type="dxa"/>
            <w:tcBorders>
              <w:tl2br w:val="nil"/>
              <w:tr2bl w:val="nil"/>
            </w:tcBorders>
            <w:noWrap w:val="0"/>
            <w:vAlign w:val="center"/>
          </w:tcPr>
          <w:p w14:paraId="228E92F1">
            <w:pPr>
              <w:pStyle w:val="24"/>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冷却循环水池+冷却塔</w:t>
            </w:r>
          </w:p>
        </w:tc>
        <w:tc>
          <w:tcPr>
            <w:tcW w:w="930" w:type="dxa"/>
            <w:tcBorders>
              <w:tl2br w:val="nil"/>
              <w:tr2bl w:val="nil"/>
            </w:tcBorders>
            <w:noWrap w:val="0"/>
            <w:vAlign w:val="center"/>
          </w:tcPr>
          <w:p w14:paraId="0593CEC5">
            <w:pPr>
              <w:pStyle w:val="24"/>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4</w:t>
            </w:r>
          </w:p>
        </w:tc>
        <w:tc>
          <w:tcPr>
            <w:tcW w:w="1037" w:type="dxa"/>
            <w:tcBorders>
              <w:tl2br w:val="nil"/>
              <w:tr2bl w:val="nil"/>
            </w:tcBorders>
            <w:noWrap w:val="0"/>
            <w:vAlign w:val="center"/>
          </w:tcPr>
          <w:p w14:paraId="172D947E">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新建</w:t>
            </w:r>
          </w:p>
        </w:tc>
      </w:tr>
      <w:tr w14:paraId="56B235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1048" w:hRule="atLeast"/>
          <w:jc w:val="center"/>
        </w:trPr>
        <w:tc>
          <w:tcPr>
            <w:tcW w:w="464" w:type="dxa"/>
            <w:vMerge w:val="restart"/>
            <w:tcBorders>
              <w:tl2br w:val="nil"/>
              <w:tr2bl w:val="nil"/>
            </w:tcBorders>
            <w:noWrap w:val="0"/>
            <w:vAlign w:val="center"/>
          </w:tcPr>
          <w:p w14:paraId="06E9A05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2</w:t>
            </w:r>
          </w:p>
        </w:tc>
        <w:tc>
          <w:tcPr>
            <w:tcW w:w="1050" w:type="dxa"/>
            <w:vMerge w:val="restart"/>
            <w:tcBorders>
              <w:tl2br w:val="nil"/>
              <w:tr2bl w:val="nil"/>
            </w:tcBorders>
            <w:noWrap w:val="0"/>
            <w:vAlign w:val="center"/>
          </w:tcPr>
          <w:p w14:paraId="1C55B6BF">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废气治理工程</w:t>
            </w:r>
          </w:p>
        </w:tc>
        <w:tc>
          <w:tcPr>
            <w:tcW w:w="1497" w:type="dxa"/>
            <w:tcBorders>
              <w:tl2br w:val="nil"/>
              <w:tr2bl w:val="nil"/>
            </w:tcBorders>
            <w:noWrap w:val="0"/>
            <w:vAlign w:val="center"/>
          </w:tcPr>
          <w:p w14:paraId="1835A260">
            <w:pPr>
              <w:pStyle w:val="24"/>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破碎、磨粉、其他辅料投料、混料废气</w:t>
            </w:r>
          </w:p>
        </w:tc>
        <w:tc>
          <w:tcPr>
            <w:tcW w:w="3384" w:type="dxa"/>
            <w:tcBorders>
              <w:tl2br w:val="nil"/>
              <w:tr2bl w:val="nil"/>
            </w:tcBorders>
            <w:noWrap w:val="0"/>
            <w:vAlign w:val="center"/>
          </w:tcPr>
          <w:p w14:paraId="7C9F1491">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投料口设置三方密闭，集气罩+垂帘+布袋除尘器+15m高DA001排气筒</w:t>
            </w:r>
          </w:p>
        </w:tc>
        <w:tc>
          <w:tcPr>
            <w:tcW w:w="930" w:type="dxa"/>
            <w:tcBorders>
              <w:tl2br w:val="nil"/>
              <w:tr2bl w:val="nil"/>
            </w:tcBorders>
            <w:noWrap w:val="0"/>
            <w:vAlign w:val="center"/>
          </w:tcPr>
          <w:p w14:paraId="4008CF63">
            <w:pPr>
              <w:pStyle w:val="24"/>
              <w:rPr>
                <w:rFonts w:hint="default" w:cs="Times New Roman"/>
                <w:color w:val="auto"/>
                <w:u w:val="none" w:color="auto"/>
                <w:lang w:val="en-US" w:eastAsia="zh-CN"/>
              </w:rPr>
            </w:pPr>
            <w:r>
              <w:rPr>
                <w:rFonts w:hint="eastAsia" w:cs="Times New Roman"/>
                <w:color w:val="auto"/>
                <w:u w:val="none" w:color="auto"/>
                <w:lang w:val="en-US" w:eastAsia="zh-CN"/>
              </w:rPr>
              <w:t>20</w:t>
            </w:r>
          </w:p>
        </w:tc>
        <w:tc>
          <w:tcPr>
            <w:tcW w:w="1037" w:type="dxa"/>
            <w:tcBorders>
              <w:tl2br w:val="nil"/>
              <w:tr2bl w:val="nil"/>
            </w:tcBorders>
            <w:noWrap w:val="0"/>
            <w:vAlign w:val="center"/>
          </w:tcPr>
          <w:p w14:paraId="5085C3D7">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新建</w:t>
            </w:r>
          </w:p>
        </w:tc>
      </w:tr>
      <w:tr w14:paraId="6A6838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continue"/>
            <w:tcBorders>
              <w:tl2br w:val="nil"/>
              <w:tr2bl w:val="nil"/>
            </w:tcBorders>
            <w:noWrap w:val="0"/>
            <w:vAlign w:val="center"/>
          </w:tcPr>
          <w:p w14:paraId="41C63580">
            <w:pPr>
              <w:pStyle w:val="24"/>
              <w:rPr>
                <w:rFonts w:hint="default" w:ascii="Times New Roman" w:hAnsi="Times New Roman" w:cs="Times New Roman"/>
                <w:color w:val="auto"/>
                <w:u w:val="none" w:color="auto"/>
              </w:rPr>
            </w:pPr>
          </w:p>
        </w:tc>
        <w:tc>
          <w:tcPr>
            <w:tcW w:w="1050" w:type="dxa"/>
            <w:vMerge w:val="continue"/>
            <w:tcBorders>
              <w:tl2br w:val="nil"/>
              <w:tr2bl w:val="nil"/>
            </w:tcBorders>
            <w:noWrap w:val="0"/>
            <w:vAlign w:val="center"/>
          </w:tcPr>
          <w:p w14:paraId="50BE0C07">
            <w:pPr>
              <w:pStyle w:val="24"/>
              <w:rPr>
                <w:rFonts w:hint="default" w:ascii="Times New Roman" w:hAnsi="Times New Roman" w:cs="Times New Roman"/>
                <w:color w:val="auto"/>
                <w:u w:val="none" w:color="auto"/>
              </w:rPr>
            </w:pPr>
          </w:p>
        </w:tc>
        <w:tc>
          <w:tcPr>
            <w:tcW w:w="1497" w:type="dxa"/>
            <w:tcBorders>
              <w:tl2br w:val="nil"/>
              <w:tr2bl w:val="nil"/>
            </w:tcBorders>
            <w:noWrap w:val="0"/>
            <w:vAlign w:val="center"/>
          </w:tcPr>
          <w:p w14:paraId="1221D5C6">
            <w:pPr>
              <w:pStyle w:val="24"/>
              <w:rPr>
                <w:rFonts w:hint="default" w:cs="Times New Roman"/>
                <w:color w:val="auto"/>
                <w:u w:val="none" w:color="auto"/>
                <w:lang w:val="en-US" w:eastAsia="zh-CN"/>
              </w:rPr>
            </w:pPr>
            <w:r>
              <w:rPr>
                <w:rFonts w:hint="eastAsia" w:cs="Times New Roman"/>
                <w:color w:val="auto"/>
                <w:u w:val="none" w:color="auto"/>
                <w:lang w:val="en-US" w:eastAsia="zh-CN"/>
              </w:rPr>
              <w:t>1#厂房挤出、覆膜废气</w:t>
            </w:r>
          </w:p>
        </w:tc>
        <w:tc>
          <w:tcPr>
            <w:tcW w:w="3384" w:type="dxa"/>
            <w:tcBorders>
              <w:tl2br w:val="nil"/>
              <w:tr2bl w:val="nil"/>
            </w:tcBorders>
            <w:noWrap w:val="0"/>
            <w:vAlign w:val="center"/>
          </w:tcPr>
          <w:p w14:paraId="51DEE1D7">
            <w:pPr>
              <w:pStyle w:val="24"/>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集气罩+垂帘+两级活性炭+15m高DA002排气筒</w:t>
            </w:r>
          </w:p>
        </w:tc>
        <w:tc>
          <w:tcPr>
            <w:tcW w:w="930" w:type="dxa"/>
            <w:tcBorders>
              <w:tl2br w:val="nil"/>
              <w:tr2bl w:val="nil"/>
            </w:tcBorders>
            <w:noWrap w:val="0"/>
            <w:vAlign w:val="center"/>
          </w:tcPr>
          <w:p w14:paraId="6C109101">
            <w:pPr>
              <w:pStyle w:val="24"/>
              <w:rPr>
                <w:rFonts w:hint="default" w:cs="Times New Roman"/>
                <w:color w:val="auto"/>
                <w:u w:val="none" w:color="auto"/>
                <w:lang w:val="en-US" w:eastAsia="zh-CN"/>
              </w:rPr>
            </w:pPr>
            <w:r>
              <w:rPr>
                <w:rFonts w:hint="eastAsia" w:cs="Times New Roman"/>
                <w:color w:val="auto"/>
                <w:u w:val="none" w:color="auto"/>
                <w:lang w:val="en-US" w:eastAsia="zh-CN"/>
              </w:rPr>
              <w:t>20</w:t>
            </w:r>
          </w:p>
        </w:tc>
        <w:tc>
          <w:tcPr>
            <w:tcW w:w="1037" w:type="dxa"/>
            <w:tcBorders>
              <w:tl2br w:val="nil"/>
              <w:tr2bl w:val="nil"/>
            </w:tcBorders>
            <w:noWrap w:val="0"/>
            <w:vAlign w:val="center"/>
          </w:tcPr>
          <w:p w14:paraId="41A63E7C">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新建</w:t>
            </w:r>
          </w:p>
        </w:tc>
      </w:tr>
      <w:tr w14:paraId="4B8B2E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continue"/>
            <w:tcBorders>
              <w:tl2br w:val="nil"/>
              <w:tr2bl w:val="nil"/>
            </w:tcBorders>
            <w:noWrap w:val="0"/>
            <w:vAlign w:val="center"/>
          </w:tcPr>
          <w:p w14:paraId="1605E95A">
            <w:pPr>
              <w:pStyle w:val="24"/>
              <w:rPr>
                <w:rFonts w:hint="default" w:ascii="Times New Roman" w:hAnsi="Times New Roman" w:cs="Times New Roman"/>
                <w:color w:val="auto"/>
                <w:u w:val="none" w:color="auto"/>
              </w:rPr>
            </w:pPr>
          </w:p>
        </w:tc>
        <w:tc>
          <w:tcPr>
            <w:tcW w:w="1050" w:type="dxa"/>
            <w:vMerge w:val="continue"/>
            <w:tcBorders>
              <w:tl2br w:val="nil"/>
              <w:tr2bl w:val="nil"/>
            </w:tcBorders>
            <w:noWrap w:val="0"/>
            <w:vAlign w:val="center"/>
          </w:tcPr>
          <w:p w14:paraId="4A8D246E">
            <w:pPr>
              <w:pStyle w:val="24"/>
              <w:rPr>
                <w:rFonts w:hint="default" w:ascii="Times New Roman" w:hAnsi="Times New Roman" w:cs="Times New Roman"/>
                <w:color w:val="auto"/>
                <w:u w:val="none" w:color="auto"/>
              </w:rPr>
            </w:pPr>
          </w:p>
        </w:tc>
        <w:tc>
          <w:tcPr>
            <w:tcW w:w="1497" w:type="dxa"/>
            <w:tcBorders>
              <w:tl2br w:val="nil"/>
              <w:tr2bl w:val="nil"/>
            </w:tcBorders>
            <w:noWrap w:val="0"/>
            <w:vAlign w:val="center"/>
          </w:tcPr>
          <w:p w14:paraId="6DFD88F1">
            <w:pPr>
              <w:pStyle w:val="24"/>
              <w:rPr>
                <w:rFonts w:hint="default"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2#厂房覆膜废气</w:t>
            </w:r>
          </w:p>
        </w:tc>
        <w:tc>
          <w:tcPr>
            <w:tcW w:w="3384" w:type="dxa"/>
            <w:tcBorders>
              <w:tl2br w:val="nil"/>
              <w:tr2bl w:val="nil"/>
            </w:tcBorders>
            <w:noWrap w:val="0"/>
            <w:vAlign w:val="center"/>
          </w:tcPr>
          <w:p w14:paraId="37B0843C">
            <w:pPr>
              <w:pStyle w:val="24"/>
              <w:rPr>
                <w:rFonts w:hint="default" w:ascii="Times New Roman" w:hAnsi="Times New Roman" w:cs="Times New Roman"/>
                <w:color w:val="auto"/>
                <w:u w:val="none" w:color="auto"/>
                <w:lang w:val="en-US" w:eastAsia="zh-CN"/>
              </w:rPr>
            </w:pPr>
            <w:r>
              <w:rPr>
                <w:rFonts w:hint="eastAsia" w:ascii="Times New Roman" w:hAnsi="Times New Roman" w:eastAsia="宋体" w:cs="Times New Roman"/>
                <w:color w:val="auto"/>
                <w:highlight w:val="none"/>
                <w:u w:val="none" w:color="auto"/>
                <w:lang w:val="en-US" w:eastAsia="zh-CN"/>
              </w:rPr>
              <w:t>集气罩+垂帘（</w:t>
            </w:r>
            <w:r>
              <w:rPr>
                <w:rFonts w:hint="eastAsia" w:ascii="Times New Roman" w:hAnsi="Times New Roman" w:cs="Times New Roman"/>
                <w:color w:val="auto"/>
                <w:u w:val="none" w:color="auto"/>
                <w:lang w:val="en-US" w:eastAsia="zh-CN"/>
              </w:rPr>
              <w:t>溶剂型胶粘剂覆膜机加装设置为区域半封闭）</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两级</w:t>
            </w:r>
            <w:r>
              <w:rPr>
                <w:rFonts w:hint="default" w:ascii="Times New Roman" w:hAnsi="Times New Roman" w:cs="Times New Roman"/>
                <w:color w:val="auto"/>
                <w:u w:val="none" w:color="auto"/>
                <w:lang w:val="en-US" w:eastAsia="zh-CN"/>
              </w:rPr>
              <w:t>活性炭吸附+</w:t>
            </w:r>
            <w:r>
              <w:rPr>
                <w:rFonts w:hint="eastAsia" w:ascii="Times New Roman" w:hAnsi="Times New Roman" w:cs="Times New Roman"/>
                <w:color w:val="auto"/>
                <w:u w:val="none" w:color="auto"/>
                <w:lang w:val="en-US" w:eastAsia="zh-CN"/>
              </w:rPr>
              <w:t>15</w:t>
            </w:r>
            <w:r>
              <w:rPr>
                <w:rFonts w:hint="default" w:ascii="Times New Roman" w:hAnsi="Times New Roman" w:cs="Times New Roman"/>
                <w:color w:val="auto"/>
                <w:u w:val="none" w:color="auto"/>
                <w:lang w:val="en-US" w:eastAsia="zh-CN"/>
              </w:rPr>
              <w:t>米高</w:t>
            </w:r>
            <w:r>
              <w:rPr>
                <w:rFonts w:hint="eastAsia" w:ascii="Times New Roman" w:hAnsi="Times New Roman" w:cs="Times New Roman"/>
                <w:color w:val="auto"/>
                <w:u w:val="none" w:color="auto"/>
                <w:lang w:val="en-US" w:eastAsia="zh-CN"/>
              </w:rPr>
              <w:t>DA003</w:t>
            </w:r>
            <w:r>
              <w:rPr>
                <w:rFonts w:hint="default" w:ascii="Times New Roman" w:hAnsi="Times New Roman" w:cs="Times New Roman"/>
                <w:color w:val="auto"/>
                <w:u w:val="none" w:color="auto"/>
                <w:lang w:val="en-US" w:eastAsia="zh-CN"/>
              </w:rPr>
              <w:t>排气筒</w:t>
            </w:r>
          </w:p>
        </w:tc>
        <w:tc>
          <w:tcPr>
            <w:tcW w:w="930" w:type="dxa"/>
            <w:tcBorders>
              <w:tl2br w:val="nil"/>
              <w:tr2bl w:val="nil"/>
            </w:tcBorders>
            <w:noWrap w:val="0"/>
            <w:vAlign w:val="center"/>
          </w:tcPr>
          <w:p w14:paraId="361676B7">
            <w:pPr>
              <w:pStyle w:val="24"/>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25</w:t>
            </w:r>
          </w:p>
        </w:tc>
        <w:tc>
          <w:tcPr>
            <w:tcW w:w="1037" w:type="dxa"/>
            <w:tcBorders>
              <w:tl2br w:val="nil"/>
              <w:tr2bl w:val="nil"/>
            </w:tcBorders>
            <w:noWrap w:val="0"/>
            <w:vAlign w:val="center"/>
          </w:tcPr>
          <w:p w14:paraId="057D1DFC">
            <w:pPr>
              <w:pStyle w:val="24"/>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新建</w:t>
            </w:r>
          </w:p>
        </w:tc>
      </w:tr>
      <w:tr w14:paraId="51AC49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90" w:hRule="atLeast"/>
          <w:jc w:val="center"/>
        </w:trPr>
        <w:tc>
          <w:tcPr>
            <w:tcW w:w="464" w:type="dxa"/>
            <w:vMerge w:val="restart"/>
            <w:tcBorders>
              <w:tl2br w:val="nil"/>
              <w:tr2bl w:val="nil"/>
            </w:tcBorders>
            <w:noWrap w:val="0"/>
            <w:vAlign w:val="center"/>
          </w:tcPr>
          <w:p w14:paraId="48C5B8AE">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3</w:t>
            </w:r>
          </w:p>
        </w:tc>
        <w:tc>
          <w:tcPr>
            <w:tcW w:w="1050" w:type="dxa"/>
            <w:vMerge w:val="restart"/>
            <w:tcBorders>
              <w:tl2br w:val="nil"/>
              <w:tr2bl w:val="nil"/>
            </w:tcBorders>
            <w:noWrap w:val="0"/>
            <w:vAlign w:val="center"/>
          </w:tcPr>
          <w:p w14:paraId="0F1BC686">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固废处置工程</w:t>
            </w:r>
          </w:p>
        </w:tc>
        <w:tc>
          <w:tcPr>
            <w:tcW w:w="1497" w:type="dxa"/>
            <w:tcBorders>
              <w:tl2br w:val="nil"/>
              <w:tr2bl w:val="nil"/>
            </w:tcBorders>
            <w:noWrap w:val="0"/>
            <w:vAlign w:val="center"/>
          </w:tcPr>
          <w:p w14:paraId="32EE84C0">
            <w:pPr>
              <w:pStyle w:val="24"/>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lang w:val="en-US" w:eastAsia="zh-CN"/>
              </w:rPr>
              <w:t>一般固废</w:t>
            </w:r>
          </w:p>
        </w:tc>
        <w:tc>
          <w:tcPr>
            <w:tcW w:w="3384" w:type="dxa"/>
            <w:tcBorders>
              <w:tl2br w:val="nil"/>
              <w:tr2bl w:val="nil"/>
            </w:tcBorders>
            <w:noWrap w:val="0"/>
            <w:vAlign w:val="center"/>
          </w:tcPr>
          <w:p w14:paraId="29C08A8C">
            <w:pPr>
              <w:pStyle w:val="24"/>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一般固废暂存区</w:t>
            </w:r>
          </w:p>
        </w:tc>
        <w:tc>
          <w:tcPr>
            <w:tcW w:w="930" w:type="dxa"/>
            <w:tcBorders>
              <w:tl2br w:val="nil"/>
              <w:tr2bl w:val="nil"/>
            </w:tcBorders>
            <w:noWrap w:val="0"/>
            <w:vAlign w:val="center"/>
          </w:tcPr>
          <w:p w14:paraId="743A1DA8">
            <w:pPr>
              <w:pStyle w:val="24"/>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2</w:t>
            </w:r>
          </w:p>
        </w:tc>
        <w:tc>
          <w:tcPr>
            <w:tcW w:w="1037" w:type="dxa"/>
            <w:vMerge w:val="restart"/>
            <w:tcBorders>
              <w:tl2br w:val="nil"/>
              <w:tr2bl w:val="nil"/>
            </w:tcBorders>
            <w:noWrap w:val="0"/>
            <w:vAlign w:val="center"/>
          </w:tcPr>
          <w:p w14:paraId="1E64BB7B">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新建</w:t>
            </w:r>
          </w:p>
        </w:tc>
      </w:tr>
      <w:tr w14:paraId="2EFB77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vMerge w:val="continue"/>
            <w:tcBorders>
              <w:tl2br w:val="nil"/>
              <w:tr2bl w:val="nil"/>
            </w:tcBorders>
            <w:noWrap w:val="0"/>
            <w:vAlign w:val="center"/>
          </w:tcPr>
          <w:p w14:paraId="7413847C">
            <w:pPr>
              <w:pStyle w:val="24"/>
              <w:rPr>
                <w:rFonts w:hint="default" w:ascii="Times New Roman" w:hAnsi="Times New Roman" w:cs="Times New Roman"/>
                <w:color w:val="auto"/>
                <w:u w:val="none" w:color="auto"/>
              </w:rPr>
            </w:pPr>
          </w:p>
        </w:tc>
        <w:tc>
          <w:tcPr>
            <w:tcW w:w="1050" w:type="dxa"/>
            <w:vMerge w:val="continue"/>
            <w:tcBorders>
              <w:tl2br w:val="nil"/>
              <w:tr2bl w:val="nil"/>
            </w:tcBorders>
            <w:noWrap w:val="0"/>
            <w:vAlign w:val="center"/>
          </w:tcPr>
          <w:p w14:paraId="4A135EE4">
            <w:pPr>
              <w:pStyle w:val="24"/>
              <w:rPr>
                <w:rFonts w:hint="default" w:ascii="Times New Roman" w:hAnsi="Times New Roman" w:cs="Times New Roman"/>
                <w:color w:val="auto"/>
                <w:u w:val="none" w:color="auto"/>
              </w:rPr>
            </w:pPr>
          </w:p>
        </w:tc>
        <w:tc>
          <w:tcPr>
            <w:tcW w:w="1497" w:type="dxa"/>
            <w:tcBorders>
              <w:tl2br w:val="nil"/>
              <w:tr2bl w:val="nil"/>
            </w:tcBorders>
            <w:noWrap w:val="0"/>
            <w:vAlign w:val="center"/>
          </w:tcPr>
          <w:p w14:paraId="2E5524EA">
            <w:pPr>
              <w:pStyle w:val="24"/>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危险废物</w:t>
            </w:r>
          </w:p>
        </w:tc>
        <w:tc>
          <w:tcPr>
            <w:tcW w:w="3384" w:type="dxa"/>
            <w:tcBorders>
              <w:tl2br w:val="nil"/>
              <w:tr2bl w:val="nil"/>
            </w:tcBorders>
            <w:noWrap w:val="0"/>
            <w:vAlign w:val="center"/>
          </w:tcPr>
          <w:p w14:paraId="3E2F8741">
            <w:pPr>
              <w:pStyle w:val="24"/>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lang w:eastAsia="zh-CN"/>
              </w:rPr>
              <w:t>危险废物暂存间</w:t>
            </w:r>
          </w:p>
        </w:tc>
        <w:tc>
          <w:tcPr>
            <w:tcW w:w="930" w:type="dxa"/>
            <w:tcBorders>
              <w:tl2br w:val="nil"/>
              <w:tr2bl w:val="nil"/>
            </w:tcBorders>
            <w:noWrap w:val="0"/>
            <w:vAlign w:val="center"/>
          </w:tcPr>
          <w:p w14:paraId="1646461B">
            <w:pPr>
              <w:pStyle w:val="24"/>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3</w:t>
            </w:r>
          </w:p>
        </w:tc>
        <w:tc>
          <w:tcPr>
            <w:tcW w:w="1037" w:type="dxa"/>
            <w:vMerge w:val="continue"/>
            <w:tcBorders>
              <w:tl2br w:val="nil"/>
              <w:tr2bl w:val="nil"/>
            </w:tcBorders>
            <w:noWrap w:val="0"/>
            <w:vAlign w:val="center"/>
          </w:tcPr>
          <w:p w14:paraId="3B7E4C8F">
            <w:pPr>
              <w:pStyle w:val="24"/>
              <w:rPr>
                <w:rFonts w:hint="default" w:ascii="Times New Roman" w:hAnsi="Times New Roman" w:cs="Times New Roman"/>
                <w:color w:val="auto"/>
                <w:u w:val="none" w:color="auto"/>
              </w:rPr>
            </w:pPr>
          </w:p>
        </w:tc>
      </w:tr>
      <w:tr w14:paraId="7DACD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tcBorders>
              <w:tl2br w:val="nil"/>
              <w:tr2bl w:val="nil"/>
            </w:tcBorders>
            <w:noWrap w:val="0"/>
            <w:vAlign w:val="center"/>
          </w:tcPr>
          <w:p w14:paraId="7A41BE68">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4</w:t>
            </w:r>
          </w:p>
        </w:tc>
        <w:tc>
          <w:tcPr>
            <w:tcW w:w="1050" w:type="dxa"/>
            <w:tcBorders>
              <w:tl2br w:val="nil"/>
              <w:tr2bl w:val="nil"/>
            </w:tcBorders>
            <w:noWrap w:val="0"/>
            <w:vAlign w:val="center"/>
          </w:tcPr>
          <w:p w14:paraId="024A4C45">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噪声治理工程</w:t>
            </w:r>
          </w:p>
        </w:tc>
        <w:tc>
          <w:tcPr>
            <w:tcW w:w="1497" w:type="dxa"/>
            <w:tcBorders>
              <w:tl2br w:val="nil"/>
              <w:tr2bl w:val="nil"/>
            </w:tcBorders>
            <w:noWrap w:val="0"/>
            <w:vAlign w:val="center"/>
          </w:tcPr>
          <w:p w14:paraId="3CA561BA">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生产设备噪声</w:t>
            </w:r>
          </w:p>
        </w:tc>
        <w:tc>
          <w:tcPr>
            <w:tcW w:w="3384" w:type="dxa"/>
            <w:tcBorders>
              <w:tl2br w:val="nil"/>
              <w:tr2bl w:val="nil"/>
            </w:tcBorders>
            <w:noWrap w:val="0"/>
            <w:vAlign w:val="center"/>
          </w:tcPr>
          <w:p w14:paraId="37B4E6B6">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隔声、加强厂区绿化</w:t>
            </w:r>
          </w:p>
        </w:tc>
        <w:tc>
          <w:tcPr>
            <w:tcW w:w="930" w:type="dxa"/>
            <w:tcBorders>
              <w:tl2br w:val="nil"/>
              <w:tr2bl w:val="nil"/>
            </w:tcBorders>
            <w:noWrap w:val="0"/>
            <w:vAlign w:val="center"/>
          </w:tcPr>
          <w:p w14:paraId="16BEDA40">
            <w:pPr>
              <w:pStyle w:val="24"/>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2</w:t>
            </w:r>
          </w:p>
        </w:tc>
        <w:tc>
          <w:tcPr>
            <w:tcW w:w="1037" w:type="dxa"/>
            <w:tcBorders>
              <w:tl2br w:val="nil"/>
              <w:tr2bl w:val="nil"/>
            </w:tcBorders>
            <w:noWrap w:val="0"/>
            <w:vAlign w:val="center"/>
          </w:tcPr>
          <w:p w14:paraId="272C2F18">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新建</w:t>
            </w:r>
          </w:p>
        </w:tc>
      </w:tr>
      <w:tr w14:paraId="6790A7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464" w:type="dxa"/>
            <w:tcBorders>
              <w:tl2br w:val="nil"/>
              <w:tr2bl w:val="nil"/>
            </w:tcBorders>
            <w:noWrap w:val="0"/>
            <w:vAlign w:val="center"/>
          </w:tcPr>
          <w:p w14:paraId="4AD696E8">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5</w:t>
            </w:r>
          </w:p>
        </w:tc>
        <w:tc>
          <w:tcPr>
            <w:tcW w:w="1050" w:type="dxa"/>
            <w:tcBorders>
              <w:tl2br w:val="nil"/>
              <w:tr2bl w:val="nil"/>
            </w:tcBorders>
            <w:noWrap w:val="0"/>
            <w:vAlign w:val="center"/>
          </w:tcPr>
          <w:p w14:paraId="23DA55A4">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地下水</w:t>
            </w:r>
          </w:p>
        </w:tc>
        <w:tc>
          <w:tcPr>
            <w:tcW w:w="4881" w:type="dxa"/>
            <w:gridSpan w:val="2"/>
            <w:tcBorders>
              <w:tl2br w:val="nil"/>
              <w:tr2bl w:val="nil"/>
            </w:tcBorders>
            <w:noWrap w:val="0"/>
            <w:vAlign w:val="center"/>
          </w:tcPr>
          <w:p w14:paraId="76C22565">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highlight w:val="none"/>
                <w:u w:val="none" w:color="auto"/>
                <w:lang w:eastAsia="zh-CN"/>
              </w:rPr>
              <w:t>采取源头分区防渗措施</w:t>
            </w:r>
          </w:p>
        </w:tc>
        <w:tc>
          <w:tcPr>
            <w:tcW w:w="930" w:type="dxa"/>
            <w:tcBorders>
              <w:tl2br w:val="nil"/>
              <w:tr2bl w:val="nil"/>
            </w:tcBorders>
            <w:noWrap w:val="0"/>
            <w:vAlign w:val="center"/>
          </w:tcPr>
          <w:p w14:paraId="23DA9A00">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20</w:t>
            </w:r>
          </w:p>
        </w:tc>
        <w:tc>
          <w:tcPr>
            <w:tcW w:w="1037" w:type="dxa"/>
            <w:tcBorders>
              <w:tl2br w:val="nil"/>
              <w:tr2bl w:val="nil"/>
            </w:tcBorders>
            <w:noWrap w:val="0"/>
            <w:vAlign w:val="center"/>
          </w:tcPr>
          <w:p w14:paraId="2ED981A4">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新建</w:t>
            </w:r>
          </w:p>
        </w:tc>
      </w:tr>
      <w:tr w14:paraId="4A5FF6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28" w:type="dxa"/>
            <w:bottom w:w="0" w:type="dxa"/>
            <w:right w:w="28" w:type="dxa"/>
          </w:tblCellMar>
        </w:tblPrEx>
        <w:trPr>
          <w:trHeight w:val="340" w:hRule="atLeast"/>
          <w:jc w:val="center"/>
        </w:trPr>
        <w:tc>
          <w:tcPr>
            <w:tcW w:w="1514" w:type="dxa"/>
            <w:gridSpan w:val="2"/>
            <w:tcBorders>
              <w:tl2br w:val="nil"/>
              <w:tr2bl w:val="nil"/>
            </w:tcBorders>
            <w:noWrap w:val="0"/>
            <w:vAlign w:val="center"/>
          </w:tcPr>
          <w:p w14:paraId="60B411A0">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合计</w:t>
            </w:r>
          </w:p>
        </w:tc>
        <w:tc>
          <w:tcPr>
            <w:tcW w:w="1497" w:type="dxa"/>
            <w:tcBorders>
              <w:tl2br w:val="nil"/>
              <w:tr2bl w:val="nil"/>
            </w:tcBorders>
            <w:noWrap w:val="0"/>
            <w:vAlign w:val="center"/>
          </w:tcPr>
          <w:p w14:paraId="0279696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c>
          <w:tcPr>
            <w:tcW w:w="3384" w:type="dxa"/>
            <w:tcBorders>
              <w:tl2br w:val="nil"/>
              <w:tr2bl w:val="nil"/>
            </w:tcBorders>
            <w:noWrap w:val="0"/>
            <w:vAlign w:val="center"/>
          </w:tcPr>
          <w:p w14:paraId="1922EEF7">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c>
          <w:tcPr>
            <w:tcW w:w="930" w:type="dxa"/>
            <w:tcBorders>
              <w:tl2br w:val="nil"/>
              <w:tr2bl w:val="nil"/>
            </w:tcBorders>
            <w:noWrap w:val="0"/>
            <w:vAlign w:val="center"/>
          </w:tcPr>
          <w:p w14:paraId="0DC4009A">
            <w:pPr>
              <w:pStyle w:val="24"/>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98</w:t>
            </w:r>
          </w:p>
        </w:tc>
        <w:tc>
          <w:tcPr>
            <w:tcW w:w="1037" w:type="dxa"/>
            <w:tcBorders>
              <w:tl2br w:val="nil"/>
              <w:tr2bl w:val="nil"/>
            </w:tcBorders>
            <w:noWrap w:val="0"/>
            <w:vAlign w:val="center"/>
          </w:tcPr>
          <w:p w14:paraId="2F642111">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p>
        </w:tc>
      </w:tr>
    </w:tbl>
    <w:p w14:paraId="0CE845EF">
      <w:pPr>
        <w:pStyle w:val="20"/>
        <w:ind w:firstLine="480"/>
        <w:rPr>
          <w:rFonts w:hint="default" w:ascii="Times New Roman" w:hAnsi="Times New Roman" w:cs="Times New Roman"/>
          <w:color w:val="auto"/>
          <w:u w:val="none" w:color="auto"/>
        </w:rPr>
        <w:sectPr>
          <w:headerReference r:id="rId10" w:type="default"/>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bookmarkEnd w:id="1152"/>
    <w:bookmarkEnd w:id="1153"/>
    <w:bookmarkEnd w:id="1286"/>
    <w:bookmarkEnd w:id="1287"/>
    <w:p w14:paraId="7036881A">
      <w:pPr>
        <w:pStyle w:val="2"/>
        <w:bidi w:val="0"/>
        <w:rPr>
          <w:rFonts w:hint="default"/>
          <w:color w:val="auto"/>
          <w:u w:val="none" w:color="auto"/>
        </w:rPr>
      </w:pPr>
      <w:bookmarkStart w:id="1470" w:name="_Toc24194"/>
      <w:bookmarkStart w:id="1471" w:name="_Toc20468"/>
      <w:bookmarkStart w:id="1472" w:name="_Toc19042"/>
      <w:bookmarkStart w:id="1473" w:name="_Toc12012"/>
      <w:bookmarkStart w:id="1474" w:name="_Toc11224"/>
      <w:bookmarkStart w:id="1475" w:name="_Toc1073_WPSOffice_Level1"/>
      <w:bookmarkStart w:id="1476" w:name="_Toc10272"/>
      <w:bookmarkStart w:id="1477" w:name="_Toc20524"/>
      <w:bookmarkStart w:id="1478" w:name="_Toc4808_WPSOffice_Level1"/>
      <w:bookmarkStart w:id="1479" w:name="_Toc6129_WPSOffice_Level1"/>
      <w:bookmarkStart w:id="1480" w:name="_Toc6861_WPSOffice_Level1"/>
      <w:bookmarkStart w:id="1481" w:name="_Toc5008_WPSOffice_Level1"/>
      <w:r>
        <w:rPr>
          <w:rFonts w:hint="eastAsia"/>
          <w:color w:val="auto"/>
          <w:u w:val="none" w:color="auto"/>
          <w:lang w:val="en-US" w:eastAsia="zh-CN"/>
        </w:rPr>
        <w:t>8</w:t>
      </w:r>
      <w:r>
        <w:rPr>
          <w:rFonts w:hint="default"/>
          <w:color w:val="auto"/>
          <w:u w:val="none" w:color="auto"/>
          <w:lang w:val="en-US" w:eastAsia="zh-CN"/>
        </w:rPr>
        <w:t>、</w:t>
      </w:r>
      <w:r>
        <w:rPr>
          <w:rFonts w:hint="default"/>
          <w:color w:val="auto"/>
          <w:u w:val="none" w:color="auto"/>
        </w:rPr>
        <w:t>环境效益分析</w:t>
      </w:r>
      <w:bookmarkEnd w:id="1470"/>
      <w:bookmarkEnd w:id="1471"/>
      <w:bookmarkEnd w:id="1472"/>
    </w:p>
    <w:p w14:paraId="659F1C59">
      <w:pPr>
        <w:pStyle w:val="3"/>
        <w:bidi w:val="0"/>
        <w:rPr>
          <w:rFonts w:hint="default"/>
          <w:color w:val="auto"/>
          <w:u w:val="none" w:color="auto"/>
          <w:lang w:val="en-US" w:eastAsia="zh-CN"/>
        </w:rPr>
      </w:pPr>
      <w:bookmarkStart w:id="1482" w:name="_Toc16551"/>
      <w:bookmarkStart w:id="1483" w:name="_Toc30213"/>
      <w:bookmarkStart w:id="1484" w:name="_Toc30337"/>
      <w:r>
        <w:rPr>
          <w:rFonts w:hint="eastAsia"/>
          <w:color w:val="auto"/>
          <w:u w:val="none" w:color="auto"/>
          <w:lang w:val="en-US" w:eastAsia="zh-CN"/>
        </w:rPr>
        <w:t>8.1环境效益分析</w:t>
      </w:r>
      <w:bookmarkEnd w:id="1482"/>
      <w:bookmarkEnd w:id="1483"/>
      <w:bookmarkEnd w:id="1484"/>
    </w:p>
    <w:p w14:paraId="5CD66B19">
      <w:pPr>
        <w:pStyle w:val="4"/>
        <w:bidi w:val="0"/>
        <w:rPr>
          <w:rFonts w:hint="default" w:ascii="Times New Roman" w:hAnsi="Times New Roman" w:cs="Times New Roman"/>
          <w:color w:val="auto"/>
          <w:u w:val="none" w:color="auto"/>
          <w:lang w:val="en-US" w:eastAsia="zh-CN"/>
        </w:rPr>
      </w:pPr>
      <w:bookmarkStart w:id="1485" w:name="_Toc8811"/>
      <w:bookmarkStart w:id="1486" w:name="_Toc19555"/>
      <w:bookmarkStart w:id="1487" w:name="_Toc16476"/>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.1.1环境成本</w:t>
      </w:r>
      <w:bookmarkEnd w:id="1485"/>
      <w:bookmarkEnd w:id="1486"/>
      <w:bookmarkEnd w:id="1487"/>
    </w:p>
    <w:p w14:paraId="6975DBF2">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环境成本是指治理污染的投资费用和设施运行费用。</w:t>
      </w:r>
    </w:p>
    <w:p w14:paraId="7D03DA6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环境工程投资是指新建、迁扩建或技改工程为控制污染、实现污染物达标排放或回用及污染物排放总量控制所进行的必要投资，一般由治理费用和辅助费用组成。本评价只估算其中的治理费用。</w:t>
      </w:r>
    </w:p>
    <w:p w14:paraId="259DA134">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该项目的环境工程包括废水处理工程、废气治理工程、固体废物处置工程、噪声治理工程等。</w:t>
      </w:r>
    </w:p>
    <w:p w14:paraId="651DB23C">
      <w:pPr>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lang w:bidi="ar"/>
        </w:rPr>
        <w:t>本项目投资估算总计为</w:t>
      </w:r>
      <w:r>
        <w:rPr>
          <w:rFonts w:hint="eastAsia" w:cs="Times New Roman"/>
          <w:color w:val="auto"/>
          <w:sz w:val="24"/>
          <w:u w:val="none" w:color="auto"/>
          <w:lang w:val="en-US" w:eastAsia="zh-CN" w:bidi="ar"/>
        </w:rPr>
        <w:t>3000</w:t>
      </w:r>
      <w:r>
        <w:rPr>
          <w:rFonts w:hint="default" w:ascii="Times New Roman" w:hAnsi="Times New Roman" w:cs="Times New Roman"/>
          <w:color w:val="auto"/>
          <w:sz w:val="24"/>
          <w:u w:val="none" w:color="auto"/>
          <w:lang w:bidi="ar"/>
        </w:rPr>
        <w:t>万元，环保投资</w:t>
      </w:r>
      <w:r>
        <w:rPr>
          <w:rFonts w:hint="eastAsia" w:cs="Times New Roman"/>
          <w:color w:val="auto"/>
          <w:sz w:val="24"/>
          <w:u w:val="none" w:color="auto"/>
          <w:lang w:val="en-US" w:eastAsia="zh-CN" w:bidi="ar"/>
        </w:rPr>
        <w:t>98</w:t>
      </w:r>
      <w:r>
        <w:rPr>
          <w:rFonts w:hint="default" w:ascii="Times New Roman" w:hAnsi="Times New Roman" w:cs="Times New Roman"/>
          <w:color w:val="auto"/>
          <w:sz w:val="24"/>
          <w:u w:val="none" w:color="auto"/>
          <w:lang w:bidi="ar"/>
        </w:rPr>
        <w:t>万元，占总投资的</w:t>
      </w:r>
      <w:r>
        <w:rPr>
          <w:rFonts w:hint="eastAsia" w:cs="Times New Roman"/>
          <w:color w:val="auto"/>
          <w:sz w:val="24"/>
          <w:u w:val="none" w:color="auto"/>
          <w:lang w:val="en-US" w:eastAsia="zh-CN" w:bidi="ar"/>
        </w:rPr>
        <w:t>3.27</w:t>
      </w:r>
      <w:r>
        <w:rPr>
          <w:rFonts w:hint="default" w:ascii="Times New Roman" w:hAnsi="Times New Roman" w:cs="Times New Roman"/>
          <w:color w:val="auto"/>
          <w:sz w:val="24"/>
          <w:u w:val="none" w:color="auto"/>
          <w:lang w:bidi="ar"/>
        </w:rPr>
        <w:t>%（详见表</w:t>
      </w:r>
      <w:r>
        <w:rPr>
          <w:rFonts w:hint="eastAsia" w:cs="Times New Roman"/>
          <w:color w:val="auto"/>
          <w:sz w:val="24"/>
          <w:u w:val="none" w:color="auto"/>
          <w:lang w:val="en-US" w:eastAsia="zh-CN" w:bidi="ar"/>
        </w:rPr>
        <w:t>7</w:t>
      </w:r>
      <w:r>
        <w:rPr>
          <w:rFonts w:hint="default" w:ascii="Times New Roman" w:hAnsi="Times New Roman" w:cs="Times New Roman"/>
          <w:color w:val="auto"/>
          <w:sz w:val="24"/>
          <w:u w:val="none" w:color="auto"/>
          <w:lang w:val="en-US" w:eastAsia="zh-CN" w:bidi="ar"/>
        </w:rPr>
        <w:t>.2</w:t>
      </w:r>
      <w:r>
        <w:rPr>
          <w:rFonts w:hint="default" w:ascii="Times New Roman" w:hAnsi="Times New Roman" w:cs="Times New Roman"/>
          <w:color w:val="auto"/>
          <w:sz w:val="24"/>
          <w:u w:val="none" w:color="auto"/>
          <w:lang w:bidi="ar"/>
        </w:rPr>
        <w:t>-</w:t>
      </w:r>
      <w:r>
        <w:rPr>
          <w:rFonts w:hint="eastAsia" w:cs="Times New Roman"/>
          <w:color w:val="auto"/>
          <w:sz w:val="24"/>
          <w:u w:val="none" w:color="auto"/>
          <w:lang w:val="en-US" w:eastAsia="zh-CN" w:bidi="ar"/>
        </w:rPr>
        <w:t>5</w:t>
      </w:r>
      <w:r>
        <w:rPr>
          <w:rFonts w:hint="default" w:ascii="Times New Roman" w:hAnsi="Times New Roman" w:cs="Times New Roman"/>
          <w:color w:val="auto"/>
          <w:sz w:val="24"/>
          <w:u w:val="none" w:color="auto"/>
          <w:lang w:bidi="ar"/>
        </w:rPr>
        <w:t>）。</w:t>
      </w:r>
    </w:p>
    <w:p w14:paraId="657CD517">
      <w:pPr>
        <w:pStyle w:val="2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环保年费用包括“三废”处理设施运转费、折旧费、绿化费、排污及超标排污费、污染事故赔偿费、环保管理费（公关及业务活动费）等。根据运转费用估算和厂方经验，项目环保年费用约为</w:t>
      </w:r>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val="en-US" w:eastAsia="zh-CN"/>
        </w:rPr>
        <w:t>0</w:t>
      </w:r>
      <w:r>
        <w:rPr>
          <w:rFonts w:hint="default" w:ascii="Times New Roman" w:hAnsi="Times New Roman" w:cs="Times New Roman"/>
          <w:color w:val="auto"/>
          <w:u w:val="none" w:color="auto"/>
        </w:rPr>
        <w:t>万元。该部分费用应纳入企业经济核算中，即纳入产品的成本核算中，使企业真正从根源上减少污染物产生量。</w:t>
      </w:r>
      <w:bookmarkEnd w:id="1473"/>
      <w:bookmarkEnd w:id="1474"/>
      <w:bookmarkEnd w:id="1475"/>
      <w:bookmarkEnd w:id="1476"/>
      <w:bookmarkEnd w:id="1477"/>
      <w:bookmarkEnd w:id="1478"/>
      <w:bookmarkEnd w:id="1479"/>
      <w:bookmarkEnd w:id="1480"/>
      <w:bookmarkEnd w:id="1481"/>
    </w:p>
    <w:p w14:paraId="07CF31AA">
      <w:pPr>
        <w:pStyle w:val="4"/>
        <w:bidi w:val="0"/>
        <w:rPr>
          <w:rFonts w:hint="default" w:ascii="Times New Roman" w:hAnsi="Times New Roman" w:eastAsia="宋体" w:cs="Times New Roman"/>
          <w:color w:val="auto"/>
          <w:u w:val="none" w:color="auto"/>
          <w:lang w:val="en-US" w:eastAsia="zh-CN"/>
        </w:rPr>
      </w:pPr>
      <w:bookmarkStart w:id="1488" w:name="_Toc5512"/>
      <w:bookmarkStart w:id="1489" w:name="_Toc14631"/>
      <w:bookmarkStart w:id="1490" w:name="_Toc2491"/>
      <w:bookmarkStart w:id="1491" w:name="_Toc13844"/>
      <w:bookmarkStart w:id="1492" w:name="_Toc29188_WPSOffice_Level2"/>
      <w:bookmarkStart w:id="1493" w:name="_Toc201127323"/>
      <w:bookmarkStart w:id="1494" w:name="_Toc219109476"/>
      <w:bookmarkStart w:id="1495" w:name="_Toc372124982"/>
      <w:bookmarkStart w:id="1496" w:name="_Toc12459_WPSOffice_Level2"/>
      <w:bookmarkStart w:id="1497" w:name="_Toc9431"/>
      <w:bookmarkStart w:id="1498" w:name="_Toc13609_WPSOffice_Level2"/>
      <w:bookmarkStart w:id="1499" w:name="_Toc31222_WPSOffice_Level2"/>
      <w:bookmarkStart w:id="1500" w:name="_Toc289857468"/>
      <w:bookmarkStart w:id="1501" w:name="_Toc28501"/>
      <w:bookmarkStart w:id="1502" w:name="_Toc2947"/>
      <w:bookmarkStart w:id="1503" w:name="_Toc23961"/>
      <w:bookmarkStart w:id="1504" w:name="_Toc574_WPSOffice_Level2"/>
      <w:bookmarkStart w:id="1505" w:name="_Toc343691375"/>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.1.2环境收益</w:t>
      </w:r>
      <w:bookmarkEnd w:id="1488"/>
      <w:bookmarkEnd w:id="1489"/>
      <w:bookmarkEnd w:id="1490"/>
      <w:bookmarkEnd w:id="1491"/>
    </w:p>
    <w:p w14:paraId="7ACB65ED">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环保投资和运行费用的投入，表观看虽为负经济效益，但其潜在效益十分显著，主要表现在：</w:t>
      </w:r>
    </w:p>
    <w:p w14:paraId="5A7C6F4A">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（1）项目</w:t>
      </w:r>
      <w:r>
        <w:rPr>
          <w:rFonts w:hint="eastAsia" w:ascii="Times New Roman" w:hAnsi="Times New Roman" w:cs="Times New Roman"/>
          <w:color w:val="auto"/>
          <w:u w:val="none" w:color="auto"/>
          <w:lang w:val="en-US" w:eastAsia="zh-CN"/>
        </w:rPr>
        <w:t>设备产品</w:t>
      </w:r>
      <w:r>
        <w:rPr>
          <w:rFonts w:hint="default" w:ascii="Times New Roman" w:hAnsi="Times New Roman" w:cs="Times New Roman"/>
          <w:color w:val="auto"/>
          <w:u w:val="none" w:color="auto"/>
          <w:lang w:val="en-US" w:eastAsia="zh-CN"/>
        </w:rPr>
        <w:t>冷却水处理后回用，可避免污染物的排放，避免污水对纳污水体的影响。</w:t>
      </w:r>
    </w:p>
    <w:p w14:paraId="20CCBC38">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（2）采用有效的废气治理措施，可减轻粉尘、有机废气对操作员工身体健康和周边空气环境的影响。</w:t>
      </w:r>
    </w:p>
    <w:p w14:paraId="0567E80F">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（3）固体废物的回收综合利用或有效处置，不仅消除了对环境的污染，而且变废为宝，具有明显的环境效益和经济效益。</w:t>
      </w:r>
    </w:p>
    <w:p w14:paraId="0F468D87">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（4）厂内设备噪声污染源采取相应治理措施，使厂界噪声低于《工业企业厂界环境噪声排放标准》(GB12348-2008)表1的</w:t>
      </w:r>
      <w:r>
        <w:rPr>
          <w:rFonts w:hint="eastAsia" w:cs="Times New Roman"/>
          <w:color w:val="auto"/>
          <w:u w:val="none" w:color="auto"/>
          <w:lang w:val="en-US" w:eastAsia="zh-CN"/>
        </w:rPr>
        <w:t>3</w:t>
      </w:r>
      <w:r>
        <w:rPr>
          <w:rFonts w:hint="default" w:ascii="Times New Roman" w:hAnsi="Times New Roman" w:cs="Times New Roman"/>
          <w:color w:val="auto"/>
          <w:u w:val="none" w:color="auto"/>
          <w:lang w:val="en-US" w:eastAsia="zh-CN"/>
        </w:rPr>
        <w:t>类排放限值。</w:t>
      </w:r>
    </w:p>
    <w:p w14:paraId="5A672A0A">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（5）加强厂区环境质量的监测，将监测结果及时反馈回生产调度管理，使生产过程出现的不正常现象能够得以及时准确的纠正。</w:t>
      </w:r>
    </w:p>
    <w:p w14:paraId="6E1B1C43">
      <w:pPr>
        <w:pStyle w:val="4"/>
        <w:bidi w:val="0"/>
        <w:rPr>
          <w:rFonts w:hint="default" w:ascii="Times New Roman" w:hAnsi="Times New Roman" w:eastAsia="宋体" w:cs="Times New Roman"/>
          <w:color w:val="auto"/>
          <w:u w:val="none" w:color="auto"/>
          <w:lang w:val="en-US" w:eastAsia="zh-CN"/>
        </w:rPr>
      </w:pPr>
      <w:bookmarkStart w:id="1506" w:name="_Toc29525"/>
      <w:bookmarkStart w:id="1507" w:name="_Toc9103"/>
      <w:bookmarkStart w:id="1508" w:name="_Toc762"/>
      <w:bookmarkStart w:id="1509" w:name="_Toc14707"/>
      <w:r>
        <w:rPr>
          <w:rFonts w:hint="eastAsia" w:ascii="Times New Roman" w:hAnsi="Times New Roman" w:cs="Times New Roman"/>
          <w:color w:val="auto"/>
          <w:u w:val="none" w:color="auto"/>
          <w:lang w:val="en-US" w:eastAsia="zh-CN"/>
        </w:rPr>
        <w:t>8</w:t>
      </w:r>
      <w:r>
        <w:rPr>
          <w:rFonts w:hint="default" w:ascii="Times New Roman" w:hAnsi="Times New Roman" w:cs="Times New Roman"/>
          <w:color w:val="auto"/>
          <w:u w:val="none" w:color="auto"/>
          <w:lang w:val="en-US" w:eastAsia="zh-CN"/>
        </w:rPr>
        <w:t>.1.3经济损益分析</w:t>
      </w:r>
      <w:bookmarkEnd w:id="1506"/>
      <w:bookmarkEnd w:id="1507"/>
      <w:bookmarkEnd w:id="1508"/>
      <w:bookmarkEnd w:id="1509"/>
    </w:p>
    <w:p w14:paraId="42666F9A">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（1）环保投资经济负效益分析</w:t>
      </w:r>
    </w:p>
    <w:p w14:paraId="41ADF8A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sz w:val="24"/>
          <w:u w:val="none" w:color="auto"/>
          <w:lang w:bidi="ar"/>
        </w:rPr>
        <w:t>本项目环保投资</w:t>
      </w:r>
      <w:r>
        <w:rPr>
          <w:rFonts w:hint="eastAsia" w:ascii="Times New Roman" w:hAnsi="Times New Roman" w:cs="Times New Roman"/>
          <w:color w:val="auto"/>
          <w:sz w:val="24"/>
          <w:u w:val="none" w:color="auto"/>
          <w:lang w:val="en-US" w:eastAsia="zh-CN" w:bidi="ar"/>
        </w:rPr>
        <w:t>9</w:t>
      </w:r>
      <w:r>
        <w:rPr>
          <w:rFonts w:hint="eastAsia" w:cs="Times New Roman"/>
          <w:color w:val="auto"/>
          <w:sz w:val="24"/>
          <w:u w:val="none" w:color="auto"/>
          <w:lang w:val="en-US" w:eastAsia="zh-CN" w:bidi="ar"/>
        </w:rPr>
        <w:t>8万</w:t>
      </w:r>
      <w:r>
        <w:rPr>
          <w:rFonts w:hint="default" w:ascii="Times New Roman" w:hAnsi="Times New Roman" w:cs="Times New Roman"/>
          <w:color w:val="auto"/>
          <w:sz w:val="24"/>
          <w:u w:val="none" w:color="auto"/>
          <w:lang w:bidi="ar"/>
        </w:rPr>
        <w:t>元，占总投资的</w:t>
      </w:r>
      <w:r>
        <w:rPr>
          <w:rFonts w:hint="eastAsia" w:cs="Times New Roman"/>
          <w:color w:val="auto"/>
          <w:sz w:val="24"/>
          <w:u w:val="none" w:color="auto"/>
          <w:lang w:val="en-US" w:eastAsia="zh-CN" w:bidi="ar"/>
        </w:rPr>
        <w:t>3.27</w:t>
      </w:r>
      <w:r>
        <w:rPr>
          <w:rFonts w:hint="default" w:ascii="Times New Roman" w:hAnsi="Times New Roman" w:cs="Times New Roman"/>
          <w:color w:val="auto"/>
          <w:sz w:val="24"/>
          <w:u w:val="none" w:color="auto"/>
          <w:lang w:bidi="ar"/>
        </w:rPr>
        <w:t>%</w:t>
      </w:r>
      <w:r>
        <w:rPr>
          <w:rFonts w:hint="default" w:ascii="Times New Roman" w:hAnsi="Times New Roman" w:cs="Times New Roman"/>
          <w:color w:val="auto"/>
          <w:sz w:val="24"/>
          <w:u w:val="none" w:color="auto"/>
          <w:lang w:eastAsia="zh-CN" w:bidi="ar"/>
        </w:rPr>
        <w:t>，</w:t>
      </w:r>
      <w:r>
        <w:rPr>
          <w:rFonts w:hint="default" w:ascii="Times New Roman" w:hAnsi="Times New Roman" w:cs="Times New Roman"/>
          <w:color w:val="auto"/>
          <w:u w:val="none" w:color="auto"/>
          <w:lang w:val="en-US" w:eastAsia="zh-CN"/>
        </w:rPr>
        <w:t>每年的环保运行费用约</w:t>
      </w:r>
      <w:r>
        <w:rPr>
          <w:rFonts w:hint="eastAsia" w:ascii="Times New Roman" w:hAnsi="Times New Roman" w:cs="Times New Roman"/>
          <w:color w:val="auto"/>
          <w:u w:val="none" w:color="auto"/>
          <w:lang w:val="en-US" w:eastAsia="zh-CN"/>
        </w:rPr>
        <w:t>1</w:t>
      </w:r>
      <w:r>
        <w:rPr>
          <w:rFonts w:hint="default" w:ascii="Times New Roman" w:hAnsi="Times New Roman" w:cs="Times New Roman"/>
          <w:color w:val="auto"/>
          <w:u w:val="none" w:color="auto"/>
          <w:lang w:val="en-US" w:eastAsia="zh-CN"/>
        </w:rPr>
        <w:t>0万元，纳入企业经济核算中，增加了产品的成本。</w:t>
      </w:r>
    </w:p>
    <w:p w14:paraId="578D865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（2）环保投资环境效益分析</w:t>
      </w:r>
    </w:p>
    <w:p w14:paraId="2ADA860B">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年环保费用的经济效益，可用有效的环保治理措施而挽回的经济损失与保证这一效益而每年投入的环保费用之比来确定。</w:t>
      </w:r>
    </w:p>
    <w:p w14:paraId="0E6D4D22">
      <w:pPr>
        <w:pStyle w:val="20"/>
        <w:bidi w:val="0"/>
        <w:ind w:left="0" w:leftChars="0" w:firstLine="0" w:firstLineChars="0"/>
        <w:jc w:val="center"/>
        <w:rPr>
          <w:rFonts w:hint="default" w:ascii="Times New Roman" w:hAnsi="Times New Roman" w:cs="Times New Roman"/>
          <w:color w:val="auto"/>
          <w:u w:val="none" w:color="auto"/>
        </w:rPr>
      </w:pPr>
      <w:r>
        <w:rPr>
          <w:rFonts w:hint="default" w:ascii="Times New Roman" w:hAnsi="Times New Roman" w:cs="Times New Roman"/>
          <w:color w:val="auto"/>
          <w:position w:val="-32"/>
          <w:u w:val="none" w:color="auto"/>
        </w:rPr>
        <w:object>
          <v:shape id="_x0000_i1052" o:spt="75" type="#_x0000_t75" style="height:54pt;width:55pt;" o:ole="t" filled="f" o:preferrelative="t" stroked="f" coordsize="21600,21600">
            <v:path/>
            <v:fill on="f" focussize="0,0"/>
            <v:stroke on="f"/>
            <v:imagedata r:id="rId51" o:title=""/>
            <o:lock v:ext="edit" aspectratio="t"/>
            <w10:wrap type="none"/>
            <w10:anchorlock/>
          </v:shape>
          <o:OLEObject Type="Embed" ProgID="Equation.KSEE3" ShapeID="_x0000_i1052" DrawAspect="Content" ObjectID="_1468075735" r:id="rId50">
            <o:LockedField>false</o:LockedField>
          </o:OLEObject>
        </w:object>
      </w:r>
    </w:p>
    <w:p w14:paraId="686DF157">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式中：</w:t>
      </w:r>
    </w:p>
    <w:p w14:paraId="6E86E416">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Z</w:t>
      </w:r>
      <w:r>
        <w:rPr>
          <w:rFonts w:hint="default" w:ascii="Times New Roman" w:hAnsi="Times New Roman" w:cs="Times New Roman"/>
          <w:color w:val="auto"/>
          <w:u w:val="none" w:color="auto"/>
          <w:vertAlign w:val="subscript"/>
          <w:lang w:val="en-US" w:eastAsia="zh-CN"/>
        </w:rPr>
        <w:t>j</w:t>
      </w:r>
      <w:r>
        <w:rPr>
          <w:rFonts w:hint="default" w:ascii="Times New Roman" w:hAnsi="Times New Roman" w:cs="Times New Roman"/>
          <w:color w:val="auto"/>
          <w:u w:val="none" w:color="auto"/>
          <w:lang w:val="en-US" w:eastAsia="zh-CN"/>
        </w:rPr>
        <w:t>—年环保费用的经济效益；</w:t>
      </w:r>
    </w:p>
    <w:p w14:paraId="39F48E16">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S</w:t>
      </w:r>
      <w:r>
        <w:rPr>
          <w:rFonts w:hint="default" w:ascii="Times New Roman" w:hAnsi="Times New Roman" w:cs="Times New Roman"/>
          <w:color w:val="auto"/>
          <w:u w:val="none" w:color="auto"/>
          <w:vertAlign w:val="subscript"/>
          <w:lang w:val="en-US" w:eastAsia="zh-CN"/>
        </w:rPr>
        <w:t>i</w:t>
      </w:r>
      <w:r>
        <w:rPr>
          <w:rFonts w:hint="default" w:ascii="Times New Roman" w:hAnsi="Times New Roman" w:cs="Times New Roman"/>
          <w:color w:val="auto"/>
          <w:u w:val="none" w:color="auto"/>
          <w:lang w:val="en-US" w:eastAsia="zh-CN"/>
        </w:rPr>
        <w:t>—由于防止污染而挽回的经济价值；</w:t>
      </w:r>
    </w:p>
    <w:p w14:paraId="6BE5E12D">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H</w:t>
      </w:r>
      <w:r>
        <w:rPr>
          <w:rFonts w:hint="default" w:ascii="Times New Roman" w:hAnsi="Times New Roman" w:cs="Times New Roman"/>
          <w:color w:val="auto"/>
          <w:u w:val="none" w:color="auto"/>
          <w:vertAlign w:val="subscript"/>
          <w:lang w:val="en-US" w:eastAsia="zh-CN"/>
        </w:rPr>
        <w:t>f</w:t>
      </w:r>
      <w:r>
        <w:rPr>
          <w:rFonts w:hint="default" w:ascii="Times New Roman" w:hAnsi="Times New Roman" w:cs="Times New Roman"/>
          <w:color w:val="auto"/>
          <w:u w:val="none" w:color="auto"/>
          <w:lang w:val="en-US" w:eastAsia="zh-CN"/>
        </w:rPr>
        <w:t>—年环保费用。</w:t>
      </w:r>
    </w:p>
    <w:p w14:paraId="56DEDE47">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根据上述分析，针对本项目建设对周围水、大气、生态及人体健康等可能造成的影响和损失，配套一系列环保设备和措施，使这些影响得以减轻，从而挽回经济损失和减轻环境污染负荷。根据类比调查，每投入1元钱的环保费用可以用货币统计出来的挽回收益在1.5～2.0元之间，因此项目环保投资可取得良好的经济效益，同时也可取得显著的社会效益和环境效益。</w:t>
      </w:r>
    </w:p>
    <w:p w14:paraId="3440F00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3）企业通过污染治理，可使各项污染做到稳定达标，有助于提高整体形象，同时又是通过ISO14000认证的必备条件。企业声誉提升，社会信用度提高，订单增加，客户忠诚度提高，降低交易成本和经营风险。企业品牌形象提高，终端需求增加，提高竞争力。</w:t>
      </w:r>
    </w:p>
    <w:p w14:paraId="180182A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4）间接效益：社会责任作为企业的战略，顺应大趋势，提高企业可持续发展的能力，重塑企业文化、企业理念及培养有责任心的员工，降低管理成本，满足公众利益，更易获得公众和相关利益集团支持。以身作则形成行业的健康竞争氛围；信用价值形成良好的市场环境，有利于区域的行业声誉；区域品牌形成新的商业伦理，行业规则和社会秩序。</w:t>
      </w:r>
    </w:p>
    <w:p w14:paraId="5E00319E">
      <w:pPr>
        <w:pStyle w:val="3"/>
        <w:bidi w:val="0"/>
        <w:rPr>
          <w:rFonts w:hint="default"/>
          <w:color w:val="auto"/>
          <w:u w:val="none" w:color="auto"/>
        </w:rPr>
      </w:pPr>
      <w:bookmarkStart w:id="1510" w:name="_Toc18391"/>
      <w:bookmarkStart w:id="1511" w:name="_Toc4743"/>
      <w:bookmarkStart w:id="1512" w:name="_Toc32736"/>
      <w:bookmarkStart w:id="1513" w:name="_Toc8989"/>
      <w:r>
        <w:rPr>
          <w:rFonts w:hint="eastAsia"/>
          <w:color w:val="auto"/>
          <w:u w:val="none" w:color="auto"/>
          <w:lang w:val="en-US" w:eastAsia="zh-CN"/>
        </w:rPr>
        <w:t>8</w:t>
      </w:r>
      <w:r>
        <w:rPr>
          <w:rFonts w:hint="default"/>
          <w:color w:val="auto"/>
          <w:u w:val="none" w:color="auto"/>
        </w:rPr>
        <w:t>.</w:t>
      </w:r>
      <w:r>
        <w:rPr>
          <w:rFonts w:hint="default"/>
          <w:color w:val="auto"/>
          <w:u w:val="none" w:color="auto"/>
          <w:lang w:val="en-US" w:eastAsia="zh-CN"/>
        </w:rPr>
        <w:t>2</w:t>
      </w:r>
      <w:r>
        <w:rPr>
          <w:rFonts w:hint="default"/>
          <w:color w:val="auto"/>
          <w:u w:val="none" w:color="auto"/>
        </w:rPr>
        <w:t>社会效益分析</w:t>
      </w:r>
      <w:bookmarkEnd w:id="1510"/>
      <w:bookmarkEnd w:id="1511"/>
      <w:bookmarkEnd w:id="1512"/>
      <w:bookmarkEnd w:id="1513"/>
    </w:p>
    <w:p w14:paraId="597426F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本项目总投资</w:t>
      </w:r>
      <w:r>
        <w:rPr>
          <w:rFonts w:hint="eastAsia" w:cs="Times New Roman"/>
          <w:color w:val="auto"/>
          <w:u w:val="none" w:color="auto"/>
          <w:lang w:val="en-US" w:eastAsia="zh-CN"/>
        </w:rPr>
        <w:t>3000</w:t>
      </w:r>
      <w:r>
        <w:rPr>
          <w:rFonts w:hint="default" w:ascii="Times New Roman" w:hAnsi="Times New Roman" w:cs="Times New Roman"/>
          <w:color w:val="auto"/>
          <w:u w:val="none" w:color="auto"/>
          <w:lang w:val="en-US" w:eastAsia="zh-CN"/>
        </w:rPr>
        <w:t>万元，产品为</w:t>
      </w:r>
      <w:r>
        <w:rPr>
          <w:rFonts w:hint="eastAsia"/>
          <w:b w:val="0"/>
          <w:bCs w:val="0"/>
          <w:color w:val="auto"/>
          <w:u w:val="none" w:color="auto"/>
          <w:lang w:val="en-US" w:eastAsia="zh-CN"/>
        </w:rPr>
        <w:t>年产3万吨PVC板材、5000吨PVC装饰线条</w:t>
      </w:r>
      <w:r>
        <w:rPr>
          <w:rFonts w:hint="default" w:ascii="Times New Roman" w:hAnsi="Times New Roman" w:cs="Times New Roman"/>
          <w:color w:val="auto"/>
          <w:u w:val="none" w:color="auto"/>
          <w:lang w:val="en-US" w:eastAsia="zh-CN"/>
        </w:rPr>
        <w:t>。</w:t>
      </w:r>
    </w:p>
    <w:p w14:paraId="2677925D">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本项目投产后除企业自身获得良好的经济效益，而且间接地创造了一定的社会效益；产生良好的社会效益。本项目的建设不但能使企业投资、经营者获得经济效益，国家还可以通过对企业收取税收、管理费等手段获得较好的经济效益。</w:t>
      </w:r>
    </w:p>
    <w:p w14:paraId="33E225AF">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本项目的建成及运营，不仅可产生较好的经济，对当地的经济发展有一定的促进作用，具有显著的社会与经济效益。</w:t>
      </w:r>
    </w:p>
    <w:p w14:paraId="438741A7">
      <w:pPr>
        <w:pStyle w:val="3"/>
        <w:bidi w:val="0"/>
        <w:rPr>
          <w:rFonts w:hint="default"/>
          <w:color w:val="auto"/>
          <w:u w:val="none" w:color="auto"/>
        </w:rPr>
      </w:pPr>
      <w:bookmarkStart w:id="1514" w:name="_Toc9264"/>
      <w:bookmarkStart w:id="1515" w:name="_Toc4811"/>
      <w:bookmarkStart w:id="1516" w:name="_Toc14889"/>
      <w:bookmarkStart w:id="1517" w:name="_Toc12052"/>
      <w:r>
        <w:rPr>
          <w:rFonts w:hint="eastAsia"/>
          <w:color w:val="auto"/>
          <w:u w:val="none" w:color="auto"/>
          <w:lang w:val="en-US" w:eastAsia="zh-CN"/>
        </w:rPr>
        <w:t>8</w:t>
      </w:r>
      <w:r>
        <w:rPr>
          <w:rFonts w:hint="default"/>
          <w:color w:val="auto"/>
          <w:u w:val="none" w:color="auto"/>
        </w:rPr>
        <w:t>.</w:t>
      </w:r>
      <w:r>
        <w:rPr>
          <w:rFonts w:hint="default"/>
          <w:color w:val="auto"/>
          <w:u w:val="none" w:color="auto"/>
          <w:lang w:val="en-US" w:eastAsia="zh-CN"/>
        </w:rPr>
        <w:t>3</w:t>
      </w:r>
      <w:r>
        <w:rPr>
          <w:rFonts w:hint="default"/>
          <w:color w:val="auto"/>
          <w:u w:val="none" w:color="auto"/>
        </w:rPr>
        <w:t>综合分析</w:t>
      </w:r>
      <w:bookmarkEnd w:id="1514"/>
      <w:bookmarkEnd w:id="1515"/>
      <w:bookmarkEnd w:id="1516"/>
      <w:bookmarkEnd w:id="1517"/>
    </w:p>
    <w:p w14:paraId="4D0B8943">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sz w:val="24"/>
          <w:u w:val="none" w:color="auto"/>
          <w:lang w:bidi="ar"/>
        </w:rPr>
        <w:t>本项目环保投资</w:t>
      </w:r>
      <w:r>
        <w:rPr>
          <w:rFonts w:hint="eastAsia" w:ascii="Times New Roman" w:hAnsi="Times New Roman" w:cs="Times New Roman"/>
          <w:color w:val="auto"/>
          <w:sz w:val="24"/>
          <w:u w:val="none" w:color="auto"/>
          <w:lang w:val="en-US" w:eastAsia="zh-CN" w:bidi="ar"/>
        </w:rPr>
        <w:t>9</w:t>
      </w:r>
      <w:r>
        <w:rPr>
          <w:rFonts w:hint="eastAsia" w:cs="Times New Roman"/>
          <w:color w:val="auto"/>
          <w:sz w:val="24"/>
          <w:u w:val="none" w:color="auto"/>
          <w:lang w:val="en-US" w:eastAsia="zh-CN" w:bidi="ar"/>
        </w:rPr>
        <w:t>8</w:t>
      </w:r>
      <w:r>
        <w:rPr>
          <w:rFonts w:hint="default" w:ascii="Times New Roman" w:hAnsi="Times New Roman" w:cs="Times New Roman"/>
          <w:color w:val="auto"/>
          <w:sz w:val="24"/>
          <w:u w:val="none" w:color="auto"/>
          <w:lang w:bidi="ar"/>
        </w:rPr>
        <w:t>万元，占总投资的</w:t>
      </w:r>
      <w:r>
        <w:rPr>
          <w:rFonts w:hint="eastAsia" w:cs="Times New Roman"/>
          <w:color w:val="auto"/>
          <w:sz w:val="24"/>
          <w:u w:val="none" w:color="auto"/>
          <w:lang w:val="en-US" w:eastAsia="zh-CN" w:bidi="ar"/>
        </w:rPr>
        <w:t>3.27</w:t>
      </w:r>
      <w:r>
        <w:rPr>
          <w:rFonts w:hint="default" w:ascii="Times New Roman" w:hAnsi="Times New Roman" w:cs="Times New Roman"/>
          <w:color w:val="auto"/>
          <w:sz w:val="24"/>
          <w:u w:val="none" w:color="auto"/>
          <w:lang w:bidi="ar"/>
        </w:rPr>
        <w:t>%</w:t>
      </w:r>
      <w:r>
        <w:rPr>
          <w:rFonts w:hint="default" w:ascii="Times New Roman" w:hAnsi="Times New Roman" w:cs="Times New Roman"/>
          <w:color w:val="auto"/>
          <w:u w:val="none" w:color="auto"/>
        </w:rPr>
        <w:t>。</w:t>
      </w:r>
    </w:p>
    <w:p w14:paraId="2CF5B221">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保工程的建设和正常运作，不仅可以给企业带来直接的经济效益，改善企业与附近居民的关系，使企业更顺利地运作，从环境保护角度来讲，更重要的是将对保护生态环境、水环境、大气环境以及确保附近居民和企业职工的身心健康起到很大的作用，具有较大的环境效益和社会效益。</w:t>
      </w:r>
    </w:p>
    <w:p w14:paraId="5525A6B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综上所述，该建设项目的建成具有较好的经济效益、社会效益和环境效益，从环境经济角度来看本项目是可行的。</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p>
    <w:p w14:paraId="5DEB2540">
      <w:pPr>
        <w:pStyle w:val="2"/>
        <w:bidi w:val="0"/>
        <w:rPr>
          <w:rFonts w:hint="default" w:ascii="Times New Roman" w:hAnsi="Times New Roman" w:eastAsia="宋体" w:cs="Times New Roman"/>
          <w:bCs/>
          <w:color w:val="auto"/>
          <w:kern w:val="0"/>
          <w:szCs w:val="36"/>
          <w:u w:val="none" w:color="auto"/>
          <w:lang w:eastAsia="zh-CN"/>
        </w:rPr>
      </w:pPr>
      <w:bookmarkStart w:id="1518" w:name="_Toc481738548"/>
      <w:r>
        <w:rPr>
          <w:rFonts w:hint="default" w:ascii="Times New Roman" w:hAnsi="Times New Roman" w:eastAsia="宋体" w:cs="Times New Roman"/>
          <w:color w:val="auto"/>
          <w:sz w:val="24"/>
          <w:szCs w:val="24"/>
          <w:u w:val="none" w:color="auto"/>
        </w:rPr>
        <w:br w:type="page"/>
      </w:r>
      <w:bookmarkStart w:id="1519" w:name="_Toc26256"/>
      <w:bookmarkStart w:id="1520" w:name="_Toc16639"/>
      <w:bookmarkStart w:id="1521" w:name="_Toc21741"/>
      <w:bookmarkStart w:id="1522" w:name="_Toc14507"/>
      <w:bookmarkStart w:id="1523" w:name="_Toc22646_WPSOffice_Level1"/>
      <w:bookmarkStart w:id="1524" w:name="_Toc21803"/>
      <w:bookmarkStart w:id="1525" w:name="_Toc28714_WPSOffice_Level1"/>
      <w:bookmarkStart w:id="1526" w:name="_Toc23780_WPSOffice_Level1"/>
      <w:bookmarkStart w:id="1527" w:name="_Toc8385_WPSOffice_Level1"/>
      <w:bookmarkStart w:id="1528" w:name="_Toc6877_WPSOffice_Level1"/>
      <w:bookmarkStart w:id="1529" w:name="_Toc20813"/>
      <w:bookmarkStart w:id="1530" w:name="_Toc32721"/>
      <w:r>
        <w:rPr>
          <w:rFonts w:hint="eastAsia" w:ascii="Times New Roman" w:hAnsi="Times New Roman" w:eastAsia="宋体" w:cs="Times New Roman"/>
          <w:color w:val="auto"/>
          <w:sz w:val="36"/>
          <w:szCs w:val="36"/>
          <w:u w:val="none" w:color="auto"/>
          <w:lang w:val="en-US" w:eastAsia="zh-CN"/>
        </w:rPr>
        <w:t>9</w:t>
      </w:r>
      <w:r>
        <w:rPr>
          <w:rStyle w:val="49"/>
          <w:rFonts w:hint="default"/>
          <w:b/>
          <w:color w:val="auto"/>
          <w:u w:val="none" w:color="auto"/>
        </w:rPr>
        <w:t>、环境管理与监测</w:t>
      </w:r>
      <w:r>
        <w:rPr>
          <w:rStyle w:val="49"/>
          <w:rFonts w:hint="default"/>
          <w:b/>
          <w:color w:val="auto"/>
          <w:u w:val="none" w:color="auto"/>
          <w:lang w:eastAsia="zh-CN"/>
        </w:rPr>
        <w:t>计划</w:t>
      </w:r>
      <w:bookmarkEnd w:id="1519"/>
      <w:bookmarkEnd w:id="1520"/>
      <w:bookmarkEnd w:id="1521"/>
      <w:bookmarkEnd w:id="1522"/>
    </w:p>
    <w:p w14:paraId="6060732C">
      <w:pPr>
        <w:pStyle w:val="3"/>
        <w:bidi w:val="0"/>
        <w:rPr>
          <w:rFonts w:hint="default"/>
          <w:color w:val="auto"/>
          <w:u w:val="none" w:color="auto"/>
        </w:rPr>
      </w:pPr>
      <w:bookmarkStart w:id="1531" w:name="_Toc30913"/>
      <w:bookmarkStart w:id="1532" w:name="_Toc7262"/>
      <w:bookmarkStart w:id="1533" w:name="_Toc13477"/>
      <w:bookmarkStart w:id="1534" w:name="_Toc4745"/>
      <w:r>
        <w:rPr>
          <w:rFonts w:hint="eastAsia"/>
          <w:color w:val="auto"/>
          <w:u w:val="none" w:color="auto"/>
          <w:lang w:val="en-US" w:eastAsia="zh-CN"/>
        </w:rPr>
        <w:t>9</w:t>
      </w:r>
      <w:r>
        <w:rPr>
          <w:rFonts w:hint="default"/>
          <w:color w:val="auto"/>
          <w:u w:val="none" w:color="auto"/>
        </w:rPr>
        <w:t>.1环境管理</w:t>
      </w:r>
      <w:bookmarkEnd w:id="1531"/>
      <w:bookmarkEnd w:id="1532"/>
      <w:bookmarkEnd w:id="1533"/>
      <w:bookmarkEnd w:id="1534"/>
    </w:p>
    <w:p w14:paraId="7ED029AD">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管理是项目建设管理工作的重要组成部分，其主要目的是通过开展环境管理工作，促进项目建设单位和管理单位积极、主动地预防和控制各类环境问题的产生与扩散，促进项目建设生态环境的良性循环。制定出详尽的环境管理监控计划并加以贯彻实施，可以避免因管理不善而可能产生的各种环境污染和环境风险。为此，在项目施工建设及投入运营期间，应贯彻落实国家、地方政府制定的有关法规，正确处理好项目建设、发展与环境保护的协调关系，从而真正使项目的建设达到可持续发展的战略目标。</w:t>
      </w:r>
    </w:p>
    <w:p w14:paraId="75CE3A4C">
      <w:pPr>
        <w:pStyle w:val="4"/>
        <w:bidi w:val="0"/>
        <w:rPr>
          <w:rFonts w:hint="default" w:ascii="Times New Roman" w:hAnsi="Times New Roman" w:eastAsia="宋体" w:cs="Times New Roman"/>
          <w:color w:val="auto"/>
          <w:u w:val="none" w:color="auto"/>
          <w:lang w:val="en-US" w:eastAsia="zh-CN"/>
        </w:rPr>
      </w:pPr>
      <w:bookmarkStart w:id="1535" w:name="_Toc11642"/>
      <w:bookmarkStart w:id="1536" w:name="_Toc22783"/>
      <w:bookmarkStart w:id="1537" w:name="_Toc24832"/>
      <w:bookmarkStart w:id="1538" w:name="_Toc12818"/>
      <w:r>
        <w:rPr>
          <w:rFonts w:hint="eastAsia" w:ascii="Times New Roman" w:hAnsi="Times New Roman" w:cs="Times New Roman"/>
          <w:color w:val="auto"/>
          <w:u w:val="none" w:color="auto"/>
          <w:lang w:val="en-US" w:eastAsia="zh-CN"/>
        </w:rPr>
        <w:t>9</w:t>
      </w:r>
      <w:r>
        <w:rPr>
          <w:rFonts w:hint="default" w:ascii="Times New Roman" w:hAnsi="Times New Roman" w:cs="Times New Roman"/>
          <w:color w:val="auto"/>
          <w:u w:val="none" w:color="auto"/>
          <w:lang w:val="en-US" w:eastAsia="zh-CN"/>
        </w:rPr>
        <w:t>.1.1环境保护管理目标</w:t>
      </w:r>
      <w:bookmarkEnd w:id="1535"/>
      <w:bookmarkEnd w:id="1536"/>
      <w:bookmarkEnd w:id="1537"/>
      <w:bookmarkEnd w:id="1538"/>
    </w:p>
    <w:p w14:paraId="6A6E18E7">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将本项目在营运阶段可能对环境造成的不良影响减少到最小程度，使本项目建成运行后，能取得最大的社会效益、环境效益和经济效益。</w:t>
      </w:r>
    </w:p>
    <w:bookmarkEnd w:id="1518"/>
    <w:bookmarkEnd w:id="1523"/>
    <w:bookmarkEnd w:id="1524"/>
    <w:bookmarkEnd w:id="1525"/>
    <w:bookmarkEnd w:id="1526"/>
    <w:bookmarkEnd w:id="1527"/>
    <w:bookmarkEnd w:id="1528"/>
    <w:bookmarkEnd w:id="1529"/>
    <w:bookmarkEnd w:id="1530"/>
    <w:p w14:paraId="4A9447F2">
      <w:pPr>
        <w:pStyle w:val="4"/>
        <w:bidi w:val="0"/>
        <w:rPr>
          <w:rFonts w:hint="default" w:ascii="Times New Roman" w:hAnsi="Times New Roman" w:eastAsia="宋体" w:cs="Times New Roman"/>
          <w:color w:val="auto"/>
          <w:u w:val="none" w:color="auto"/>
          <w:lang w:val="en-US" w:eastAsia="zh-CN"/>
        </w:rPr>
      </w:pPr>
      <w:bookmarkStart w:id="1539" w:name="_Toc26322"/>
      <w:bookmarkStart w:id="1540" w:name="_Toc11603"/>
      <w:bookmarkStart w:id="1541" w:name="_Toc2669"/>
      <w:bookmarkStart w:id="1542" w:name="_Toc32167"/>
      <w:bookmarkStart w:id="1543" w:name="_Toc13975"/>
      <w:bookmarkStart w:id="1544" w:name="_Toc2635_WPSOffice_Level1"/>
      <w:bookmarkStart w:id="1545" w:name="_Toc23706"/>
      <w:r>
        <w:rPr>
          <w:rFonts w:hint="eastAsia" w:ascii="Times New Roman" w:hAnsi="Times New Roman" w:cs="Times New Roman"/>
          <w:color w:val="auto"/>
          <w:u w:val="none" w:color="auto"/>
          <w:lang w:val="en-US" w:eastAsia="zh-CN"/>
        </w:rPr>
        <w:t>9</w:t>
      </w:r>
      <w:r>
        <w:rPr>
          <w:rFonts w:hint="default" w:ascii="Times New Roman" w:hAnsi="Times New Roman" w:cs="Times New Roman"/>
          <w:color w:val="auto"/>
          <w:u w:val="none" w:color="auto"/>
          <w:lang w:val="en-US" w:eastAsia="zh-CN"/>
        </w:rPr>
        <w:t>.1.2环境管理机构设置</w:t>
      </w:r>
      <w:bookmarkEnd w:id="1539"/>
      <w:bookmarkEnd w:id="1540"/>
      <w:bookmarkEnd w:id="1541"/>
      <w:bookmarkEnd w:id="1542"/>
    </w:p>
    <w:p w14:paraId="6A333AA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根据项目的实际情况，应设置环境管理机构，其基本任务是以保护环境和风险防范为目标，采用技术、经济、法律和行政等手段相结合的办法，保证污染治理设施的建设和正常运行，促进生产的发展。</w:t>
      </w:r>
    </w:p>
    <w:p w14:paraId="4D536570">
      <w:pPr>
        <w:pStyle w:val="4"/>
        <w:bidi w:val="0"/>
        <w:rPr>
          <w:rFonts w:hint="default" w:ascii="Times New Roman" w:hAnsi="Times New Roman" w:eastAsia="宋体" w:cs="Times New Roman"/>
          <w:color w:val="auto"/>
          <w:u w:val="none" w:color="auto"/>
          <w:lang w:val="en-US" w:eastAsia="zh-CN"/>
        </w:rPr>
      </w:pPr>
      <w:bookmarkStart w:id="1546" w:name="_Toc6307"/>
      <w:bookmarkStart w:id="1547" w:name="_Toc18982"/>
      <w:bookmarkStart w:id="1548" w:name="_Toc31506"/>
      <w:bookmarkStart w:id="1549" w:name="_Toc3997"/>
      <w:r>
        <w:rPr>
          <w:rFonts w:hint="eastAsia" w:ascii="Times New Roman" w:hAnsi="Times New Roman" w:cs="Times New Roman"/>
          <w:color w:val="auto"/>
          <w:u w:val="none" w:color="auto"/>
          <w:lang w:val="en-US" w:eastAsia="zh-CN"/>
        </w:rPr>
        <w:t>9</w:t>
      </w:r>
      <w:r>
        <w:rPr>
          <w:rFonts w:hint="default" w:ascii="Times New Roman" w:hAnsi="Times New Roman" w:cs="Times New Roman"/>
          <w:color w:val="auto"/>
          <w:u w:val="none" w:color="auto"/>
          <w:lang w:val="en-US" w:eastAsia="zh-CN"/>
        </w:rPr>
        <w:t>.1.3环境管理机构的职责</w:t>
      </w:r>
      <w:bookmarkEnd w:id="1546"/>
      <w:bookmarkEnd w:id="1547"/>
      <w:bookmarkEnd w:id="1548"/>
      <w:bookmarkEnd w:id="1549"/>
    </w:p>
    <w:p w14:paraId="34D5079B">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项目建成运行后设置环境管理机构，环境管理部门应设置专门环境管理人员。项目设立环境管理机构主要职责如下：</w:t>
      </w:r>
    </w:p>
    <w:p w14:paraId="58F9E20E">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（1）全面贯彻落实</w:t>
      </w:r>
      <w:r>
        <w:rPr>
          <w:rFonts w:hint="default" w:ascii="Times New Roman" w:hAnsi="Times New Roman" w:eastAsia="宋体" w:cs="Times New Roman"/>
          <w:color w:val="auto"/>
          <w:u w:val="none" w:color="auto"/>
          <w:lang w:val="en-US" w:eastAsia="zh-CN"/>
        </w:rPr>
        <w:t>“</w:t>
      </w:r>
      <w:r>
        <w:rPr>
          <w:rFonts w:hint="default" w:ascii="Times New Roman" w:hAnsi="Times New Roman" w:cs="Times New Roman"/>
          <w:color w:val="auto"/>
          <w:u w:val="none" w:color="auto"/>
          <w:lang w:val="en-US" w:eastAsia="zh-CN"/>
        </w:rPr>
        <w:t>保护和改善生产环境与生态环境，防治污染和其它公害</w:t>
      </w:r>
      <w:r>
        <w:rPr>
          <w:rFonts w:hint="default" w:ascii="Times New Roman" w:hAnsi="Times New Roman" w:eastAsia="宋体" w:cs="Times New Roman"/>
          <w:color w:val="auto"/>
          <w:u w:val="none" w:color="auto"/>
          <w:lang w:val="en-US" w:eastAsia="zh-CN"/>
        </w:rPr>
        <w:t>”</w:t>
      </w:r>
      <w:r>
        <w:rPr>
          <w:rFonts w:hint="default" w:ascii="Times New Roman" w:hAnsi="Times New Roman" w:cs="Times New Roman"/>
          <w:color w:val="auto"/>
          <w:u w:val="none" w:color="auto"/>
          <w:lang w:val="en-US" w:eastAsia="zh-CN"/>
        </w:rPr>
        <w:t>等环境保护基本国策的要求，认真、全面地做好工程项目环境污染防治和当地生态环境保护的工作。</w:t>
      </w:r>
    </w:p>
    <w:p w14:paraId="795174F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（2）按照环境保护部门给本企业下达的环境保护目标责任书，结合企业实际情况，制定出本企业的环境保护目标和实施措施，落实到企业年度计划，并作为评定企业指标完成情况的依据之一。</w:t>
      </w:r>
    </w:p>
    <w:p w14:paraId="3F4F966D">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（3）监督本工程环保措施的落实，确保建设项目主体工程与环保措施同时投入使用；做好环保设施运行管理和维修工作，保证各项环保设施正常运行，确保治理效果。建立并管理好环保设施的档案资料。</w:t>
      </w:r>
    </w:p>
    <w:p w14:paraId="68B64E88">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（4）负责建立和健全企业内部环境保护目标责任制度和考核制度，严格考核各环保处理设施的处理效果，要有相应的奖惩制度。</w:t>
      </w:r>
    </w:p>
    <w:p w14:paraId="72DE09E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（5）进一步</w:t>
      </w:r>
      <w:r>
        <w:rPr>
          <w:rFonts w:hint="eastAsia" w:ascii="Times New Roman" w:hAnsi="Times New Roman" w:cs="Times New Roman"/>
          <w:color w:val="auto"/>
          <w:u w:val="none" w:color="auto"/>
          <w:lang w:val="en-US" w:eastAsia="zh-CN"/>
        </w:rPr>
        <w:t>做</w:t>
      </w:r>
      <w:r>
        <w:rPr>
          <w:rFonts w:hint="default" w:ascii="Times New Roman" w:hAnsi="Times New Roman" w:cs="Times New Roman"/>
          <w:color w:val="auto"/>
          <w:u w:val="none" w:color="auto"/>
          <w:lang w:val="en-US" w:eastAsia="zh-CN"/>
        </w:rPr>
        <w:t>好废水、废气、噪声污染防治和固体废物的综合利用工作。</w:t>
      </w:r>
    </w:p>
    <w:p w14:paraId="1168215A">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6）定期委托当地环境监测部门开展厂区环境监测；对环境监测结果进行统计分析，了解掌握工艺中的排污动态，发现异常要及时查找原因并及时改正，确保企业能够按国家和地方法规标准合格排放，并反馈给生产部门，防止污染事故发生。厂区内还应配套建设化验室，并配备相应的仪器设备。</w:t>
      </w:r>
    </w:p>
    <w:p w14:paraId="15A4B196">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（7）宣传并贯彻、执行国家和地方的有关环</w:t>
      </w:r>
      <w:r>
        <w:rPr>
          <w:rFonts w:hint="default" w:ascii="Times New Roman" w:hAnsi="Times New Roman" w:eastAsia="宋体" w:cs="Times New Roman"/>
          <w:color w:val="auto"/>
          <w:kern w:val="0"/>
          <w:szCs w:val="24"/>
          <w:u w:val="none" w:color="auto"/>
          <w:lang w:val="en-US" w:eastAsia="zh-CN" w:bidi="ar"/>
        </w:rPr>
        <w:t>保法规。开展环保技术培训，</w:t>
      </w:r>
      <w:r>
        <w:rPr>
          <w:rFonts w:hint="default" w:ascii="Times New Roman" w:hAnsi="Times New Roman" w:eastAsia="宋体" w:cs="Times New Roman"/>
          <w:color w:val="auto"/>
          <w:kern w:val="0"/>
          <w:sz w:val="24"/>
          <w:szCs w:val="24"/>
          <w:u w:val="none" w:color="auto"/>
          <w:lang w:val="en-US" w:eastAsia="zh-CN" w:bidi="ar"/>
        </w:rPr>
        <w:t>提高职工的环保意识和技术水平。</w:t>
      </w:r>
    </w:p>
    <w:p w14:paraId="7C9FAAE6">
      <w:pPr>
        <w:pStyle w:val="4"/>
        <w:bidi w:val="0"/>
        <w:rPr>
          <w:rFonts w:hint="default" w:ascii="Times New Roman" w:hAnsi="Times New Roman" w:eastAsia="宋体" w:cs="Times New Roman"/>
          <w:color w:val="auto"/>
          <w:u w:val="none" w:color="auto"/>
          <w:lang w:val="en-US" w:eastAsia="zh-CN"/>
        </w:rPr>
      </w:pPr>
      <w:bookmarkStart w:id="1550" w:name="_Toc31579"/>
      <w:bookmarkStart w:id="1551" w:name="_Toc1580"/>
      <w:bookmarkStart w:id="1552" w:name="_Toc19844"/>
      <w:bookmarkStart w:id="1553" w:name="_Toc1367"/>
      <w:r>
        <w:rPr>
          <w:rFonts w:hint="eastAsia" w:ascii="Times New Roman" w:hAnsi="Times New Roman" w:cs="Times New Roman"/>
          <w:color w:val="auto"/>
          <w:u w:val="none" w:color="auto"/>
          <w:lang w:val="en-US" w:eastAsia="zh-CN"/>
        </w:rPr>
        <w:t>9</w:t>
      </w:r>
      <w:r>
        <w:rPr>
          <w:rFonts w:hint="default" w:ascii="Times New Roman" w:hAnsi="Times New Roman" w:cs="Times New Roman"/>
          <w:color w:val="auto"/>
          <w:u w:val="none" w:color="auto"/>
          <w:lang w:val="en-US" w:eastAsia="zh-CN"/>
        </w:rPr>
        <w:t>.1.4环境管理规章制度</w:t>
      </w:r>
      <w:bookmarkEnd w:id="1550"/>
      <w:bookmarkEnd w:id="1551"/>
      <w:bookmarkEnd w:id="1552"/>
      <w:bookmarkEnd w:id="1553"/>
    </w:p>
    <w:p w14:paraId="52ADEE65">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建立健全必要的环境管理规章制度，并把它作为企业领导和全体职工必须严格遵守的一种规范和准则。各项规章制度要体现环境管理的任务、内容和准则，使环境管理的特点和要求渗透到企业的各项管理工作之中。</w:t>
      </w:r>
    </w:p>
    <w:p w14:paraId="5D43A9DC">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1）推行以清洁生产为目标的生产岗位责任制和考核制，对各车间、工段、班组实行责任承包制，制定各生产岗位的责任和详细的考核指标，把污染物处理量、处理成本、运行正常率和污染事故率等都列为考核指标，使其制度化。</w:t>
      </w:r>
    </w:p>
    <w:p w14:paraId="432C749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2）制定各环保设施操作规程，定期维修制度，使各项环保设施在生产过程中处于良好的运行状态。加强对环保设施的运行管理，对运行情况实行监测、记录、汇报制度。如环保设施出现故障，应立即停产检修，严禁非正常排放。</w:t>
      </w:r>
    </w:p>
    <w:p w14:paraId="30C4159A">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（3）对技术工作进行上岗前的环保知识法规、风险防范教育及操作规范的培训，使各项环保设施的操作规范化，保证环保设施的正常运转。</w:t>
      </w:r>
    </w:p>
    <w:p w14:paraId="15B2FFD4">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（4）加强环境监测工作，重点是对污染源进行定期监测，污染治理设施的日常维护制度。</w:t>
      </w:r>
    </w:p>
    <w:p w14:paraId="1EFD34DB">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5）建立台账管理制度是提高环境管理水平的一种有效途径，台账种类是否齐全、内容是否完善，直接反应企业对环境管理的认识程度。在台帐资料的记录、整理和积累过程中能够起到自我督促、强化管理的作用。台账录入要及时、准确、清晰，便于查看。台账要专人录入，数据、信息、记录内容要真实，与实际相符。台账要设专人管理，定点存放。无关人员不得随意移动、查看。重要台账必须纸版与电子版两种形式保存。定期对台账数据进行审核，定期检查台账录入内容，确保台账数据的准确性、及时性和完整性。安全环保台账应与其他台账分开放置，由环境管理专员亲自管理。所有台账盒签必须统一打印，名称清楚、完整。</w:t>
      </w:r>
    </w:p>
    <w:p w14:paraId="3C152BB7">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要求本项目制定的环境管理制度有如下几个方面：</w:t>
      </w:r>
    </w:p>
    <w:p w14:paraId="0696A807">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① 区环境保护管理条例。</w:t>
      </w:r>
    </w:p>
    <w:p w14:paraId="3E7730F8">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② 厂区质量管理规程。 </w:t>
      </w:r>
    </w:p>
    <w:p w14:paraId="63EE43A3">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③ 厂区环境管理的经济责任制。 </w:t>
      </w:r>
    </w:p>
    <w:p w14:paraId="5B96F359">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④ 环境保护业务的管理制度。 </w:t>
      </w:r>
    </w:p>
    <w:p w14:paraId="5A45775B">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⑤ 环境管理岗位责任制。 </w:t>
      </w:r>
    </w:p>
    <w:p w14:paraId="5DB3ACFF">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⑥ 环境管理领导责任制。 </w:t>
      </w:r>
    </w:p>
    <w:p w14:paraId="5F01FDEC">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⑦ 环境技术管理规程。 </w:t>
      </w:r>
    </w:p>
    <w:p w14:paraId="224FF9DD">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⑧ 环境保护设施运行管理办法。 </w:t>
      </w:r>
    </w:p>
    <w:p w14:paraId="47080F1D">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⑨ 厂区环境保护的年度考核制度。 </w:t>
      </w:r>
    </w:p>
    <w:p w14:paraId="4E2EADCB">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 xml:space="preserve">⑩ 风险防范措施及应急预案检查管理制度。 </w:t>
      </w:r>
    </w:p>
    <w:p w14:paraId="6F5A9C91">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⑪ 环保台账管理制度。</w:t>
      </w:r>
    </w:p>
    <w:p w14:paraId="156F03A5">
      <w:pPr>
        <w:pStyle w:val="4"/>
        <w:bidi w:val="0"/>
        <w:rPr>
          <w:rFonts w:hint="default" w:ascii="Times New Roman" w:hAnsi="Times New Roman" w:eastAsia="宋体" w:cs="Times New Roman"/>
          <w:color w:val="auto"/>
          <w:u w:val="none" w:color="auto"/>
          <w:lang w:val="en-US" w:eastAsia="zh-CN"/>
        </w:rPr>
      </w:pPr>
      <w:bookmarkStart w:id="1554" w:name="_Toc14132"/>
      <w:bookmarkStart w:id="1555" w:name="_Toc31572"/>
      <w:bookmarkStart w:id="1556" w:name="_Toc30306"/>
      <w:bookmarkStart w:id="1557" w:name="_Toc30628"/>
      <w:r>
        <w:rPr>
          <w:rFonts w:hint="eastAsia" w:ascii="Times New Roman" w:hAnsi="Times New Roman" w:cs="Times New Roman"/>
          <w:color w:val="auto"/>
          <w:u w:val="none" w:color="auto"/>
          <w:lang w:val="en-US" w:eastAsia="zh-CN"/>
        </w:rPr>
        <w:t>9</w:t>
      </w:r>
      <w:r>
        <w:rPr>
          <w:rFonts w:hint="default" w:ascii="Times New Roman" w:hAnsi="Times New Roman" w:cs="Times New Roman"/>
          <w:color w:val="auto"/>
          <w:u w:val="none" w:color="auto"/>
          <w:lang w:val="en-US" w:eastAsia="zh-CN"/>
        </w:rPr>
        <w:t>.1.5环境管理计划</w:t>
      </w:r>
      <w:bookmarkEnd w:id="1554"/>
      <w:bookmarkEnd w:id="1555"/>
      <w:bookmarkEnd w:id="1556"/>
      <w:bookmarkEnd w:id="1557"/>
    </w:p>
    <w:p w14:paraId="77DFD50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一般情况下，各企业在各阶段都要有环境管理的具体内容，工程环境管理体系及程序具体情况见下表。</w:t>
      </w:r>
    </w:p>
    <w:p w14:paraId="382599A0">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9</w:t>
      </w:r>
      <w:r>
        <w:rPr>
          <w:rFonts w:hint="default"/>
          <w:color w:val="auto"/>
          <w:u w:val="none" w:color="auto"/>
        </w:rPr>
        <w:t>.1-1工程环境管理体系及程序示意表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98"/>
        <w:gridCol w:w="3398"/>
        <w:gridCol w:w="2256"/>
        <w:gridCol w:w="1952"/>
      </w:tblGrid>
      <w:tr w14:paraId="64C6DC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898" w:type="dxa"/>
            <w:noWrap w:val="0"/>
            <w:vAlign w:val="center"/>
          </w:tcPr>
          <w:p w14:paraId="7B1138D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w:t>
            </w:r>
          </w:p>
          <w:p w14:paraId="185E5A7F">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3398" w:type="dxa"/>
            <w:noWrap w:val="0"/>
            <w:vAlign w:val="center"/>
          </w:tcPr>
          <w:p w14:paraId="6F8F5BA5">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环境保护内容</w:t>
            </w:r>
          </w:p>
        </w:tc>
        <w:tc>
          <w:tcPr>
            <w:tcW w:w="2256" w:type="dxa"/>
            <w:noWrap w:val="0"/>
            <w:vAlign w:val="center"/>
          </w:tcPr>
          <w:p w14:paraId="35572AB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环保措施执行单位</w:t>
            </w:r>
          </w:p>
        </w:tc>
        <w:tc>
          <w:tcPr>
            <w:tcW w:w="1952" w:type="dxa"/>
            <w:noWrap w:val="0"/>
            <w:vAlign w:val="center"/>
          </w:tcPr>
          <w:p w14:paraId="67F47F68">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环境保护管理</w:t>
            </w:r>
          </w:p>
          <w:p w14:paraId="2ACD5681">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监督部门</w:t>
            </w:r>
          </w:p>
        </w:tc>
      </w:tr>
      <w:tr w14:paraId="08F89E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98" w:type="dxa"/>
            <w:noWrap w:val="0"/>
            <w:vAlign w:val="center"/>
          </w:tcPr>
          <w:p w14:paraId="09BEF79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营运期</w:t>
            </w:r>
          </w:p>
        </w:tc>
        <w:tc>
          <w:tcPr>
            <w:tcW w:w="3398" w:type="dxa"/>
            <w:noWrap w:val="0"/>
            <w:vAlign w:val="center"/>
          </w:tcPr>
          <w:p w14:paraId="122FB9F0">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实施营运期环保措施、保证环保设施的正常稳定运行，负责搞好全厂环境，委托监测及环境管理</w:t>
            </w:r>
          </w:p>
        </w:tc>
        <w:tc>
          <w:tcPr>
            <w:tcW w:w="2256" w:type="dxa"/>
            <w:noWrap w:val="0"/>
            <w:vAlign w:val="center"/>
          </w:tcPr>
          <w:p w14:paraId="54731B6C">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建设单位环保机构、地方环境管理部门</w:t>
            </w:r>
          </w:p>
        </w:tc>
        <w:tc>
          <w:tcPr>
            <w:tcW w:w="1952" w:type="dxa"/>
            <w:noWrap w:val="0"/>
            <w:vAlign w:val="center"/>
          </w:tcPr>
          <w:p w14:paraId="0CCDB09D">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地方环境管理部门</w:t>
            </w:r>
          </w:p>
        </w:tc>
      </w:tr>
    </w:tbl>
    <w:p w14:paraId="03C208C8">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环境管理方案表见下表。</w:t>
      </w:r>
    </w:p>
    <w:p w14:paraId="4DC7F452">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9</w:t>
      </w:r>
      <w:r>
        <w:rPr>
          <w:rFonts w:hint="default"/>
          <w:color w:val="auto"/>
          <w:u w:val="none" w:color="auto"/>
        </w:rPr>
        <w:t>.1-2主要环境管理方案表</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9"/>
        <w:gridCol w:w="7405"/>
      </w:tblGrid>
      <w:tr w14:paraId="08A5A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noWrap w:val="0"/>
            <w:vAlign w:val="center"/>
          </w:tcPr>
          <w:p w14:paraId="72B75F90">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环境问题</w:t>
            </w:r>
          </w:p>
        </w:tc>
        <w:tc>
          <w:tcPr>
            <w:tcW w:w="7405" w:type="dxa"/>
            <w:noWrap w:val="0"/>
            <w:vAlign w:val="center"/>
          </w:tcPr>
          <w:p w14:paraId="6064AFB6">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防治措施</w:t>
            </w:r>
          </w:p>
        </w:tc>
      </w:tr>
      <w:tr w14:paraId="660C09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restart"/>
            <w:noWrap w:val="0"/>
            <w:vAlign w:val="center"/>
          </w:tcPr>
          <w:p w14:paraId="39D92D47">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废气排放</w:t>
            </w:r>
          </w:p>
        </w:tc>
        <w:tc>
          <w:tcPr>
            <w:tcW w:w="7405" w:type="dxa"/>
            <w:noWrap w:val="0"/>
            <w:vAlign w:val="center"/>
          </w:tcPr>
          <w:p w14:paraId="7E6CAAE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rPr>
              <w:t>加强废气治理系统的维护保养，使运行效率不低于设计标准和废气达标，具体要求为颗粒物</w:t>
            </w:r>
            <w:r>
              <w:rPr>
                <w:rFonts w:hint="eastAsia" w:ascii="Times New Roman" w:hAnsi="Times New Roman" w:cs="Times New Roman"/>
                <w:color w:val="auto"/>
                <w:u w:val="none"/>
                <w:lang w:eastAsia="zh-CN"/>
              </w:rPr>
              <w:t>、</w:t>
            </w:r>
            <w:r>
              <w:rPr>
                <w:rFonts w:hint="eastAsia" w:ascii="Times New Roman" w:hAnsi="Times New Roman" w:cs="Times New Roman"/>
                <w:color w:val="auto"/>
                <w:u w:val="none"/>
                <w:lang w:val="en-US" w:eastAsia="zh-CN"/>
              </w:rPr>
              <w:t>非甲烷总烃、氯化氢、二甲苯</w:t>
            </w:r>
            <w:r>
              <w:rPr>
                <w:rFonts w:hint="default" w:ascii="Times New Roman" w:hAnsi="Times New Roman" w:cs="Times New Roman"/>
                <w:color w:val="auto"/>
                <w:u w:val="none"/>
              </w:rPr>
              <w:t>执行《大气污染物综合排放标准》(GB16297-1996)二级标准</w:t>
            </w:r>
            <w:r>
              <w:rPr>
                <w:rFonts w:hint="default" w:ascii="Times New Roman" w:hAnsi="Times New Roman" w:cs="Times New Roman"/>
                <w:color w:val="auto"/>
                <w:u w:val="none" w:color="auto"/>
              </w:rPr>
              <w:t>。</w:t>
            </w:r>
          </w:p>
        </w:tc>
      </w:tr>
      <w:tr w14:paraId="1C3102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14:paraId="13B6C87A">
            <w:pPr>
              <w:pStyle w:val="24"/>
              <w:rPr>
                <w:rFonts w:hint="default" w:ascii="Times New Roman" w:hAnsi="Times New Roman" w:cs="Times New Roman"/>
                <w:color w:val="auto"/>
                <w:u w:val="none" w:color="auto"/>
              </w:rPr>
            </w:pPr>
          </w:p>
        </w:tc>
        <w:tc>
          <w:tcPr>
            <w:tcW w:w="7405" w:type="dxa"/>
            <w:noWrap w:val="0"/>
            <w:vAlign w:val="center"/>
          </w:tcPr>
          <w:p w14:paraId="3DE93BC5">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制定合理的绿化方案，选择滞尘、降噪、对生产中废气排放污染物有较强抵抗和吸收能力的树种进行种植。</w:t>
            </w:r>
          </w:p>
        </w:tc>
      </w:tr>
      <w:tr w14:paraId="0615D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noWrap w:val="0"/>
            <w:vAlign w:val="center"/>
          </w:tcPr>
          <w:p w14:paraId="5F4623BD">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废水排放</w:t>
            </w:r>
          </w:p>
        </w:tc>
        <w:tc>
          <w:tcPr>
            <w:tcW w:w="7405" w:type="dxa"/>
            <w:noWrap w:val="0"/>
            <w:vAlign w:val="center"/>
          </w:tcPr>
          <w:p w14:paraId="7C19E1DF">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严格清污分流、雨污分流管理。</w:t>
            </w:r>
          </w:p>
        </w:tc>
      </w:tr>
      <w:tr w14:paraId="1A0DE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noWrap w:val="0"/>
            <w:vAlign w:val="center"/>
          </w:tcPr>
          <w:p w14:paraId="1FAD7FC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固体废物</w:t>
            </w:r>
          </w:p>
        </w:tc>
        <w:tc>
          <w:tcPr>
            <w:tcW w:w="7405" w:type="dxa"/>
            <w:noWrap w:val="0"/>
            <w:vAlign w:val="center"/>
          </w:tcPr>
          <w:p w14:paraId="2AA087A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厂区内划出暂存区，对不能及时运走的固体废物暂时贮存，防止废物泄漏。</w:t>
            </w:r>
          </w:p>
        </w:tc>
      </w:tr>
      <w:tr w14:paraId="24B263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noWrap w:val="0"/>
            <w:vAlign w:val="center"/>
          </w:tcPr>
          <w:p w14:paraId="77A35717">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环境绿化</w:t>
            </w:r>
          </w:p>
        </w:tc>
        <w:tc>
          <w:tcPr>
            <w:tcW w:w="7405" w:type="dxa"/>
            <w:noWrap w:val="0"/>
            <w:vAlign w:val="center"/>
          </w:tcPr>
          <w:p w14:paraId="54B783C8">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加强绿化工作，规划出厂区绿化带。</w:t>
            </w:r>
          </w:p>
        </w:tc>
      </w:tr>
      <w:tr w14:paraId="7ED7E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restart"/>
            <w:noWrap w:val="0"/>
            <w:vAlign w:val="center"/>
          </w:tcPr>
          <w:p w14:paraId="2230AAF2">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环境风险</w:t>
            </w:r>
          </w:p>
        </w:tc>
        <w:tc>
          <w:tcPr>
            <w:tcW w:w="7405" w:type="dxa"/>
            <w:noWrap w:val="0"/>
            <w:vAlign w:val="center"/>
          </w:tcPr>
          <w:p w14:paraId="307E99CC">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定期进行生产知识及环保知识培训，提高操作人员文化素质及环保意识。</w:t>
            </w:r>
          </w:p>
        </w:tc>
      </w:tr>
      <w:tr w14:paraId="5B11EE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14:paraId="250F1266">
            <w:pPr>
              <w:pStyle w:val="24"/>
              <w:rPr>
                <w:rFonts w:hint="default" w:ascii="Times New Roman" w:hAnsi="Times New Roman" w:cs="Times New Roman"/>
                <w:color w:val="auto"/>
                <w:u w:val="none" w:color="auto"/>
              </w:rPr>
            </w:pPr>
          </w:p>
        </w:tc>
        <w:tc>
          <w:tcPr>
            <w:tcW w:w="7405" w:type="dxa"/>
            <w:noWrap w:val="0"/>
            <w:vAlign w:val="center"/>
          </w:tcPr>
          <w:p w14:paraId="3589D0C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加强危险化学品泄漏事故风险的预防和控制，杜绝危化品环境风险事故发生。</w:t>
            </w:r>
          </w:p>
        </w:tc>
      </w:tr>
      <w:tr w14:paraId="4A539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9" w:type="dxa"/>
            <w:vMerge w:val="continue"/>
            <w:noWrap w:val="0"/>
            <w:vAlign w:val="center"/>
          </w:tcPr>
          <w:p w14:paraId="6E19A67A">
            <w:pPr>
              <w:pStyle w:val="24"/>
              <w:rPr>
                <w:rFonts w:hint="default" w:ascii="Times New Roman" w:hAnsi="Times New Roman" w:cs="Times New Roman"/>
                <w:color w:val="auto"/>
                <w:u w:val="none" w:color="auto"/>
              </w:rPr>
            </w:pPr>
          </w:p>
        </w:tc>
        <w:tc>
          <w:tcPr>
            <w:tcW w:w="7405" w:type="dxa"/>
            <w:noWrap w:val="0"/>
            <w:vAlign w:val="center"/>
          </w:tcPr>
          <w:p w14:paraId="15A318F2">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加强事故风险的预防和控制，杜绝环境风险事故发生。</w:t>
            </w:r>
          </w:p>
        </w:tc>
      </w:tr>
    </w:tbl>
    <w:p w14:paraId="3202E4DC">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各阶段环境管理工作的具体内容见下表。</w:t>
      </w:r>
    </w:p>
    <w:p w14:paraId="676FBA0F">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9</w:t>
      </w:r>
      <w:r>
        <w:rPr>
          <w:rFonts w:hint="default"/>
          <w:color w:val="auto"/>
          <w:u w:val="none" w:color="auto"/>
        </w:rPr>
        <w:t>.1-3各阶段环境管理工作的具体内容</w:t>
      </w:r>
    </w:p>
    <w:tbl>
      <w:tblPr>
        <w:tblStyle w:val="1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74"/>
        <w:gridCol w:w="673"/>
        <w:gridCol w:w="7357"/>
      </w:tblGrid>
      <w:tr w14:paraId="1E59D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1147" w:type="dxa"/>
            <w:gridSpan w:val="2"/>
            <w:noWrap w:val="0"/>
            <w:vAlign w:val="center"/>
          </w:tcPr>
          <w:p w14:paraId="3C55BD95">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7357" w:type="dxa"/>
            <w:noWrap w:val="0"/>
            <w:vAlign w:val="center"/>
          </w:tcPr>
          <w:p w14:paraId="16756736">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环境管理工作计划的具体内容</w:t>
            </w:r>
          </w:p>
        </w:tc>
      </w:tr>
      <w:tr w14:paraId="0E33EE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47" w:type="dxa"/>
            <w:gridSpan w:val="2"/>
            <w:noWrap w:val="0"/>
            <w:vAlign w:val="center"/>
          </w:tcPr>
          <w:p w14:paraId="0C6876E7">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企业环</w:t>
            </w:r>
          </w:p>
          <w:p w14:paraId="036106A7">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境管理</w:t>
            </w:r>
          </w:p>
          <w:p w14:paraId="5D3CE600">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总要求</w:t>
            </w:r>
          </w:p>
        </w:tc>
        <w:tc>
          <w:tcPr>
            <w:tcW w:w="7357" w:type="dxa"/>
            <w:noWrap w:val="0"/>
            <w:vAlign w:val="top"/>
          </w:tcPr>
          <w:p w14:paraId="4884965E">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①可研阶段，委托评价单位进行环境影响评价；</w:t>
            </w:r>
          </w:p>
          <w:p w14:paraId="652D0F71">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②开工前，履行“三同时”手续；</w:t>
            </w:r>
          </w:p>
          <w:p w14:paraId="719CEDF4">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③项目投运试生产达到稳定状态后，尽快进行环保设施竣工验收；</w:t>
            </w:r>
          </w:p>
          <w:p w14:paraId="443483D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④营运阶段，定期请当地环保部门监督、检查，协助作好环境管理工作，对不达标装置及时整改；</w:t>
            </w:r>
          </w:p>
          <w:p w14:paraId="02E14D0A">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⑤配合当地环境监测站搞好监测工作，及时交纳排污费。</w:t>
            </w:r>
          </w:p>
        </w:tc>
      </w:tr>
      <w:tr w14:paraId="28409E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4" w:type="dxa"/>
            <w:vMerge w:val="restart"/>
            <w:noWrap w:val="0"/>
            <w:vAlign w:val="center"/>
          </w:tcPr>
          <w:p w14:paraId="19D7906D">
            <w:pPr>
              <w:pStyle w:val="24"/>
              <w:rPr>
                <w:rFonts w:hint="default" w:ascii="Times New Roman" w:hAnsi="Times New Roman" w:cs="Times New Roman"/>
                <w:color w:val="auto"/>
                <w:u w:val="none" w:color="auto"/>
              </w:rPr>
            </w:pPr>
          </w:p>
          <w:p w14:paraId="6B4B825B">
            <w:pPr>
              <w:pStyle w:val="24"/>
              <w:rPr>
                <w:rFonts w:hint="default" w:ascii="Times New Roman" w:hAnsi="Times New Roman" w:cs="Times New Roman"/>
                <w:color w:val="auto"/>
                <w:u w:val="none" w:color="auto"/>
              </w:rPr>
            </w:pPr>
          </w:p>
          <w:p w14:paraId="26295FBC">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竣工</w:t>
            </w:r>
          </w:p>
          <w:p w14:paraId="58E46536">
            <w:pPr>
              <w:pStyle w:val="24"/>
              <w:rPr>
                <w:rFonts w:hint="default" w:ascii="Times New Roman" w:hAnsi="Times New Roman" w:cs="Times New Roman"/>
                <w:color w:val="auto"/>
                <w:u w:val="none" w:color="auto"/>
              </w:rPr>
            </w:pPr>
          </w:p>
          <w:p w14:paraId="25F2927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验收</w:t>
            </w:r>
          </w:p>
          <w:p w14:paraId="384C56C2">
            <w:pPr>
              <w:pStyle w:val="24"/>
              <w:rPr>
                <w:rFonts w:hint="default" w:ascii="Times New Roman" w:hAnsi="Times New Roman" w:cs="Times New Roman"/>
                <w:color w:val="auto"/>
                <w:u w:val="none" w:color="auto"/>
              </w:rPr>
            </w:pPr>
          </w:p>
          <w:p w14:paraId="4A53FE16">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673" w:type="dxa"/>
            <w:noWrap w:val="0"/>
            <w:vAlign w:val="center"/>
          </w:tcPr>
          <w:p w14:paraId="7282D15C">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自检</w:t>
            </w:r>
          </w:p>
          <w:p w14:paraId="39C9389C">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准备</w:t>
            </w:r>
          </w:p>
          <w:p w14:paraId="723BADC2">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7357" w:type="dxa"/>
            <w:noWrap w:val="0"/>
            <w:vAlign w:val="top"/>
          </w:tcPr>
          <w:p w14:paraId="13EE0E50">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①检查施工项目是否按设计规定全部完工；</w:t>
            </w:r>
          </w:p>
          <w:p w14:paraId="341C16C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②向环保部门申请试运行；组织检查试车前的各项准备工作；</w:t>
            </w:r>
          </w:p>
          <w:p w14:paraId="00A620F6">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③检查操作技术文件和管理制度是否健全；整理技术文件资料档案；</w:t>
            </w:r>
          </w:p>
          <w:p w14:paraId="49E97AF2">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④建立环保档案。</w:t>
            </w:r>
          </w:p>
        </w:tc>
      </w:tr>
      <w:tr w14:paraId="63410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4" w:type="dxa"/>
            <w:vMerge w:val="continue"/>
            <w:noWrap w:val="0"/>
            <w:vAlign w:val="center"/>
          </w:tcPr>
          <w:p w14:paraId="0AFD0DE4">
            <w:pPr>
              <w:pStyle w:val="24"/>
              <w:rPr>
                <w:rFonts w:hint="default" w:ascii="Times New Roman" w:hAnsi="Times New Roman" w:cs="Times New Roman"/>
                <w:color w:val="auto"/>
                <w:u w:val="none" w:color="auto"/>
              </w:rPr>
            </w:pPr>
          </w:p>
        </w:tc>
        <w:tc>
          <w:tcPr>
            <w:tcW w:w="673" w:type="dxa"/>
            <w:noWrap w:val="0"/>
            <w:vAlign w:val="center"/>
          </w:tcPr>
          <w:p w14:paraId="2F0332C7">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预</w:t>
            </w:r>
          </w:p>
          <w:p w14:paraId="11B81F4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验收</w:t>
            </w:r>
          </w:p>
          <w:p w14:paraId="28FDE89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7357" w:type="dxa"/>
            <w:noWrap w:val="0"/>
            <w:vAlign w:val="top"/>
          </w:tcPr>
          <w:p w14:paraId="01356B98">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①检查污染治理效果和各污染源污染物排放情况；</w:t>
            </w:r>
          </w:p>
          <w:p w14:paraId="2BA90B6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②对问题，提出解决或补救措施，落实投资，确保按期完成；</w:t>
            </w:r>
          </w:p>
          <w:p w14:paraId="337B5F37">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③邀请环境监测站按环评选定的监测点或断面，有重点地考核生产设施、环保设施运行情况，污染物产生、治理和排污情况及环境污染水平，并提交《建设项目环境保护竣工验收监测报告》，回答环保工程是否满足竣工验收要求和具备验收条件。</w:t>
            </w:r>
          </w:p>
        </w:tc>
      </w:tr>
      <w:tr w14:paraId="754983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474" w:type="dxa"/>
            <w:vMerge w:val="continue"/>
            <w:noWrap w:val="0"/>
            <w:vAlign w:val="center"/>
          </w:tcPr>
          <w:p w14:paraId="7662C662">
            <w:pPr>
              <w:pStyle w:val="24"/>
              <w:rPr>
                <w:rFonts w:hint="default" w:ascii="Times New Roman" w:hAnsi="Times New Roman" w:cs="Times New Roman"/>
                <w:color w:val="auto"/>
                <w:u w:val="none" w:color="auto"/>
              </w:rPr>
            </w:pPr>
          </w:p>
        </w:tc>
        <w:tc>
          <w:tcPr>
            <w:tcW w:w="673" w:type="dxa"/>
            <w:noWrap w:val="0"/>
            <w:vAlign w:val="center"/>
          </w:tcPr>
          <w:p w14:paraId="0E484250">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正式</w:t>
            </w:r>
          </w:p>
          <w:p w14:paraId="379B438E">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验收</w:t>
            </w:r>
          </w:p>
          <w:p w14:paraId="66843CB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阶段</w:t>
            </w:r>
          </w:p>
        </w:tc>
        <w:tc>
          <w:tcPr>
            <w:tcW w:w="7357" w:type="dxa"/>
            <w:noWrap w:val="0"/>
            <w:vAlign w:val="top"/>
          </w:tcPr>
          <w:p w14:paraId="54316802">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建设单位完成《环境保护工程竣工验收监测报告》和《环境保护工程竣工验收报告》，申请正式竣工验收；</w:t>
            </w:r>
          </w:p>
          <w:p w14:paraId="6C9A804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②建设单位向</w:t>
            </w:r>
            <w:r>
              <w:rPr>
                <w:rFonts w:hint="eastAsia" w:ascii="Times New Roman" w:hAnsi="Times New Roman" w:cs="Times New Roman"/>
                <w:color w:val="auto"/>
                <w:u w:val="none" w:color="auto"/>
                <w:lang w:val="en-US" w:eastAsia="zh-CN"/>
              </w:rPr>
              <w:t>生态环境局</w:t>
            </w:r>
            <w:r>
              <w:rPr>
                <w:rFonts w:hint="default" w:ascii="Times New Roman" w:hAnsi="Times New Roman" w:cs="Times New Roman"/>
                <w:color w:val="auto"/>
                <w:u w:val="none" w:color="auto"/>
              </w:rPr>
              <w:t>申请办理</w:t>
            </w:r>
            <w:r>
              <w:rPr>
                <w:rFonts w:hint="eastAsia" w:ascii="Times New Roman" w:hAnsi="Times New Roman" w:cs="Times New Roman"/>
                <w:color w:val="auto"/>
                <w:u w:val="none" w:color="auto"/>
                <w:lang w:val="en-US" w:eastAsia="zh-CN"/>
              </w:rPr>
              <w:t>/变更</w:t>
            </w:r>
            <w:r>
              <w:rPr>
                <w:rFonts w:hint="default" w:ascii="Times New Roman" w:hAnsi="Times New Roman" w:cs="Times New Roman"/>
                <w:color w:val="auto"/>
                <w:u w:val="none" w:color="auto"/>
              </w:rPr>
              <w:t>《排污许可证》，转入日常环境保护监督管理。</w:t>
            </w:r>
          </w:p>
        </w:tc>
      </w:tr>
      <w:tr w14:paraId="2701C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147" w:type="dxa"/>
            <w:gridSpan w:val="2"/>
            <w:noWrap w:val="0"/>
            <w:vAlign w:val="center"/>
          </w:tcPr>
          <w:p w14:paraId="6BB0F980">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生产运行阶段</w:t>
            </w:r>
          </w:p>
        </w:tc>
        <w:tc>
          <w:tcPr>
            <w:tcW w:w="7357" w:type="dxa"/>
            <w:noWrap w:val="0"/>
            <w:vAlign w:val="top"/>
          </w:tcPr>
          <w:p w14:paraId="2DB0E649">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①把污染防治和环境管理纳入企业日常经营管理活动，从计划管理、生产管理、技术管理、设备管理到经济成本核算均有控制污染内容和指标，并落实到岗位；</w:t>
            </w:r>
          </w:p>
          <w:p w14:paraId="35BA923F">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②企业主要领导负责实行环保责任制，指标逐级分解，奖罚分明；</w:t>
            </w:r>
          </w:p>
          <w:p w14:paraId="67A9573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③建立健全企业的污染监测系统，为企业环境管理提供依据；</w:t>
            </w:r>
          </w:p>
          <w:p w14:paraId="7FE33AA8">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④建立环境保护信息反馈，接受公众监督；</w:t>
            </w:r>
          </w:p>
          <w:p w14:paraId="1C001868">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⑤建立健全各项环保设施运行操作规则，并有效监督实施，严防跑冒滴漏；</w:t>
            </w:r>
          </w:p>
          <w:p w14:paraId="27F6F273">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⑥定期向环保部门汇报情况，配合环保部门的监督、检查。</w:t>
            </w:r>
          </w:p>
        </w:tc>
      </w:tr>
    </w:tbl>
    <w:p w14:paraId="78C250B4">
      <w:pPr>
        <w:pStyle w:val="4"/>
        <w:bidi w:val="0"/>
        <w:rPr>
          <w:rFonts w:hint="default" w:ascii="Times New Roman" w:hAnsi="Times New Roman" w:cs="Times New Roman"/>
          <w:color w:val="auto"/>
          <w:u w:val="none" w:color="auto"/>
        </w:rPr>
      </w:pPr>
      <w:bookmarkStart w:id="1558" w:name="_Toc16297"/>
      <w:bookmarkStart w:id="1559" w:name="_Toc25495"/>
      <w:bookmarkStart w:id="1560" w:name="_Toc19002"/>
      <w:bookmarkStart w:id="1561" w:name="_Toc10311"/>
      <w:r>
        <w:rPr>
          <w:rFonts w:hint="eastAsia" w:ascii="Times New Roman" w:hAnsi="Times New Roman" w:cs="Times New Roman"/>
          <w:color w:val="auto"/>
          <w:u w:val="none" w:color="auto"/>
          <w:lang w:val="en-US" w:eastAsia="zh-CN"/>
        </w:rPr>
        <w:t>9</w:t>
      </w:r>
      <w:r>
        <w:rPr>
          <w:rFonts w:hint="default" w:ascii="Times New Roman" w:hAnsi="Times New Roman" w:cs="Times New Roman"/>
          <w:color w:val="auto"/>
          <w:u w:val="none" w:color="auto"/>
          <w:lang w:val="en-US" w:eastAsia="zh-CN"/>
        </w:rPr>
        <w:t>.1.6</w:t>
      </w:r>
      <w:r>
        <w:rPr>
          <w:rFonts w:hint="default" w:ascii="Times New Roman" w:hAnsi="Times New Roman" w:cs="Times New Roman"/>
          <w:color w:val="auto"/>
          <w:u w:val="none" w:color="auto"/>
        </w:rPr>
        <w:t>排污口管理</w:t>
      </w:r>
      <w:bookmarkEnd w:id="1558"/>
      <w:bookmarkEnd w:id="1559"/>
      <w:bookmarkEnd w:id="1560"/>
      <w:bookmarkEnd w:id="1561"/>
    </w:p>
    <w:p w14:paraId="0E18FD2B">
      <w:pPr>
        <w:pStyle w:val="20"/>
        <w:bidi w:val="0"/>
        <w:rPr>
          <w:rFonts w:hint="default"/>
          <w:b w:val="0"/>
          <w:bCs w:val="0"/>
          <w:color w:val="auto"/>
          <w:u w:val="none" w:color="auto"/>
        </w:rPr>
      </w:pPr>
      <w:r>
        <w:rPr>
          <w:rFonts w:hint="default"/>
          <w:b w:val="0"/>
          <w:bCs w:val="0"/>
          <w:color w:val="auto"/>
          <w:u w:val="none" w:color="auto"/>
        </w:rPr>
        <w:t>根据国家标准《环境保护图形标志—排放口（源）》和国家环保总局《排污口规范化整治要求》（试行）的技术要求，企业所有排放口必须按照“便于采样、便于计量检测、便于日常现场监督检查”的原则和规范化要求，设置与之相适应的环境保护图形标志牌，同时对污水排放口安装流量计，对治理设施安装运行监控装置、排污口的规范化要符合有关环保要求。</w:t>
      </w:r>
    </w:p>
    <w:p w14:paraId="68E454E2">
      <w:pPr>
        <w:pStyle w:val="20"/>
        <w:bidi w:val="0"/>
        <w:rPr>
          <w:rFonts w:hint="default"/>
          <w:b w:val="0"/>
          <w:bCs w:val="0"/>
          <w:color w:val="auto"/>
          <w:u w:val="none" w:color="auto"/>
        </w:rPr>
      </w:pPr>
      <w:r>
        <w:rPr>
          <w:rFonts w:hint="default"/>
          <w:b w:val="0"/>
          <w:bCs w:val="0"/>
          <w:color w:val="auto"/>
          <w:u w:val="none" w:color="auto"/>
        </w:rPr>
        <w:t>（1）废水排放口</w:t>
      </w:r>
    </w:p>
    <w:p w14:paraId="12C905D8">
      <w:pPr>
        <w:pStyle w:val="20"/>
        <w:bidi w:val="0"/>
        <w:rPr>
          <w:rFonts w:hint="default"/>
          <w:b w:val="0"/>
          <w:bCs w:val="0"/>
          <w:color w:val="auto"/>
          <w:u w:val="none" w:color="auto"/>
        </w:rPr>
      </w:pPr>
      <w:r>
        <w:rPr>
          <w:rFonts w:hint="default"/>
          <w:b w:val="0"/>
          <w:bCs w:val="0"/>
          <w:color w:val="auto"/>
          <w:u w:val="none" w:color="auto"/>
        </w:rPr>
        <w:t>排污口原则上只设一个，排污口应在项目边界内设置采样口（半径大于150mm），若排污管有压力，则应安装采样阀。</w:t>
      </w:r>
    </w:p>
    <w:p w14:paraId="015BDD7B">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（2）废气排放</w:t>
      </w:r>
    </w:p>
    <w:p w14:paraId="7F64E7A7">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废气排放口必须符合规定的高度和按《污染源监测技术规范》便于采样、监测的要求，设置直径不小于</w:t>
      </w:r>
      <w:r>
        <w:rPr>
          <w:rFonts w:hint="eastAsia" w:ascii="Times New Roman" w:hAnsi="Times New Roman" w:cs="Times New Roman"/>
          <w:b w:val="0"/>
          <w:bCs w:val="0"/>
          <w:color w:val="auto"/>
          <w:u w:val="none" w:color="auto"/>
          <w:lang w:val="en-US" w:eastAsia="zh-CN"/>
        </w:rPr>
        <w:t>80</w:t>
      </w:r>
      <w:r>
        <w:rPr>
          <w:rFonts w:hint="default" w:ascii="Times New Roman" w:hAnsi="Times New Roman" w:cs="Times New Roman"/>
          <w:b w:val="0"/>
          <w:bCs w:val="0"/>
          <w:color w:val="auto"/>
          <w:u w:val="none" w:color="auto"/>
        </w:rPr>
        <w:t>mm的采样口</w:t>
      </w:r>
      <w:r>
        <w:rPr>
          <w:rFonts w:hint="default" w:ascii="Times New Roman" w:hAnsi="Times New Roman" w:cs="Times New Roman"/>
          <w:b w:val="0"/>
          <w:bCs w:val="0"/>
          <w:color w:val="auto"/>
          <w:u w:val="none" w:color="auto"/>
          <w:lang w:eastAsia="zh-CN"/>
        </w:rPr>
        <w:t>，并具备采样监测条件，排放口附近树立图形标志牌</w:t>
      </w:r>
      <w:r>
        <w:rPr>
          <w:rFonts w:hint="default" w:ascii="Times New Roman" w:hAnsi="Times New Roman" w:cs="Times New Roman"/>
          <w:b w:val="0"/>
          <w:bCs w:val="0"/>
          <w:color w:val="auto"/>
          <w:u w:val="none" w:color="auto"/>
        </w:rPr>
        <w:t>。若无法满足要求的，其采样口与环境监测部门共同确认。</w:t>
      </w:r>
    </w:p>
    <w:p w14:paraId="30C807E5">
      <w:pPr>
        <w:pStyle w:val="52"/>
        <w:tabs>
          <w:tab w:val="left" w:pos="720"/>
          <w:tab w:val="left" w:pos="900"/>
          <w:tab w:val="clear" w:pos="1021"/>
        </w:tabs>
        <w:spacing w:line="360" w:lineRule="auto"/>
        <w:ind w:left="0" w:leftChars="0" w:firstLine="480" w:firstLineChars="200"/>
        <w:rPr>
          <w:rFonts w:hint="default" w:ascii="Times New Roman" w:hAnsi="Times New Roman" w:eastAsia="宋体" w:cs="Times New Roman"/>
          <w:b w:val="0"/>
          <w:bCs w:val="0"/>
          <w:color w:val="auto"/>
          <w:u w:val="none" w:color="auto"/>
          <w:lang w:val="en-US" w:eastAsia="zh-CN"/>
        </w:rPr>
      </w:pPr>
      <w:r>
        <w:rPr>
          <w:rFonts w:hint="eastAsia" w:ascii="Times New Roman" w:hAnsi="Times New Roman" w:cs="Times New Roman"/>
          <w:b w:val="0"/>
          <w:bCs w:val="0"/>
          <w:color w:val="auto"/>
          <w:u w:val="none" w:color="auto"/>
          <w:lang w:eastAsia="zh-CN"/>
        </w:rPr>
        <w:t>根据工程分析内容，本项目设置</w:t>
      </w:r>
      <w:r>
        <w:rPr>
          <w:rFonts w:hint="eastAsia" w:ascii="Times New Roman" w:hAnsi="Times New Roman" w:cs="Times New Roman"/>
          <w:b w:val="0"/>
          <w:bCs w:val="0"/>
          <w:color w:val="auto"/>
          <w:u w:val="none" w:color="auto"/>
          <w:lang w:val="en-US" w:eastAsia="zh-CN"/>
        </w:rPr>
        <w:t>3个排气筒。</w:t>
      </w:r>
    </w:p>
    <w:p w14:paraId="45FED591">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（3）固定噪声源</w:t>
      </w:r>
    </w:p>
    <w:p w14:paraId="314199E6">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按规定对固定噪声源进行治理，并在边界噪声敏感点，且对外界影响最大处设置标志牌。</w:t>
      </w:r>
    </w:p>
    <w:p w14:paraId="0136DB15">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（4）固体废物存储场</w:t>
      </w:r>
    </w:p>
    <w:p w14:paraId="5A1402E4">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一般工业固废和生活垃圾</w:t>
      </w:r>
      <w:r>
        <w:rPr>
          <w:rFonts w:hint="eastAsia" w:ascii="Times New Roman" w:hAnsi="Times New Roman" w:cs="Times New Roman"/>
          <w:b w:val="0"/>
          <w:bCs w:val="0"/>
          <w:color w:val="auto"/>
          <w:u w:val="none" w:color="auto"/>
          <w:lang w:val="en-US" w:eastAsia="zh-CN"/>
        </w:rPr>
        <w:t>应</w:t>
      </w:r>
      <w:r>
        <w:rPr>
          <w:rFonts w:hint="default" w:ascii="Times New Roman" w:hAnsi="Times New Roman" w:cs="Times New Roman"/>
          <w:b w:val="0"/>
          <w:bCs w:val="0"/>
          <w:color w:val="auto"/>
          <w:u w:val="none" w:color="auto"/>
        </w:rPr>
        <w:t>设置专用堆放场地，采取防止二次扬尘措施；危险废物</w:t>
      </w:r>
      <w:r>
        <w:rPr>
          <w:rFonts w:hint="eastAsia" w:ascii="Times New Roman" w:hAnsi="Times New Roman" w:cs="Times New Roman"/>
          <w:b w:val="0"/>
          <w:bCs w:val="0"/>
          <w:color w:val="auto"/>
          <w:u w:val="none" w:color="auto"/>
          <w:lang w:val="en-US" w:eastAsia="zh-CN"/>
        </w:rPr>
        <w:t>已</w:t>
      </w:r>
      <w:r>
        <w:rPr>
          <w:rFonts w:hint="default" w:ascii="Times New Roman" w:hAnsi="Times New Roman" w:cs="Times New Roman"/>
          <w:b w:val="0"/>
          <w:bCs w:val="0"/>
          <w:color w:val="auto"/>
          <w:u w:val="none" w:color="auto"/>
        </w:rPr>
        <w:t>设置专用</w:t>
      </w:r>
      <w:r>
        <w:rPr>
          <w:rFonts w:hint="default" w:ascii="Times New Roman" w:hAnsi="Times New Roman" w:cs="Times New Roman"/>
          <w:b w:val="0"/>
          <w:bCs w:val="0"/>
          <w:color w:val="auto"/>
          <w:u w:val="none" w:color="auto"/>
          <w:lang w:val="en-US" w:eastAsia="zh-CN"/>
        </w:rPr>
        <w:t>危废暂存间</w:t>
      </w:r>
      <w:r>
        <w:rPr>
          <w:rFonts w:hint="default" w:ascii="Times New Roman" w:hAnsi="Times New Roman" w:cs="Times New Roman"/>
          <w:b w:val="0"/>
          <w:bCs w:val="0"/>
          <w:color w:val="auto"/>
          <w:u w:val="none" w:color="auto"/>
        </w:rPr>
        <w:t>，有防扬散、防流失、防渗漏等措施。</w:t>
      </w:r>
    </w:p>
    <w:p w14:paraId="5E59D3D5">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（5）标志牌设置</w:t>
      </w:r>
    </w:p>
    <w:p w14:paraId="49B09CD0">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排放一般污染物排污口（源），设置提示牌标志牌，排放有毒有害等污染物的排污口设置警告式标志牌。</w:t>
      </w:r>
    </w:p>
    <w:p w14:paraId="3514D24B">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标志牌设置位置在排污口（采样点）附近且醒目处，高度为标志牌上缘离地面2</w:t>
      </w:r>
      <w:r>
        <w:rPr>
          <w:rFonts w:hint="default" w:ascii="Times New Roman" w:hAnsi="Times New Roman" w:cs="Times New Roman"/>
          <w:b w:val="0"/>
          <w:bCs w:val="0"/>
          <w:color w:val="auto"/>
          <w:u w:val="none" w:color="auto"/>
          <w:lang w:val="en-US" w:eastAsia="zh-CN"/>
        </w:rPr>
        <w:t>m</w:t>
      </w:r>
      <w:r>
        <w:rPr>
          <w:rFonts w:hint="default" w:ascii="Times New Roman" w:hAnsi="Times New Roman" w:cs="Times New Roman"/>
          <w:b w:val="0"/>
          <w:bCs w:val="0"/>
          <w:color w:val="auto"/>
          <w:u w:val="none" w:color="auto"/>
        </w:rPr>
        <w:t>。排污口附近1</w:t>
      </w:r>
      <w:r>
        <w:rPr>
          <w:rFonts w:hint="default" w:ascii="Times New Roman" w:hAnsi="Times New Roman" w:cs="Times New Roman"/>
          <w:b w:val="0"/>
          <w:bCs w:val="0"/>
          <w:color w:val="auto"/>
          <w:u w:val="none" w:color="auto"/>
          <w:lang w:val="en-US" w:eastAsia="zh-CN"/>
        </w:rPr>
        <w:t>m</w:t>
      </w:r>
      <w:r>
        <w:rPr>
          <w:rFonts w:hint="default" w:ascii="Times New Roman" w:hAnsi="Times New Roman" w:cs="Times New Roman"/>
          <w:b w:val="0"/>
          <w:bCs w:val="0"/>
          <w:color w:val="auto"/>
          <w:u w:val="none" w:color="auto"/>
        </w:rPr>
        <w:t>范围内有建筑物的，设平面式标志牌，无建筑物的设立式标志牌。</w:t>
      </w:r>
    </w:p>
    <w:p w14:paraId="65F5DB60">
      <w:pPr>
        <w:pStyle w:val="52"/>
        <w:tabs>
          <w:tab w:val="left" w:pos="720"/>
          <w:tab w:val="left" w:pos="900"/>
          <w:tab w:val="clear" w:pos="1021"/>
        </w:tabs>
        <w:spacing w:line="360" w:lineRule="auto"/>
        <w:rPr>
          <w:rFonts w:hint="default" w:ascii="Times New Roman" w:hAnsi="Times New Roman" w:cs="Times New Roman"/>
          <w:b w:val="0"/>
          <w:bCs w:val="0"/>
          <w:color w:val="auto"/>
          <w:u w:val="none" w:color="auto"/>
        </w:rPr>
      </w:pPr>
      <w:r>
        <w:rPr>
          <w:rFonts w:hint="default" w:ascii="Times New Roman" w:hAnsi="Times New Roman" w:cs="Times New Roman"/>
          <w:b w:val="0"/>
          <w:bCs w:val="0"/>
          <w:color w:val="auto"/>
          <w:u w:val="none" w:color="auto"/>
        </w:rPr>
        <w:t>规范化排污口的有关设置（如图形标志牌、计量装置、监控装置等）属环保设施，排污单位必须负责日常的维护保养，任何单位和个人不得擅自拆除，如需变更的须报环境监理部门同意并办理变更手续。</w:t>
      </w:r>
    </w:p>
    <w:p w14:paraId="587DBB51">
      <w:pPr>
        <w:pStyle w:val="20"/>
        <w:ind w:firstLine="480"/>
        <w:rPr>
          <w:rFonts w:hint="default" w:ascii="Times New Roman" w:hAnsi="Times New Roman" w:cs="Times New Roman"/>
          <w:color w:val="auto"/>
          <w:u w:val="none" w:color="auto"/>
        </w:rPr>
      </w:pP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排污口建档管理</w:t>
      </w:r>
    </w:p>
    <w:p w14:paraId="5652770D">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1）本项目应使用国家环保局统一印制的《中华人民共和国规范化排污口标志登记证》，并按要求填写有关内容；</w:t>
      </w:r>
    </w:p>
    <w:p w14:paraId="0059EC60">
      <w:pPr>
        <w:pStyle w:val="53"/>
        <w:spacing w:line="360" w:lineRule="auto"/>
        <w:ind w:firstLine="480"/>
        <w:rPr>
          <w:rFonts w:hint="default" w:ascii="Times New Roman" w:hAnsi="Times New Roman" w:eastAsia="宋体" w:cs="Times New Roman"/>
          <w:b w:val="0"/>
          <w:bCs w:val="0"/>
          <w:color w:val="auto"/>
          <w:highlight w:val="none"/>
          <w:u w:val="none" w:color="auto"/>
        </w:rPr>
      </w:pPr>
      <w:r>
        <w:rPr>
          <w:rFonts w:hint="default" w:ascii="Times New Roman" w:hAnsi="Times New Roman" w:cs="Times New Roman"/>
          <w:color w:val="auto"/>
          <w:u w:val="none" w:color="auto"/>
        </w:rPr>
        <w:t>2）根据排污口管理内容要求，项目建成投产后，建设单位应把有关排污情况如排污口的性质、编号、排污口位置以及主要排放的污染物种类、数量、浓度、排放规律、排放走向及污染治理设施的运行情况建档管理，并报送生态环境管理部门备案。</w:t>
      </w:r>
    </w:p>
    <w:p w14:paraId="60351EFE">
      <w:pPr>
        <w:pStyle w:val="53"/>
        <w:spacing w:line="360" w:lineRule="auto"/>
        <w:ind w:firstLine="480"/>
        <w:rPr>
          <w:rFonts w:hint="default" w:ascii="Times New Roman" w:hAnsi="Times New Roman" w:eastAsia="宋体" w:cs="Times New Roman"/>
          <w:b w:val="0"/>
          <w:bCs w:val="0"/>
          <w:color w:val="auto"/>
          <w:highlight w:val="none"/>
          <w:u w:val="none" w:color="auto"/>
        </w:rPr>
      </w:pPr>
      <w:r>
        <w:rPr>
          <w:rFonts w:hint="default" w:ascii="Times New Roman" w:hAnsi="Times New Roman" w:eastAsia="宋体" w:cs="Times New Roman"/>
          <w:b w:val="0"/>
          <w:bCs w:val="0"/>
          <w:color w:val="auto"/>
          <w:highlight w:val="none"/>
          <w:u w:val="none" w:color="auto"/>
        </w:rPr>
        <w:t>具体要求</w:t>
      </w:r>
      <w:r>
        <w:rPr>
          <w:rFonts w:hint="default" w:ascii="Times New Roman" w:hAnsi="Times New Roman" w:eastAsia="宋体" w:cs="Times New Roman"/>
          <w:b w:val="0"/>
          <w:bCs w:val="0"/>
          <w:color w:val="auto"/>
          <w:highlight w:val="none"/>
          <w:u w:val="none" w:color="auto"/>
          <w:lang w:val="en-US" w:eastAsia="zh-CN"/>
        </w:rPr>
        <w:t>详见下表</w:t>
      </w:r>
      <w:r>
        <w:rPr>
          <w:rFonts w:hint="default" w:ascii="Times New Roman" w:hAnsi="Times New Roman" w:eastAsia="宋体" w:cs="Times New Roman"/>
          <w:b w:val="0"/>
          <w:bCs w:val="0"/>
          <w:color w:val="auto"/>
          <w:highlight w:val="none"/>
          <w:u w:val="none" w:color="auto"/>
        </w:rPr>
        <w:t>。</w:t>
      </w:r>
    </w:p>
    <w:p w14:paraId="2C15641A">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9.1-4</w:t>
      </w:r>
      <w:r>
        <w:rPr>
          <w:rFonts w:hint="default"/>
          <w:color w:val="auto"/>
          <w:u w:val="none" w:color="auto"/>
        </w:rPr>
        <w:t xml:space="preserve">  本项目各排污口环境保护图形标志要求</w:t>
      </w:r>
    </w:p>
    <w:tbl>
      <w:tblPr>
        <w:tblStyle w:val="16"/>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1432"/>
        <w:gridCol w:w="1488"/>
        <w:gridCol w:w="1132"/>
        <w:gridCol w:w="1281"/>
      </w:tblGrid>
      <w:tr w14:paraId="5D6D21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105BEAD8">
            <w:pPr>
              <w:pStyle w:val="26"/>
              <w:bidi w:val="0"/>
              <w:rPr>
                <w:rFonts w:hint="default"/>
                <w:b w:val="0"/>
                <w:bCs w:val="0"/>
                <w:color w:val="auto"/>
                <w:u w:val="none" w:color="auto"/>
                <w:lang w:val="en-US" w:eastAsia="zh-CN"/>
              </w:rPr>
            </w:pPr>
            <w:r>
              <w:rPr>
                <w:rFonts w:hint="default"/>
                <w:b w:val="0"/>
                <w:bCs w:val="0"/>
                <w:color w:val="auto"/>
                <w:u w:val="none" w:color="auto"/>
                <w:lang w:val="en-US" w:eastAsia="zh-CN"/>
              </w:rPr>
              <w:t>排放口名称</w:t>
            </w:r>
          </w:p>
        </w:tc>
        <w:tc>
          <w:tcPr>
            <w:tcW w:w="840" w:type="pct"/>
            <w:tcBorders>
              <w:tl2br w:val="nil"/>
              <w:tr2bl w:val="nil"/>
            </w:tcBorders>
            <w:noWrap w:val="0"/>
            <w:vAlign w:val="center"/>
          </w:tcPr>
          <w:p w14:paraId="27F9F89C">
            <w:pPr>
              <w:pStyle w:val="26"/>
              <w:bidi w:val="0"/>
              <w:rPr>
                <w:rFonts w:hint="default"/>
                <w:b w:val="0"/>
                <w:bCs w:val="0"/>
                <w:color w:val="auto"/>
                <w:u w:val="none" w:color="auto"/>
              </w:rPr>
            </w:pPr>
            <w:r>
              <w:rPr>
                <w:rFonts w:hint="default"/>
                <w:b w:val="0"/>
                <w:bCs w:val="0"/>
                <w:color w:val="auto"/>
                <w:u w:val="none" w:color="auto"/>
              </w:rPr>
              <w:t>图形标志</w:t>
            </w:r>
          </w:p>
        </w:tc>
        <w:tc>
          <w:tcPr>
            <w:tcW w:w="873" w:type="pct"/>
            <w:tcBorders>
              <w:tl2br w:val="nil"/>
              <w:tr2bl w:val="nil"/>
            </w:tcBorders>
            <w:noWrap w:val="0"/>
            <w:vAlign w:val="center"/>
          </w:tcPr>
          <w:p w14:paraId="68CF4351">
            <w:pPr>
              <w:pStyle w:val="26"/>
              <w:bidi w:val="0"/>
              <w:rPr>
                <w:rFonts w:hint="default"/>
                <w:b w:val="0"/>
                <w:bCs w:val="0"/>
                <w:color w:val="auto"/>
                <w:u w:val="none" w:color="auto"/>
              </w:rPr>
            </w:pPr>
            <w:r>
              <w:rPr>
                <w:rFonts w:hint="default"/>
                <w:b w:val="0"/>
                <w:bCs w:val="0"/>
                <w:color w:val="auto"/>
                <w:u w:val="none" w:color="auto"/>
              </w:rPr>
              <w:t>形状</w:t>
            </w:r>
          </w:p>
        </w:tc>
        <w:tc>
          <w:tcPr>
            <w:tcW w:w="664" w:type="pct"/>
            <w:tcBorders>
              <w:tl2br w:val="nil"/>
              <w:tr2bl w:val="nil"/>
            </w:tcBorders>
            <w:noWrap w:val="0"/>
            <w:vAlign w:val="center"/>
          </w:tcPr>
          <w:p w14:paraId="2FE313CF">
            <w:pPr>
              <w:pStyle w:val="26"/>
              <w:bidi w:val="0"/>
              <w:rPr>
                <w:rFonts w:hint="default"/>
                <w:b w:val="0"/>
                <w:bCs w:val="0"/>
                <w:color w:val="auto"/>
                <w:u w:val="none" w:color="auto"/>
              </w:rPr>
            </w:pPr>
            <w:r>
              <w:rPr>
                <w:rFonts w:hint="default"/>
                <w:b w:val="0"/>
                <w:bCs w:val="0"/>
                <w:color w:val="auto"/>
                <w:u w:val="none" w:color="auto"/>
              </w:rPr>
              <w:t>背景颜色</w:t>
            </w:r>
          </w:p>
        </w:tc>
        <w:tc>
          <w:tcPr>
            <w:tcW w:w="751" w:type="pct"/>
            <w:tcBorders>
              <w:tl2br w:val="nil"/>
              <w:tr2bl w:val="nil"/>
            </w:tcBorders>
            <w:noWrap w:val="0"/>
            <w:vAlign w:val="center"/>
          </w:tcPr>
          <w:p w14:paraId="2D79303A">
            <w:pPr>
              <w:pStyle w:val="26"/>
              <w:bidi w:val="0"/>
              <w:rPr>
                <w:rFonts w:hint="default"/>
                <w:b w:val="0"/>
                <w:bCs w:val="0"/>
                <w:color w:val="auto"/>
                <w:u w:val="none" w:color="auto"/>
              </w:rPr>
            </w:pPr>
            <w:r>
              <w:rPr>
                <w:rFonts w:hint="default"/>
                <w:b w:val="0"/>
                <w:bCs w:val="0"/>
                <w:color w:val="auto"/>
                <w:u w:val="none" w:color="auto"/>
              </w:rPr>
              <w:t>图形颜色</w:t>
            </w:r>
          </w:p>
        </w:tc>
      </w:tr>
      <w:tr w14:paraId="71F4E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60470CC1">
            <w:pPr>
              <w:pStyle w:val="26"/>
              <w:bidi w:val="0"/>
              <w:ind w:firstLine="0" w:firstLineChars="0"/>
              <w:rPr>
                <w:rFonts w:hint="eastAsia" w:ascii="Times New Roman" w:hAnsi="Times New Roman" w:eastAsia="宋体" w:cs="Times New Roman"/>
                <w:b w:val="0"/>
                <w:bCs w:val="0"/>
                <w:color w:val="auto"/>
                <w:spacing w:val="6"/>
                <w:kern w:val="24"/>
                <w:sz w:val="21"/>
                <w:szCs w:val="21"/>
                <w:u w:val="none" w:color="auto"/>
                <w:lang w:val="en-US" w:eastAsia="zh-CN" w:bidi="ar-SA"/>
              </w:rPr>
            </w:pPr>
            <w:r>
              <w:rPr>
                <w:rFonts w:hint="eastAsia"/>
                <w:b w:val="0"/>
                <w:bCs w:val="0"/>
                <w:color w:val="auto"/>
                <w:u w:val="none" w:color="auto"/>
                <w:lang w:val="en-US" w:eastAsia="zh-CN"/>
              </w:rPr>
              <w:t>DW001排放口</w:t>
            </w:r>
          </w:p>
        </w:tc>
        <w:tc>
          <w:tcPr>
            <w:tcW w:w="840" w:type="pct"/>
            <w:tcBorders>
              <w:tl2br w:val="nil"/>
              <w:tr2bl w:val="nil"/>
            </w:tcBorders>
            <w:noWrap w:val="0"/>
            <w:vAlign w:val="center"/>
          </w:tcPr>
          <w:p w14:paraId="62C274AB">
            <w:pPr>
              <w:pStyle w:val="26"/>
              <w:bidi w:val="0"/>
              <w:ind w:firstLine="0" w:firstLineChars="0"/>
              <w:rPr>
                <w:rFonts w:hint="default" w:ascii="Times New Roman" w:hAnsi="Times New Roman" w:eastAsia="宋体" w:cs="Times New Roman"/>
                <w:b w:val="0"/>
                <w:bCs w:val="0"/>
                <w:color w:val="auto"/>
                <w:spacing w:val="6"/>
                <w:kern w:val="24"/>
                <w:sz w:val="21"/>
                <w:szCs w:val="21"/>
                <w:u w:val="none" w:color="auto"/>
                <w:lang w:val="en-US" w:eastAsia="zh-CN" w:bidi="ar-SA"/>
              </w:rPr>
            </w:pPr>
            <w:r>
              <w:rPr>
                <w:rFonts w:hint="default"/>
                <w:b w:val="0"/>
                <w:bCs w:val="0"/>
                <w:color w:val="auto"/>
                <w:u w:val="none" w:color="auto"/>
              </w:rPr>
              <w:t>提示标志</w:t>
            </w:r>
          </w:p>
        </w:tc>
        <w:tc>
          <w:tcPr>
            <w:tcW w:w="873" w:type="pct"/>
            <w:tcBorders>
              <w:tl2br w:val="nil"/>
              <w:tr2bl w:val="nil"/>
            </w:tcBorders>
            <w:noWrap w:val="0"/>
            <w:vAlign w:val="center"/>
          </w:tcPr>
          <w:p w14:paraId="2794EB1E">
            <w:pPr>
              <w:pStyle w:val="26"/>
              <w:bidi w:val="0"/>
              <w:ind w:firstLine="0" w:firstLineChars="0"/>
              <w:rPr>
                <w:rFonts w:hint="default" w:ascii="Times New Roman" w:hAnsi="Times New Roman" w:eastAsia="宋体" w:cs="Times New Roman"/>
                <w:b w:val="0"/>
                <w:bCs w:val="0"/>
                <w:color w:val="auto"/>
                <w:spacing w:val="6"/>
                <w:kern w:val="24"/>
                <w:sz w:val="21"/>
                <w:szCs w:val="21"/>
                <w:u w:val="none" w:color="auto"/>
                <w:lang w:val="en-US" w:eastAsia="zh-CN" w:bidi="ar-SA"/>
              </w:rPr>
            </w:pPr>
            <w:r>
              <w:rPr>
                <w:rFonts w:hint="default"/>
                <w:b w:val="0"/>
                <w:bCs w:val="0"/>
                <w:color w:val="auto"/>
                <w:u w:val="none" w:color="auto"/>
              </w:rPr>
              <w:t>正方形边框</w:t>
            </w:r>
          </w:p>
        </w:tc>
        <w:tc>
          <w:tcPr>
            <w:tcW w:w="664" w:type="pct"/>
            <w:tcBorders>
              <w:tl2br w:val="nil"/>
              <w:tr2bl w:val="nil"/>
            </w:tcBorders>
            <w:noWrap w:val="0"/>
            <w:vAlign w:val="center"/>
          </w:tcPr>
          <w:p w14:paraId="09B30359">
            <w:pPr>
              <w:pStyle w:val="26"/>
              <w:bidi w:val="0"/>
              <w:ind w:firstLine="0" w:firstLineChars="0"/>
              <w:rPr>
                <w:rFonts w:hint="default" w:ascii="Times New Roman" w:hAnsi="Times New Roman" w:eastAsia="宋体" w:cs="Times New Roman"/>
                <w:b w:val="0"/>
                <w:bCs w:val="0"/>
                <w:color w:val="auto"/>
                <w:spacing w:val="6"/>
                <w:kern w:val="24"/>
                <w:sz w:val="21"/>
                <w:szCs w:val="21"/>
                <w:u w:val="none" w:color="auto"/>
                <w:lang w:val="en-US" w:eastAsia="zh-CN" w:bidi="ar-SA"/>
              </w:rPr>
            </w:pPr>
            <w:r>
              <w:rPr>
                <w:rFonts w:hint="default"/>
                <w:b w:val="0"/>
                <w:bCs w:val="0"/>
                <w:color w:val="auto"/>
                <w:u w:val="none" w:color="auto"/>
              </w:rPr>
              <w:t>绿色</w:t>
            </w:r>
          </w:p>
        </w:tc>
        <w:tc>
          <w:tcPr>
            <w:tcW w:w="751" w:type="pct"/>
            <w:tcBorders>
              <w:tl2br w:val="nil"/>
              <w:tr2bl w:val="nil"/>
            </w:tcBorders>
            <w:noWrap w:val="0"/>
            <w:vAlign w:val="center"/>
          </w:tcPr>
          <w:p w14:paraId="0C12EC2A">
            <w:pPr>
              <w:pStyle w:val="26"/>
              <w:bidi w:val="0"/>
              <w:ind w:firstLine="0" w:firstLineChars="0"/>
              <w:rPr>
                <w:rFonts w:hint="default" w:ascii="Times New Roman" w:hAnsi="Times New Roman" w:eastAsia="宋体" w:cs="Times New Roman"/>
                <w:b w:val="0"/>
                <w:bCs w:val="0"/>
                <w:color w:val="auto"/>
                <w:spacing w:val="6"/>
                <w:kern w:val="24"/>
                <w:sz w:val="21"/>
                <w:szCs w:val="21"/>
                <w:u w:val="none" w:color="auto"/>
                <w:lang w:val="en-US" w:eastAsia="zh-CN" w:bidi="ar-SA"/>
              </w:rPr>
            </w:pPr>
            <w:r>
              <w:rPr>
                <w:rFonts w:hint="default"/>
                <w:b w:val="0"/>
                <w:bCs w:val="0"/>
                <w:color w:val="auto"/>
                <w:u w:val="none" w:color="auto"/>
              </w:rPr>
              <w:t>白色</w:t>
            </w:r>
          </w:p>
        </w:tc>
      </w:tr>
      <w:tr w14:paraId="0196C6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41688813">
            <w:pPr>
              <w:pStyle w:val="26"/>
              <w:bidi w:val="0"/>
              <w:rPr>
                <w:rFonts w:hint="default"/>
                <w:b w:val="0"/>
                <w:bCs w:val="0"/>
                <w:color w:val="auto"/>
                <w:u w:val="none" w:color="auto"/>
                <w:lang w:val="en-US" w:eastAsia="zh-CN"/>
              </w:rPr>
            </w:pPr>
            <w:r>
              <w:rPr>
                <w:rFonts w:hint="eastAsia"/>
                <w:b w:val="0"/>
                <w:bCs w:val="0"/>
                <w:color w:val="auto"/>
                <w:u w:val="none" w:color="auto"/>
                <w:lang w:val="en-US" w:eastAsia="zh-CN"/>
              </w:rPr>
              <w:t>DA001排气筒、DA002排气筒、DA003排气筒</w:t>
            </w:r>
          </w:p>
        </w:tc>
        <w:tc>
          <w:tcPr>
            <w:tcW w:w="840" w:type="pct"/>
            <w:tcBorders>
              <w:tl2br w:val="nil"/>
              <w:tr2bl w:val="nil"/>
            </w:tcBorders>
            <w:noWrap w:val="0"/>
            <w:vAlign w:val="center"/>
          </w:tcPr>
          <w:p w14:paraId="7CB9E87F">
            <w:pPr>
              <w:pStyle w:val="26"/>
              <w:bidi w:val="0"/>
              <w:rPr>
                <w:rFonts w:hint="default"/>
                <w:b w:val="0"/>
                <w:bCs w:val="0"/>
                <w:color w:val="auto"/>
                <w:u w:val="none" w:color="auto"/>
              </w:rPr>
            </w:pPr>
            <w:r>
              <w:rPr>
                <w:rFonts w:hint="default"/>
                <w:b w:val="0"/>
                <w:bCs w:val="0"/>
                <w:color w:val="auto"/>
                <w:u w:val="none" w:color="auto"/>
              </w:rPr>
              <w:t>提示标志</w:t>
            </w:r>
          </w:p>
        </w:tc>
        <w:tc>
          <w:tcPr>
            <w:tcW w:w="873" w:type="pct"/>
            <w:tcBorders>
              <w:tl2br w:val="nil"/>
              <w:tr2bl w:val="nil"/>
            </w:tcBorders>
            <w:noWrap w:val="0"/>
            <w:vAlign w:val="center"/>
          </w:tcPr>
          <w:p w14:paraId="2C534B07">
            <w:pPr>
              <w:pStyle w:val="26"/>
              <w:bidi w:val="0"/>
              <w:rPr>
                <w:rFonts w:hint="default"/>
                <w:b w:val="0"/>
                <w:bCs w:val="0"/>
                <w:color w:val="auto"/>
                <w:u w:val="none" w:color="auto"/>
              </w:rPr>
            </w:pPr>
            <w:r>
              <w:rPr>
                <w:rFonts w:hint="default"/>
                <w:b w:val="0"/>
                <w:bCs w:val="0"/>
                <w:color w:val="auto"/>
                <w:u w:val="none" w:color="auto"/>
              </w:rPr>
              <w:t>正方形边框</w:t>
            </w:r>
          </w:p>
        </w:tc>
        <w:tc>
          <w:tcPr>
            <w:tcW w:w="664" w:type="pct"/>
            <w:tcBorders>
              <w:tl2br w:val="nil"/>
              <w:tr2bl w:val="nil"/>
            </w:tcBorders>
            <w:noWrap w:val="0"/>
            <w:vAlign w:val="center"/>
          </w:tcPr>
          <w:p w14:paraId="43267CE8">
            <w:pPr>
              <w:pStyle w:val="26"/>
              <w:bidi w:val="0"/>
              <w:rPr>
                <w:rFonts w:hint="default"/>
                <w:b w:val="0"/>
                <w:bCs w:val="0"/>
                <w:color w:val="auto"/>
                <w:u w:val="none" w:color="auto"/>
              </w:rPr>
            </w:pPr>
            <w:r>
              <w:rPr>
                <w:rFonts w:hint="default"/>
                <w:b w:val="0"/>
                <w:bCs w:val="0"/>
                <w:color w:val="auto"/>
                <w:u w:val="none" w:color="auto"/>
              </w:rPr>
              <w:t>绿色</w:t>
            </w:r>
          </w:p>
        </w:tc>
        <w:tc>
          <w:tcPr>
            <w:tcW w:w="751" w:type="pct"/>
            <w:tcBorders>
              <w:tl2br w:val="nil"/>
              <w:tr2bl w:val="nil"/>
            </w:tcBorders>
            <w:noWrap w:val="0"/>
            <w:vAlign w:val="center"/>
          </w:tcPr>
          <w:p w14:paraId="34FF26AA">
            <w:pPr>
              <w:pStyle w:val="26"/>
              <w:bidi w:val="0"/>
              <w:rPr>
                <w:rFonts w:hint="default"/>
                <w:b w:val="0"/>
                <w:bCs w:val="0"/>
                <w:color w:val="auto"/>
                <w:u w:val="none" w:color="auto"/>
              </w:rPr>
            </w:pPr>
            <w:r>
              <w:rPr>
                <w:rFonts w:hint="default"/>
                <w:b w:val="0"/>
                <w:bCs w:val="0"/>
                <w:color w:val="auto"/>
                <w:u w:val="none" w:color="auto"/>
              </w:rPr>
              <w:t>白色</w:t>
            </w:r>
          </w:p>
        </w:tc>
      </w:tr>
      <w:tr w14:paraId="48DB7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2F14859F">
            <w:pPr>
              <w:pStyle w:val="26"/>
              <w:bidi w:val="0"/>
              <w:rPr>
                <w:rFonts w:hint="default"/>
                <w:b w:val="0"/>
                <w:bCs w:val="0"/>
                <w:color w:val="auto"/>
                <w:u w:val="none" w:color="auto"/>
                <w:lang w:val="en-US" w:eastAsia="zh-CN"/>
              </w:rPr>
            </w:pPr>
            <w:r>
              <w:rPr>
                <w:rFonts w:hint="default"/>
                <w:b w:val="0"/>
                <w:bCs w:val="0"/>
                <w:color w:val="auto"/>
                <w:u w:val="none" w:color="auto"/>
                <w:lang w:val="en-US" w:eastAsia="zh-CN"/>
              </w:rPr>
              <w:t>噪声源</w:t>
            </w:r>
          </w:p>
        </w:tc>
        <w:tc>
          <w:tcPr>
            <w:tcW w:w="840" w:type="pct"/>
            <w:tcBorders>
              <w:tl2br w:val="nil"/>
              <w:tr2bl w:val="nil"/>
            </w:tcBorders>
            <w:noWrap w:val="0"/>
            <w:vAlign w:val="center"/>
          </w:tcPr>
          <w:p w14:paraId="06D38585">
            <w:pPr>
              <w:pStyle w:val="26"/>
              <w:bidi w:val="0"/>
              <w:rPr>
                <w:rFonts w:hint="default"/>
                <w:b w:val="0"/>
                <w:bCs w:val="0"/>
                <w:color w:val="auto"/>
                <w:u w:val="none" w:color="auto"/>
              </w:rPr>
            </w:pPr>
            <w:r>
              <w:rPr>
                <w:rFonts w:hint="default"/>
                <w:b w:val="0"/>
                <w:bCs w:val="0"/>
                <w:color w:val="auto"/>
                <w:u w:val="none" w:color="auto"/>
              </w:rPr>
              <w:t>提示标志</w:t>
            </w:r>
          </w:p>
        </w:tc>
        <w:tc>
          <w:tcPr>
            <w:tcW w:w="873" w:type="pct"/>
            <w:tcBorders>
              <w:tl2br w:val="nil"/>
              <w:tr2bl w:val="nil"/>
            </w:tcBorders>
            <w:noWrap w:val="0"/>
            <w:vAlign w:val="center"/>
          </w:tcPr>
          <w:p w14:paraId="68B0B21F">
            <w:pPr>
              <w:pStyle w:val="26"/>
              <w:bidi w:val="0"/>
              <w:rPr>
                <w:rFonts w:hint="default"/>
                <w:b w:val="0"/>
                <w:bCs w:val="0"/>
                <w:color w:val="auto"/>
                <w:u w:val="none" w:color="auto"/>
              </w:rPr>
            </w:pPr>
            <w:r>
              <w:rPr>
                <w:rFonts w:hint="default"/>
                <w:b w:val="0"/>
                <w:bCs w:val="0"/>
                <w:color w:val="auto"/>
                <w:u w:val="none" w:color="auto"/>
              </w:rPr>
              <w:t>正方形边框</w:t>
            </w:r>
          </w:p>
        </w:tc>
        <w:tc>
          <w:tcPr>
            <w:tcW w:w="664" w:type="pct"/>
            <w:tcBorders>
              <w:tl2br w:val="nil"/>
              <w:tr2bl w:val="nil"/>
            </w:tcBorders>
            <w:noWrap w:val="0"/>
            <w:vAlign w:val="center"/>
          </w:tcPr>
          <w:p w14:paraId="04B3BA4C">
            <w:pPr>
              <w:pStyle w:val="26"/>
              <w:bidi w:val="0"/>
              <w:rPr>
                <w:rFonts w:hint="default"/>
                <w:b w:val="0"/>
                <w:bCs w:val="0"/>
                <w:color w:val="auto"/>
                <w:u w:val="none" w:color="auto"/>
              </w:rPr>
            </w:pPr>
            <w:r>
              <w:rPr>
                <w:rFonts w:hint="default"/>
                <w:b w:val="0"/>
                <w:bCs w:val="0"/>
                <w:color w:val="auto"/>
                <w:u w:val="none" w:color="auto"/>
              </w:rPr>
              <w:t>绿色</w:t>
            </w:r>
          </w:p>
        </w:tc>
        <w:tc>
          <w:tcPr>
            <w:tcW w:w="751" w:type="pct"/>
            <w:tcBorders>
              <w:tl2br w:val="nil"/>
              <w:tr2bl w:val="nil"/>
            </w:tcBorders>
            <w:noWrap w:val="0"/>
            <w:vAlign w:val="center"/>
          </w:tcPr>
          <w:p w14:paraId="3C4F304F">
            <w:pPr>
              <w:pStyle w:val="26"/>
              <w:bidi w:val="0"/>
              <w:rPr>
                <w:rFonts w:hint="default"/>
                <w:b w:val="0"/>
                <w:bCs w:val="0"/>
                <w:color w:val="auto"/>
                <w:u w:val="none" w:color="auto"/>
              </w:rPr>
            </w:pPr>
            <w:r>
              <w:rPr>
                <w:rFonts w:hint="default"/>
                <w:b w:val="0"/>
                <w:bCs w:val="0"/>
                <w:color w:val="auto"/>
                <w:u w:val="none" w:color="auto"/>
              </w:rPr>
              <w:t>白色</w:t>
            </w:r>
          </w:p>
        </w:tc>
      </w:tr>
      <w:tr w14:paraId="261630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10662DC0">
            <w:pPr>
              <w:pStyle w:val="26"/>
              <w:bidi w:val="0"/>
              <w:rPr>
                <w:rFonts w:hint="default"/>
                <w:b w:val="0"/>
                <w:bCs w:val="0"/>
                <w:color w:val="auto"/>
                <w:u w:val="none" w:color="auto"/>
                <w:lang w:val="en-US" w:eastAsia="zh-CN"/>
              </w:rPr>
            </w:pPr>
            <w:r>
              <w:rPr>
                <w:rFonts w:hint="default"/>
                <w:b w:val="0"/>
                <w:bCs w:val="0"/>
                <w:color w:val="auto"/>
                <w:u w:val="none" w:color="auto"/>
                <w:lang w:val="en-US" w:eastAsia="zh-CN"/>
              </w:rPr>
              <w:t>一般固</w:t>
            </w:r>
            <w:r>
              <w:rPr>
                <w:rFonts w:hint="eastAsia"/>
                <w:b w:val="0"/>
                <w:bCs w:val="0"/>
                <w:color w:val="auto"/>
                <w:u w:val="none" w:color="auto"/>
                <w:lang w:val="en-US" w:eastAsia="zh-CN"/>
              </w:rPr>
              <w:t>体</w:t>
            </w:r>
            <w:r>
              <w:rPr>
                <w:rFonts w:hint="default"/>
                <w:b w:val="0"/>
                <w:bCs w:val="0"/>
                <w:color w:val="auto"/>
                <w:u w:val="none" w:color="auto"/>
                <w:lang w:val="en-US" w:eastAsia="zh-CN"/>
              </w:rPr>
              <w:t>废物暂存间</w:t>
            </w:r>
          </w:p>
        </w:tc>
        <w:tc>
          <w:tcPr>
            <w:tcW w:w="840" w:type="pct"/>
            <w:tcBorders>
              <w:tl2br w:val="nil"/>
              <w:tr2bl w:val="nil"/>
            </w:tcBorders>
            <w:noWrap w:val="0"/>
            <w:vAlign w:val="center"/>
          </w:tcPr>
          <w:p w14:paraId="6ADCE9FD">
            <w:pPr>
              <w:pStyle w:val="26"/>
              <w:bidi w:val="0"/>
              <w:rPr>
                <w:rFonts w:hint="default"/>
                <w:b w:val="0"/>
                <w:bCs w:val="0"/>
                <w:color w:val="auto"/>
                <w:u w:val="none" w:color="auto"/>
              </w:rPr>
            </w:pPr>
            <w:r>
              <w:rPr>
                <w:rFonts w:hint="default"/>
                <w:b w:val="0"/>
                <w:bCs w:val="0"/>
                <w:color w:val="auto"/>
                <w:u w:val="none" w:color="auto"/>
              </w:rPr>
              <w:t>提示标志</w:t>
            </w:r>
          </w:p>
        </w:tc>
        <w:tc>
          <w:tcPr>
            <w:tcW w:w="873" w:type="pct"/>
            <w:tcBorders>
              <w:tl2br w:val="nil"/>
              <w:tr2bl w:val="nil"/>
            </w:tcBorders>
            <w:noWrap w:val="0"/>
            <w:vAlign w:val="center"/>
          </w:tcPr>
          <w:p w14:paraId="0CD8560E">
            <w:pPr>
              <w:pStyle w:val="26"/>
              <w:bidi w:val="0"/>
              <w:rPr>
                <w:rFonts w:hint="default"/>
                <w:b w:val="0"/>
                <w:bCs w:val="0"/>
                <w:color w:val="auto"/>
                <w:u w:val="none" w:color="auto"/>
              </w:rPr>
            </w:pPr>
            <w:r>
              <w:rPr>
                <w:rFonts w:hint="default"/>
                <w:b w:val="0"/>
                <w:bCs w:val="0"/>
                <w:color w:val="auto"/>
                <w:u w:val="none" w:color="auto"/>
              </w:rPr>
              <w:t>正方形边框</w:t>
            </w:r>
          </w:p>
        </w:tc>
        <w:tc>
          <w:tcPr>
            <w:tcW w:w="664" w:type="pct"/>
            <w:tcBorders>
              <w:tl2br w:val="nil"/>
              <w:tr2bl w:val="nil"/>
            </w:tcBorders>
            <w:noWrap w:val="0"/>
            <w:vAlign w:val="center"/>
          </w:tcPr>
          <w:p w14:paraId="13D08BD2">
            <w:pPr>
              <w:pStyle w:val="26"/>
              <w:bidi w:val="0"/>
              <w:rPr>
                <w:rFonts w:hint="default"/>
                <w:b w:val="0"/>
                <w:bCs w:val="0"/>
                <w:color w:val="auto"/>
                <w:u w:val="none" w:color="auto"/>
              </w:rPr>
            </w:pPr>
            <w:r>
              <w:rPr>
                <w:rFonts w:hint="default"/>
                <w:b w:val="0"/>
                <w:bCs w:val="0"/>
                <w:color w:val="auto"/>
                <w:u w:val="none" w:color="auto"/>
              </w:rPr>
              <w:t>绿色</w:t>
            </w:r>
          </w:p>
        </w:tc>
        <w:tc>
          <w:tcPr>
            <w:tcW w:w="751" w:type="pct"/>
            <w:tcBorders>
              <w:tl2br w:val="nil"/>
              <w:tr2bl w:val="nil"/>
            </w:tcBorders>
            <w:noWrap w:val="0"/>
            <w:vAlign w:val="center"/>
          </w:tcPr>
          <w:p w14:paraId="78FC74D2">
            <w:pPr>
              <w:pStyle w:val="26"/>
              <w:bidi w:val="0"/>
              <w:rPr>
                <w:rFonts w:hint="default"/>
                <w:b w:val="0"/>
                <w:bCs w:val="0"/>
                <w:color w:val="auto"/>
                <w:u w:val="none" w:color="auto"/>
              </w:rPr>
            </w:pPr>
            <w:r>
              <w:rPr>
                <w:rFonts w:hint="default"/>
                <w:b w:val="0"/>
                <w:bCs w:val="0"/>
                <w:color w:val="auto"/>
                <w:u w:val="none" w:color="auto"/>
              </w:rPr>
              <w:t>白色</w:t>
            </w:r>
          </w:p>
        </w:tc>
      </w:tr>
      <w:tr w14:paraId="6884F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869" w:type="pct"/>
            <w:tcBorders>
              <w:tl2br w:val="nil"/>
              <w:tr2bl w:val="nil"/>
            </w:tcBorders>
            <w:noWrap w:val="0"/>
            <w:vAlign w:val="center"/>
          </w:tcPr>
          <w:p w14:paraId="225BDE2C">
            <w:pPr>
              <w:pStyle w:val="26"/>
              <w:bidi w:val="0"/>
              <w:rPr>
                <w:rFonts w:hint="default"/>
                <w:b w:val="0"/>
                <w:bCs w:val="0"/>
                <w:color w:val="auto"/>
                <w:u w:val="none" w:color="auto"/>
                <w:lang w:val="en-US" w:eastAsia="zh-CN"/>
              </w:rPr>
            </w:pPr>
            <w:r>
              <w:rPr>
                <w:rFonts w:hint="default"/>
                <w:b w:val="0"/>
                <w:bCs w:val="0"/>
                <w:color w:val="auto"/>
                <w:u w:val="none" w:color="auto"/>
                <w:lang w:val="en-US" w:eastAsia="zh-CN"/>
              </w:rPr>
              <w:t>危险废物暂存间</w:t>
            </w:r>
          </w:p>
        </w:tc>
        <w:tc>
          <w:tcPr>
            <w:tcW w:w="840" w:type="pct"/>
            <w:tcBorders>
              <w:tl2br w:val="nil"/>
              <w:tr2bl w:val="nil"/>
            </w:tcBorders>
            <w:noWrap w:val="0"/>
            <w:vAlign w:val="center"/>
          </w:tcPr>
          <w:p w14:paraId="6C606138">
            <w:pPr>
              <w:pStyle w:val="26"/>
              <w:bidi w:val="0"/>
              <w:rPr>
                <w:rFonts w:hint="default"/>
                <w:b w:val="0"/>
                <w:bCs w:val="0"/>
                <w:color w:val="auto"/>
                <w:u w:val="none" w:color="auto"/>
              </w:rPr>
            </w:pPr>
            <w:r>
              <w:rPr>
                <w:rFonts w:hint="default"/>
                <w:b w:val="0"/>
                <w:bCs w:val="0"/>
                <w:color w:val="auto"/>
                <w:u w:val="none" w:color="auto"/>
              </w:rPr>
              <w:t>警告标志</w:t>
            </w:r>
          </w:p>
        </w:tc>
        <w:tc>
          <w:tcPr>
            <w:tcW w:w="873" w:type="pct"/>
            <w:tcBorders>
              <w:tl2br w:val="nil"/>
              <w:tr2bl w:val="nil"/>
            </w:tcBorders>
            <w:noWrap w:val="0"/>
            <w:vAlign w:val="center"/>
          </w:tcPr>
          <w:p w14:paraId="7D2BC4E1">
            <w:pPr>
              <w:pStyle w:val="26"/>
              <w:bidi w:val="0"/>
              <w:rPr>
                <w:rFonts w:hint="default"/>
                <w:b w:val="0"/>
                <w:bCs w:val="0"/>
                <w:color w:val="auto"/>
                <w:u w:val="none" w:color="auto"/>
              </w:rPr>
            </w:pPr>
            <w:r>
              <w:rPr>
                <w:rFonts w:hint="default"/>
                <w:b w:val="0"/>
                <w:bCs w:val="0"/>
                <w:color w:val="auto"/>
                <w:u w:val="none" w:color="auto"/>
              </w:rPr>
              <w:t>三角形边框</w:t>
            </w:r>
          </w:p>
        </w:tc>
        <w:tc>
          <w:tcPr>
            <w:tcW w:w="664" w:type="pct"/>
            <w:tcBorders>
              <w:tl2br w:val="nil"/>
              <w:tr2bl w:val="nil"/>
            </w:tcBorders>
            <w:noWrap w:val="0"/>
            <w:vAlign w:val="center"/>
          </w:tcPr>
          <w:p w14:paraId="6F8A16C2">
            <w:pPr>
              <w:pStyle w:val="26"/>
              <w:bidi w:val="0"/>
              <w:rPr>
                <w:rFonts w:hint="default"/>
                <w:b w:val="0"/>
                <w:bCs w:val="0"/>
                <w:color w:val="auto"/>
                <w:u w:val="none" w:color="auto"/>
              </w:rPr>
            </w:pPr>
            <w:r>
              <w:rPr>
                <w:rFonts w:hint="default"/>
                <w:b w:val="0"/>
                <w:bCs w:val="0"/>
                <w:color w:val="auto"/>
                <w:u w:val="none" w:color="auto"/>
              </w:rPr>
              <w:t>黄色</w:t>
            </w:r>
          </w:p>
        </w:tc>
        <w:tc>
          <w:tcPr>
            <w:tcW w:w="751" w:type="pct"/>
            <w:tcBorders>
              <w:tl2br w:val="nil"/>
              <w:tr2bl w:val="nil"/>
            </w:tcBorders>
            <w:noWrap w:val="0"/>
            <w:vAlign w:val="center"/>
          </w:tcPr>
          <w:p w14:paraId="0973D46A">
            <w:pPr>
              <w:pStyle w:val="26"/>
              <w:bidi w:val="0"/>
              <w:rPr>
                <w:rFonts w:hint="default"/>
                <w:b w:val="0"/>
                <w:bCs w:val="0"/>
                <w:color w:val="auto"/>
                <w:u w:val="none" w:color="auto"/>
              </w:rPr>
            </w:pPr>
            <w:r>
              <w:rPr>
                <w:rFonts w:hint="default"/>
                <w:b w:val="0"/>
                <w:bCs w:val="0"/>
                <w:color w:val="auto"/>
                <w:u w:val="none" w:color="auto"/>
              </w:rPr>
              <w:t>黑色</w:t>
            </w:r>
          </w:p>
        </w:tc>
      </w:tr>
    </w:tbl>
    <w:p w14:paraId="53699588">
      <w:pPr>
        <w:pStyle w:val="22"/>
        <w:bidi w:val="0"/>
        <w:rPr>
          <w:rFonts w:hint="eastAsia"/>
          <w:color w:val="auto"/>
          <w:u w:val="none" w:color="auto"/>
          <w:lang w:val="en-US" w:eastAsia="zh-CN"/>
        </w:rPr>
      </w:pPr>
      <w:r>
        <w:rPr>
          <w:rFonts w:hint="eastAsia"/>
          <w:color w:val="auto"/>
          <w:u w:val="none" w:color="auto"/>
          <w:lang w:val="en-US" w:eastAsia="zh-CN"/>
        </w:rPr>
        <w:t>表9.1-5  环境保护图形符号一览表</w:t>
      </w:r>
    </w:p>
    <w:tbl>
      <w:tblPr>
        <w:tblStyle w:val="1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337"/>
        <w:gridCol w:w="2442"/>
        <w:gridCol w:w="1423"/>
        <w:gridCol w:w="1470"/>
      </w:tblGrid>
      <w:tr w14:paraId="23191C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58A66BF0">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序号</w:t>
            </w:r>
          </w:p>
        </w:tc>
        <w:tc>
          <w:tcPr>
            <w:tcW w:w="2337" w:type="dxa"/>
            <w:noWrap w:val="0"/>
            <w:vAlign w:val="center"/>
          </w:tcPr>
          <w:p w14:paraId="4CB0C44B">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提示图形符号</w:t>
            </w:r>
          </w:p>
        </w:tc>
        <w:tc>
          <w:tcPr>
            <w:tcW w:w="2442" w:type="dxa"/>
            <w:noWrap w:val="0"/>
            <w:vAlign w:val="center"/>
          </w:tcPr>
          <w:p w14:paraId="17229767">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警告图形符号</w:t>
            </w:r>
          </w:p>
        </w:tc>
        <w:tc>
          <w:tcPr>
            <w:tcW w:w="1423" w:type="dxa"/>
            <w:noWrap w:val="0"/>
            <w:vAlign w:val="center"/>
          </w:tcPr>
          <w:p w14:paraId="7E5ABBC9">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名称</w:t>
            </w:r>
          </w:p>
        </w:tc>
        <w:tc>
          <w:tcPr>
            <w:tcW w:w="1470" w:type="dxa"/>
            <w:noWrap w:val="0"/>
            <w:vAlign w:val="center"/>
          </w:tcPr>
          <w:p w14:paraId="0E03E97F">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功能</w:t>
            </w:r>
          </w:p>
        </w:tc>
      </w:tr>
      <w:tr w14:paraId="282AE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2B1D80DA">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1</w:t>
            </w:r>
          </w:p>
        </w:tc>
        <w:tc>
          <w:tcPr>
            <w:tcW w:w="2337" w:type="dxa"/>
            <w:noWrap w:val="0"/>
            <w:vAlign w:val="center"/>
          </w:tcPr>
          <w:p w14:paraId="2549A12D">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162050" cy="1162050"/>
                  <wp:effectExtent l="0" t="0" r="0" b="0"/>
                  <wp:docPr id="16" name="图片 29" descr="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descr="污水排放口"/>
                          <pic:cNvPicPr>
                            <a:picLocks noChangeAspect="1"/>
                          </pic:cNvPicPr>
                        </pic:nvPicPr>
                        <pic:blipFill>
                          <a:blip r:embed="rId52"/>
                          <a:stretch>
                            <a:fillRect/>
                          </a:stretch>
                        </pic:blipFill>
                        <pic:spPr>
                          <a:xfrm>
                            <a:off x="0" y="0"/>
                            <a:ext cx="1162050" cy="1162050"/>
                          </a:xfrm>
                          <a:prstGeom prst="rect">
                            <a:avLst/>
                          </a:prstGeom>
                          <a:noFill/>
                          <a:ln>
                            <a:noFill/>
                          </a:ln>
                        </pic:spPr>
                      </pic:pic>
                    </a:graphicData>
                  </a:graphic>
                </wp:inline>
              </w:drawing>
            </w:r>
          </w:p>
        </w:tc>
        <w:tc>
          <w:tcPr>
            <w:tcW w:w="2442" w:type="dxa"/>
            <w:noWrap w:val="0"/>
            <w:vAlign w:val="center"/>
          </w:tcPr>
          <w:p w14:paraId="6E08E8CE">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294765" cy="1151890"/>
                  <wp:effectExtent l="0" t="0" r="635" b="10160"/>
                  <wp:docPr id="20" name="图片 30" descr="污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0" descr="污水排放口"/>
                          <pic:cNvPicPr>
                            <a:picLocks noChangeAspect="1"/>
                          </pic:cNvPicPr>
                        </pic:nvPicPr>
                        <pic:blipFill>
                          <a:blip r:embed="rId53"/>
                          <a:stretch>
                            <a:fillRect/>
                          </a:stretch>
                        </pic:blipFill>
                        <pic:spPr>
                          <a:xfrm>
                            <a:off x="0" y="0"/>
                            <a:ext cx="1294765" cy="1151890"/>
                          </a:xfrm>
                          <a:prstGeom prst="rect">
                            <a:avLst/>
                          </a:prstGeom>
                          <a:noFill/>
                          <a:ln>
                            <a:noFill/>
                          </a:ln>
                        </pic:spPr>
                      </pic:pic>
                    </a:graphicData>
                  </a:graphic>
                </wp:inline>
              </w:drawing>
            </w:r>
          </w:p>
        </w:tc>
        <w:tc>
          <w:tcPr>
            <w:tcW w:w="1423" w:type="dxa"/>
            <w:noWrap w:val="0"/>
            <w:vAlign w:val="center"/>
          </w:tcPr>
          <w:p w14:paraId="51CB6F71">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污水排放口</w:t>
            </w:r>
          </w:p>
        </w:tc>
        <w:tc>
          <w:tcPr>
            <w:tcW w:w="1470" w:type="dxa"/>
            <w:noWrap w:val="0"/>
            <w:vAlign w:val="center"/>
          </w:tcPr>
          <w:p w14:paraId="77B7D7E9">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表示污水向水体排放</w:t>
            </w:r>
          </w:p>
        </w:tc>
      </w:tr>
      <w:tr w14:paraId="197139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094F3096">
            <w:pPr>
              <w:pStyle w:val="24"/>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w:t>
            </w:r>
          </w:p>
        </w:tc>
        <w:tc>
          <w:tcPr>
            <w:tcW w:w="2337" w:type="dxa"/>
            <w:noWrap w:val="0"/>
            <w:vAlign w:val="center"/>
          </w:tcPr>
          <w:p w14:paraId="06FF0BB6">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345565" cy="966470"/>
                  <wp:effectExtent l="0" t="0" r="6985" b="5080"/>
                  <wp:docPr id="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1"/>
                          <pic:cNvPicPr>
                            <a:picLocks noChangeAspect="1"/>
                          </pic:cNvPicPr>
                        </pic:nvPicPr>
                        <pic:blipFill>
                          <a:blip r:embed="rId54"/>
                          <a:stretch>
                            <a:fillRect/>
                          </a:stretch>
                        </pic:blipFill>
                        <pic:spPr>
                          <a:xfrm>
                            <a:off x="0" y="0"/>
                            <a:ext cx="1345565" cy="966470"/>
                          </a:xfrm>
                          <a:prstGeom prst="rect">
                            <a:avLst/>
                          </a:prstGeom>
                          <a:noFill/>
                          <a:ln>
                            <a:noFill/>
                          </a:ln>
                        </pic:spPr>
                      </pic:pic>
                    </a:graphicData>
                  </a:graphic>
                </wp:inline>
              </w:drawing>
            </w:r>
          </w:p>
        </w:tc>
        <w:tc>
          <w:tcPr>
            <w:tcW w:w="2442" w:type="dxa"/>
            <w:noWrap w:val="0"/>
            <w:vAlign w:val="center"/>
          </w:tcPr>
          <w:p w14:paraId="31408EA8">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412875" cy="1026795"/>
                  <wp:effectExtent l="0" t="0" r="15875" b="1905"/>
                  <wp:docPr id="2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2"/>
                          <pic:cNvPicPr>
                            <a:picLocks noChangeAspect="1"/>
                          </pic:cNvPicPr>
                        </pic:nvPicPr>
                        <pic:blipFill>
                          <a:blip r:embed="rId55"/>
                          <a:stretch>
                            <a:fillRect/>
                          </a:stretch>
                        </pic:blipFill>
                        <pic:spPr>
                          <a:xfrm>
                            <a:off x="0" y="0"/>
                            <a:ext cx="1412875" cy="1026795"/>
                          </a:xfrm>
                          <a:prstGeom prst="rect">
                            <a:avLst/>
                          </a:prstGeom>
                          <a:noFill/>
                          <a:ln>
                            <a:noFill/>
                          </a:ln>
                        </pic:spPr>
                      </pic:pic>
                    </a:graphicData>
                  </a:graphic>
                </wp:inline>
              </w:drawing>
            </w:r>
          </w:p>
        </w:tc>
        <w:tc>
          <w:tcPr>
            <w:tcW w:w="1423" w:type="dxa"/>
            <w:noWrap w:val="0"/>
            <w:vAlign w:val="center"/>
          </w:tcPr>
          <w:p w14:paraId="59B0DF46">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废气排放口</w:t>
            </w:r>
          </w:p>
        </w:tc>
        <w:tc>
          <w:tcPr>
            <w:tcW w:w="1470" w:type="dxa"/>
            <w:noWrap w:val="0"/>
            <w:vAlign w:val="center"/>
          </w:tcPr>
          <w:p w14:paraId="7B89DD1E">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表示废气向大气环境排放</w:t>
            </w:r>
          </w:p>
        </w:tc>
      </w:tr>
      <w:tr w14:paraId="5C07CB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3BAB274F">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3</w:t>
            </w:r>
          </w:p>
        </w:tc>
        <w:tc>
          <w:tcPr>
            <w:tcW w:w="2337" w:type="dxa"/>
            <w:noWrap w:val="0"/>
            <w:vAlign w:val="center"/>
          </w:tcPr>
          <w:p w14:paraId="24F55EDE">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346200" cy="1346200"/>
                  <wp:effectExtent l="0" t="0" r="6350" b="6350"/>
                  <wp:docPr id="2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3"/>
                          <pic:cNvPicPr>
                            <a:picLocks noChangeAspect="1"/>
                          </pic:cNvPicPr>
                        </pic:nvPicPr>
                        <pic:blipFill>
                          <a:blip r:embed="rId56"/>
                          <a:stretch>
                            <a:fillRect/>
                          </a:stretch>
                        </pic:blipFill>
                        <pic:spPr>
                          <a:xfrm>
                            <a:off x="0" y="0"/>
                            <a:ext cx="1346200" cy="1346200"/>
                          </a:xfrm>
                          <a:prstGeom prst="rect">
                            <a:avLst/>
                          </a:prstGeom>
                          <a:noFill/>
                          <a:ln>
                            <a:noFill/>
                          </a:ln>
                        </pic:spPr>
                      </pic:pic>
                    </a:graphicData>
                  </a:graphic>
                </wp:inline>
              </w:drawing>
            </w:r>
          </w:p>
        </w:tc>
        <w:tc>
          <w:tcPr>
            <w:tcW w:w="2442" w:type="dxa"/>
            <w:noWrap w:val="0"/>
            <w:vAlign w:val="center"/>
          </w:tcPr>
          <w:p w14:paraId="70A61003">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412875" cy="1367155"/>
                  <wp:effectExtent l="0" t="0" r="15875" b="4445"/>
                  <wp:docPr id="2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pic:cNvPicPr>
                            <a:picLocks noChangeAspect="1"/>
                          </pic:cNvPicPr>
                        </pic:nvPicPr>
                        <pic:blipFill>
                          <a:blip r:embed="rId57"/>
                          <a:stretch>
                            <a:fillRect/>
                          </a:stretch>
                        </pic:blipFill>
                        <pic:spPr>
                          <a:xfrm>
                            <a:off x="0" y="0"/>
                            <a:ext cx="1412875" cy="1367155"/>
                          </a:xfrm>
                          <a:prstGeom prst="rect">
                            <a:avLst/>
                          </a:prstGeom>
                          <a:noFill/>
                          <a:ln>
                            <a:noFill/>
                          </a:ln>
                        </pic:spPr>
                      </pic:pic>
                    </a:graphicData>
                  </a:graphic>
                </wp:inline>
              </w:drawing>
            </w:r>
          </w:p>
        </w:tc>
        <w:tc>
          <w:tcPr>
            <w:tcW w:w="1423" w:type="dxa"/>
            <w:noWrap w:val="0"/>
            <w:vAlign w:val="center"/>
          </w:tcPr>
          <w:p w14:paraId="22B7FCFB">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一般固体废物</w:t>
            </w:r>
          </w:p>
        </w:tc>
        <w:tc>
          <w:tcPr>
            <w:tcW w:w="1470" w:type="dxa"/>
            <w:noWrap w:val="0"/>
            <w:vAlign w:val="center"/>
          </w:tcPr>
          <w:p w14:paraId="54CC060E">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表示一般固体废物贮存、处置场</w:t>
            </w:r>
          </w:p>
        </w:tc>
      </w:tr>
      <w:tr w14:paraId="5D5013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1" w:type="dxa"/>
            <w:noWrap w:val="0"/>
            <w:vAlign w:val="center"/>
          </w:tcPr>
          <w:p w14:paraId="043C67A6">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4</w:t>
            </w:r>
          </w:p>
        </w:tc>
        <w:tc>
          <w:tcPr>
            <w:tcW w:w="2337" w:type="dxa"/>
            <w:noWrap w:val="0"/>
            <w:vAlign w:val="center"/>
          </w:tcPr>
          <w:p w14:paraId="42F8123D">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345565" cy="1336040"/>
                  <wp:effectExtent l="0" t="0" r="6985" b="16510"/>
                  <wp:docPr id="2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5"/>
                          <pic:cNvPicPr>
                            <a:picLocks noChangeAspect="1"/>
                          </pic:cNvPicPr>
                        </pic:nvPicPr>
                        <pic:blipFill>
                          <a:blip r:embed="rId58"/>
                          <a:stretch>
                            <a:fillRect/>
                          </a:stretch>
                        </pic:blipFill>
                        <pic:spPr>
                          <a:xfrm>
                            <a:off x="0" y="0"/>
                            <a:ext cx="1345565" cy="1336040"/>
                          </a:xfrm>
                          <a:prstGeom prst="rect">
                            <a:avLst/>
                          </a:prstGeom>
                          <a:noFill/>
                          <a:ln>
                            <a:noFill/>
                          </a:ln>
                        </pic:spPr>
                      </pic:pic>
                    </a:graphicData>
                  </a:graphic>
                </wp:inline>
              </w:drawing>
            </w:r>
          </w:p>
        </w:tc>
        <w:tc>
          <w:tcPr>
            <w:tcW w:w="2442" w:type="dxa"/>
            <w:noWrap w:val="0"/>
            <w:vAlign w:val="center"/>
          </w:tcPr>
          <w:p w14:paraId="06E7031B">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drawing>
                <wp:inline distT="0" distB="0" distL="114300" distR="114300">
                  <wp:extent cx="1412875" cy="1288415"/>
                  <wp:effectExtent l="0" t="0" r="15875" b="6985"/>
                  <wp:docPr id="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pic:cNvPicPr>
                            <a:picLocks noChangeAspect="1"/>
                          </pic:cNvPicPr>
                        </pic:nvPicPr>
                        <pic:blipFill>
                          <a:blip r:embed="rId59"/>
                          <a:stretch>
                            <a:fillRect/>
                          </a:stretch>
                        </pic:blipFill>
                        <pic:spPr>
                          <a:xfrm>
                            <a:off x="0" y="0"/>
                            <a:ext cx="1412875" cy="1288415"/>
                          </a:xfrm>
                          <a:prstGeom prst="rect">
                            <a:avLst/>
                          </a:prstGeom>
                          <a:noFill/>
                          <a:ln>
                            <a:noFill/>
                          </a:ln>
                        </pic:spPr>
                      </pic:pic>
                    </a:graphicData>
                  </a:graphic>
                </wp:inline>
              </w:drawing>
            </w:r>
          </w:p>
        </w:tc>
        <w:tc>
          <w:tcPr>
            <w:tcW w:w="1423" w:type="dxa"/>
            <w:noWrap w:val="0"/>
            <w:vAlign w:val="center"/>
          </w:tcPr>
          <w:p w14:paraId="7C95917D">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噪声排放源</w:t>
            </w:r>
          </w:p>
        </w:tc>
        <w:tc>
          <w:tcPr>
            <w:tcW w:w="1470" w:type="dxa"/>
            <w:noWrap w:val="0"/>
            <w:vAlign w:val="center"/>
          </w:tcPr>
          <w:p w14:paraId="4594C716">
            <w:pPr>
              <w:pStyle w:val="24"/>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表示噪声向外环境排放</w:t>
            </w:r>
          </w:p>
        </w:tc>
      </w:tr>
    </w:tbl>
    <w:p w14:paraId="2D33F54C">
      <w:pPr>
        <w:pStyle w:val="53"/>
        <w:ind w:firstLine="0" w:firstLineChars="0"/>
        <w:jc w:val="both"/>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color w:val="auto"/>
          <w:u w:val="none" w:color="auto"/>
        </w:rPr>
        <w:drawing>
          <wp:inline distT="0" distB="0" distL="114300" distR="114300">
            <wp:extent cx="2114550" cy="2098040"/>
            <wp:effectExtent l="0" t="0" r="0" b="16510"/>
            <wp:docPr id="2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pic:cNvPicPr>
                      <a:picLocks noChangeAspect="1"/>
                    </pic:cNvPicPr>
                  </pic:nvPicPr>
                  <pic:blipFill>
                    <a:blip r:embed="rId60"/>
                    <a:stretch>
                      <a:fillRect/>
                    </a:stretch>
                  </pic:blipFill>
                  <pic:spPr>
                    <a:xfrm>
                      <a:off x="0" y="0"/>
                      <a:ext cx="2114550" cy="2098040"/>
                    </a:xfrm>
                    <a:prstGeom prst="rect">
                      <a:avLst/>
                    </a:prstGeom>
                    <a:noFill/>
                    <a:ln>
                      <a:noFill/>
                    </a:ln>
                  </pic:spPr>
                </pic:pic>
              </a:graphicData>
            </a:graphic>
          </wp:inline>
        </w:drawing>
      </w:r>
      <w:r>
        <w:rPr>
          <w:rFonts w:hint="default" w:ascii="Times New Roman" w:hAnsi="Times New Roman" w:eastAsia="宋体" w:cs="Times New Roman"/>
          <w:color w:val="auto"/>
          <w:sz w:val="24"/>
          <w:szCs w:val="24"/>
          <w:u w:val="none" w:color="auto"/>
          <w:lang w:val="en-US" w:eastAsia="zh-CN"/>
        </w:rPr>
        <w:t xml:space="preserve">   </w:t>
      </w:r>
      <w:r>
        <w:rPr>
          <w:rFonts w:hint="default" w:ascii="Times New Roman" w:hAnsi="Times New Roman" w:eastAsia="宋体" w:cs="Times New Roman"/>
          <w:color w:val="auto"/>
          <w:u w:val="none" w:color="auto"/>
        </w:rPr>
        <w:drawing>
          <wp:inline distT="0" distB="0" distL="114300" distR="114300">
            <wp:extent cx="2877820" cy="1820545"/>
            <wp:effectExtent l="0" t="0" r="17780" b="8255"/>
            <wp:docPr id="3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8"/>
                    <pic:cNvPicPr>
                      <a:picLocks noChangeAspect="1"/>
                    </pic:cNvPicPr>
                  </pic:nvPicPr>
                  <pic:blipFill>
                    <a:blip r:embed="rId61"/>
                    <a:stretch>
                      <a:fillRect/>
                    </a:stretch>
                  </pic:blipFill>
                  <pic:spPr>
                    <a:xfrm>
                      <a:off x="0" y="0"/>
                      <a:ext cx="2877820" cy="1820545"/>
                    </a:xfrm>
                    <a:prstGeom prst="rect">
                      <a:avLst/>
                    </a:prstGeom>
                    <a:noFill/>
                    <a:ln>
                      <a:noFill/>
                    </a:ln>
                  </pic:spPr>
                </pic:pic>
              </a:graphicData>
            </a:graphic>
          </wp:inline>
        </w:drawing>
      </w:r>
    </w:p>
    <w:p w14:paraId="4462B830">
      <w:pPr>
        <w:pStyle w:val="30"/>
        <w:bidi w:val="0"/>
        <w:rPr>
          <w:rFonts w:hint="default"/>
          <w:color w:val="auto"/>
          <w:u w:val="none" w:color="auto"/>
        </w:rPr>
      </w:pPr>
      <w:r>
        <w:rPr>
          <w:rFonts w:hint="default"/>
          <w:color w:val="auto"/>
          <w:u w:val="none" w:color="auto"/>
        </w:rPr>
        <w:t>图</w:t>
      </w:r>
      <w:r>
        <w:rPr>
          <w:rFonts w:hint="eastAsia"/>
          <w:color w:val="auto"/>
          <w:u w:val="none" w:color="auto"/>
          <w:lang w:val="en-US" w:eastAsia="zh-CN"/>
        </w:rPr>
        <w:t>9</w:t>
      </w:r>
      <w:r>
        <w:rPr>
          <w:rFonts w:hint="default"/>
          <w:color w:val="auto"/>
          <w:u w:val="none" w:color="auto"/>
        </w:rPr>
        <w:t>.</w:t>
      </w:r>
      <w:r>
        <w:rPr>
          <w:rFonts w:hint="eastAsia"/>
          <w:color w:val="auto"/>
          <w:u w:val="none" w:color="auto"/>
          <w:lang w:val="en-US" w:eastAsia="zh-CN"/>
        </w:rPr>
        <w:t>1</w:t>
      </w:r>
      <w:r>
        <w:rPr>
          <w:rFonts w:hint="default"/>
          <w:color w:val="auto"/>
          <w:u w:val="none" w:color="auto"/>
        </w:rPr>
        <w:t>-</w:t>
      </w:r>
      <w:r>
        <w:rPr>
          <w:rFonts w:hint="eastAsia"/>
          <w:color w:val="auto"/>
          <w:u w:val="none" w:color="auto"/>
          <w:lang w:val="en-US" w:eastAsia="zh-CN"/>
        </w:rPr>
        <w:t>1</w:t>
      </w:r>
      <w:r>
        <w:rPr>
          <w:rFonts w:hint="default"/>
          <w:color w:val="auto"/>
          <w:u w:val="none" w:color="auto"/>
        </w:rPr>
        <w:t xml:space="preserve">  危险废物环境保护图形标志牌</w:t>
      </w:r>
    </w:p>
    <w:p w14:paraId="2B315393">
      <w:pPr>
        <w:pStyle w:val="3"/>
        <w:bidi w:val="0"/>
        <w:rPr>
          <w:rFonts w:hint="default"/>
          <w:color w:val="auto"/>
          <w:u w:val="none" w:color="auto"/>
        </w:rPr>
      </w:pPr>
      <w:bookmarkStart w:id="1562" w:name="_Toc1687"/>
      <w:bookmarkStart w:id="1563" w:name="_Toc31960"/>
      <w:bookmarkStart w:id="1564" w:name="_Toc23417"/>
      <w:bookmarkStart w:id="1565" w:name="_Toc24680"/>
      <w:r>
        <w:rPr>
          <w:rFonts w:hint="eastAsia"/>
          <w:color w:val="auto"/>
          <w:u w:val="none" w:color="auto"/>
          <w:lang w:val="en-US" w:eastAsia="zh-CN"/>
        </w:rPr>
        <w:t>9</w:t>
      </w:r>
      <w:r>
        <w:rPr>
          <w:rFonts w:hint="default"/>
          <w:color w:val="auto"/>
          <w:u w:val="none" w:color="auto"/>
        </w:rPr>
        <w:t>.2环境监</w:t>
      </w:r>
      <w:r>
        <w:rPr>
          <w:rFonts w:hint="default"/>
          <w:color w:val="auto"/>
          <w:u w:val="none" w:color="auto"/>
          <w:lang w:eastAsia="zh-CN"/>
        </w:rPr>
        <w:t>测</w:t>
      </w:r>
      <w:r>
        <w:rPr>
          <w:rFonts w:hint="default"/>
          <w:color w:val="auto"/>
          <w:u w:val="none" w:color="auto"/>
        </w:rPr>
        <w:t>计划</w:t>
      </w:r>
      <w:bookmarkEnd w:id="1562"/>
      <w:bookmarkEnd w:id="1563"/>
      <w:bookmarkEnd w:id="1564"/>
      <w:bookmarkEnd w:id="1565"/>
    </w:p>
    <w:p w14:paraId="5881CCC8">
      <w:pPr>
        <w:pStyle w:val="20"/>
        <w:ind w:firstLine="480"/>
        <w:rPr>
          <w:rFonts w:hint="default" w:ascii="Times New Roman" w:hAnsi="Times New Roman" w:cs="Times New Roman"/>
          <w:color w:val="auto"/>
          <w:u w:val="none" w:color="auto"/>
          <w:lang w:val="en-US"/>
        </w:rPr>
      </w:pPr>
      <w:r>
        <w:rPr>
          <w:color w:val="auto"/>
          <w:u w:val="none" w:color="auto"/>
        </w:rPr>
        <w:t xml:space="preserve">为了解项目的环境影响及环境质量变化趋势，应建立污染源分类技术档案和监测档案，为环境污染治理提供必要的依据。环境监测计划可按照《排污许可证申请与核发技术规范 </w:t>
      </w:r>
      <w:r>
        <w:rPr>
          <w:rFonts w:hint="eastAsia"/>
          <w:color w:val="auto"/>
          <w:u w:val="none" w:color="auto"/>
        </w:rPr>
        <w:t>总则</w:t>
      </w:r>
      <w:r>
        <w:rPr>
          <w:color w:val="auto"/>
          <w:u w:val="none" w:color="auto"/>
        </w:rPr>
        <w:t>》（HJ</w:t>
      </w:r>
      <w:r>
        <w:rPr>
          <w:rFonts w:hint="eastAsia"/>
          <w:color w:val="auto"/>
          <w:u w:val="none" w:color="auto"/>
        </w:rPr>
        <w:t>942</w:t>
      </w:r>
      <w:r>
        <w:rPr>
          <w:color w:val="auto"/>
          <w:u w:val="none" w:color="auto"/>
        </w:rPr>
        <w:t>-20</w:t>
      </w:r>
      <w:r>
        <w:rPr>
          <w:rFonts w:hint="eastAsia"/>
          <w:color w:val="auto"/>
          <w:u w:val="none" w:color="auto"/>
        </w:rPr>
        <w:t>18</w:t>
      </w:r>
      <w:r>
        <w:rPr>
          <w:color w:val="auto"/>
          <w:u w:val="none" w:color="auto"/>
        </w:rPr>
        <w:t>）</w:t>
      </w:r>
      <w:r>
        <w:rPr>
          <w:rFonts w:hint="eastAsia"/>
          <w:color w:val="auto"/>
          <w:u w:val="none" w:color="auto"/>
        </w:rPr>
        <w:t>、</w:t>
      </w:r>
      <w:r>
        <w:rPr>
          <w:color w:val="auto"/>
          <w:u w:val="none" w:color="auto"/>
        </w:rPr>
        <w:t>《排污许可证申请与核发技术规范 橡胶与塑料制品工业》（HJ1122-2020）</w:t>
      </w:r>
      <w:r>
        <w:rPr>
          <w:rFonts w:hint="eastAsia"/>
          <w:color w:val="auto"/>
          <w:u w:val="none" w:color="auto"/>
          <w:lang w:val="en-US" w:eastAsia="zh-CN"/>
        </w:rPr>
        <w:t>以及《排污许可申请与核发技术规范 废弃资源加工工业》（HJ1034-2019）</w:t>
      </w:r>
      <w:r>
        <w:rPr>
          <w:color w:val="auto"/>
          <w:u w:val="none" w:color="auto"/>
        </w:rPr>
        <w:t>中监测要求进行监测，安排如下。</w:t>
      </w:r>
    </w:p>
    <w:p w14:paraId="5349F63C">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（1）建立健全监测制度，定期开展对废气和厂界噪声的常规性监测。</w:t>
      </w:r>
    </w:p>
    <w:p w14:paraId="59B8348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（2）监测厂界无组织浓度值；噪声监测因子为Leq(A)，每季监测一次。出现污染投诉和环境纠纷时另行组织开展监测。详见下表。</w:t>
      </w:r>
    </w:p>
    <w:p w14:paraId="57B883E0">
      <w:pPr>
        <w:pStyle w:val="22"/>
        <w:bidi w:val="0"/>
        <w:rPr>
          <w:rFonts w:hint="eastAsia"/>
          <w:color w:val="auto"/>
          <w:u w:val="none" w:color="auto"/>
          <w:lang w:eastAsia="zh-CN"/>
        </w:rPr>
      </w:pPr>
      <w:r>
        <w:rPr>
          <w:rFonts w:hint="default"/>
          <w:color w:val="auto"/>
          <w:u w:val="none" w:color="auto"/>
        </w:rPr>
        <w:t>表</w:t>
      </w:r>
      <w:r>
        <w:rPr>
          <w:rFonts w:hint="eastAsia"/>
          <w:color w:val="auto"/>
          <w:u w:val="none" w:color="auto"/>
          <w:lang w:val="en-US" w:eastAsia="zh-CN"/>
        </w:rPr>
        <w:t>9</w:t>
      </w:r>
      <w:r>
        <w:rPr>
          <w:rFonts w:hint="default"/>
          <w:color w:val="auto"/>
          <w:u w:val="none" w:color="auto"/>
        </w:rPr>
        <w:t>.2-1营运期环境监测计划</w:t>
      </w:r>
    </w:p>
    <w:tbl>
      <w:tblPr>
        <w:tblStyle w:val="16"/>
        <w:tblW w:w="850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71"/>
        <w:gridCol w:w="3360"/>
        <w:gridCol w:w="1530"/>
        <w:gridCol w:w="1305"/>
        <w:gridCol w:w="1138"/>
      </w:tblGrid>
      <w:tr w14:paraId="7A73D8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restart"/>
            <w:noWrap w:val="0"/>
            <w:vAlign w:val="center"/>
          </w:tcPr>
          <w:p w14:paraId="24B92F35">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w:t>
            </w:r>
          </w:p>
        </w:tc>
        <w:tc>
          <w:tcPr>
            <w:tcW w:w="7333" w:type="dxa"/>
            <w:gridSpan w:val="4"/>
            <w:noWrap w:val="0"/>
            <w:vAlign w:val="center"/>
          </w:tcPr>
          <w:p w14:paraId="204AF718">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建议内容</w:t>
            </w:r>
          </w:p>
        </w:tc>
      </w:tr>
      <w:tr w14:paraId="13D851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715FB1DA">
            <w:pPr>
              <w:pStyle w:val="24"/>
              <w:rPr>
                <w:rFonts w:hint="default" w:ascii="Times New Roman" w:hAnsi="Times New Roman" w:cs="Times New Roman"/>
                <w:color w:val="auto"/>
                <w:u w:val="none" w:color="auto"/>
              </w:rPr>
            </w:pPr>
          </w:p>
        </w:tc>
        <w:tc>
          <w:tcPr>
            <w:tcW w:w="3360" w:type="dxa"/>
            <w:noWrap w:val="0"/>
            <w:vAlign w:val="center"/>
          </w:tcPr>
          <w:p w14:paraId="59B68898">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监测因子</w:t>
            </w:r>
          </w:p>
        </w:tc>
        <w:tc>
          <w:tcPr>
            <w:tcW w:w="1530" w:type="dxa"/>
            <w:noWrap w:val="0"/>
            <w:vAlign w:val="center"/>
          </w:tcPr>
          <w:p w14:paraId="7D2DADA2">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监测地点</w:t>
            </w:r>
          </w:p>
        </w:tc>
        <w:tc>
          <w:tcPr>
            <w:tcW w:w="1305" w:type="dxa"/>
            <w:noWrap w:val="0"/>
            <w:vAlign w:val="center"/>
          </w:tcPr>
          <w:p w14:paraId="70AEBB5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监测频率</w:t>
            </w:r>
          </w:p>
        </w:tc>
        <w:tc>
          <w:tcPr>
            <w:tcW w:w="1138" w:type="dxa"/>
            <w:noWrap w:val="0"/>
            <w:vAlign w:val="center"/>
          </w:tcPr>
          <w:p w14:paraId="1E9EEF0D">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监测机构</w:t>
            </w:r>
          </w:p>
        </w:tc>
      </w:tr>
      <w:tr w14:paraId="302AFF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restart"/>
            <w:noWrap w:val="0"/>
            <w:vAlign w:val="center"/>
          </w:tcPr>
          <w:p w14:paraId="145DBA09">
            <w:pPr>
              <w:pStyle w:val="24"/>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废气</w:t>
            </w:r>
          </w:p>
        </w:tc>
        <w:tc>
          <w:tcPr>
            <w:tcW w:w="3360" w:type="dxa"/>
            <w:noWrap w:val="0"/>
            <w:vAlign w:val="center"/>
          </w:tcPr>
          <w:p w14:paraId="5EBE04E6">
            <w:pPr>
              <w:pStyle w:val="24"/>
              <w:bidi w:val="0"/>
              <w:rPr>
                <w:rFonts w:hint="default" w:ascii="Times New Roman" w:hAnsi="Times New Roman" w:cs="Times New Roman"/>
                <w:color w:val="auto"/>
                <w:u w:val="none" w:color="auto"/>
                <w:lang w:val="en-US"/>
              </w:rPr>
            </w:pPr>
            <w:r>
              <w:rPr>
                <w:rFonts w:hint="eastAsia" w:ascii="Times New Roman" w:hAnsi="Times New Roman" w:cs="Times New Roman"/>
                <w:color w:val="auto"/>
                <w:u w:val="none" w:color="auto"/>
                <w:lang w:val="en-US" w:eastAsia="zh-CN"/>
              </w:rPr>
              <w:t>标干流量、</w:t>
            </w:r>
            <w:r>
              <w:rPr>
                <w:rFonts w:hint="default" w:ascii="Times New Roman" w:hAnsi="Times New Roman" w:cs="Times New Roman"/>
                <w:color w:val="auto"/>
                <w:u w:val="none" w:color="auto"/>
              </w:rPr>
              <w:t>颗粒物</w:t>
            </w:r>
            <w:r>
              <w:rPr>
                <w:rFonts w:hint="default" w:ascii="Times New Roman" w:hAnsi="Times New Roman" w:cs="Times New Roman"/>
                <w:color w:val="auto"/>
                <w:u w:val="none" w:color="auto"/>
                <w:lang w:eastAsia="zh-CN"/>
              </w:rPr>
              <w:t>、非甲烷总烃</w:t>
            </w:r>
            <w:r>
              <w:rPr>
                <w:rFonts w:hint="eastAsia" w:cs="Times New Roman"/>
                <w:color w:val="auto"/>
                <w:u w:val="none" w:color="auto"/>
                <w:lang w:eastAsia="zh-CN"/>
              </w:rPr>
              <w:t>、</w:t>
            </w:r>
            <w:r>
              <w:rPr>
                <w:rFonts w:hint="eastAsia" w:cs="Times New Roman"/>
                <w:color w:val="auto"/>
                <w:u w:val="none" w:color="auto"/>
                <w:lang w:val="en-US" w:eastAsia="zh-CN"/>
              </w:rPr>
              <w:t>氯化氢、二甲苯、臭气浓度</w:t>
            </w:r>
          </w:p>
        </w:tc>
        <w:tc>
          <w:tcPr>
            <w:tcW w:w="1530" w:type="dxa"/>
            <w:noWrap w:val="0"/>
            <w:vAlign w:val="center"/>
          </w:tcPr>
          <w:p w14:paraId="7677B906">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厂界</w:t>
            </w:r>
          </w:p>
        </w:tc>
        <w:tc>
          <w:tcPr>
            <w:tcW w:w="1305" w:type="dxa"/>
            <w:noWrap w:val="0"/>
            <w:vAlign w:val="center"/>
          </w:tcPr>
          <w:p w14:paraId="696E5AD3">
            <w:pPr>
              <w:pStyle w:val="24"/>
              <w:rPr>
                <w:rFonts w:hint="default" w:ascii="Times New Roman" w:hAnsi="Times New Roman" w:eastAsia="宋体" w:cs="Times New Roman"/>
                <w:color w:val="auto"/>
                <w:u w:val="none" w:color="auto"/>
                <w:lang w:eastAsia="zh-CN"/>
              </w:rPr>
            </w:pPr>
            <w:r>
              <w:rPr>
                <w:rFonts w:hint="default" w:ascii="Times New Roman" w:hAnsi="Times New Roman" w:cs="Times New Roman"/>
                <w:color w:val="auto"/>
                <w:u w:val="none" w:color="auto"/>
              </w:rPr>
              <w:t>1次/</w:t>
            </w:r>
            <w:r>
              <w:rPr>
                <w:rFonts w:hint="default" w:ascii="Times New Roman" w:hAnsi="Times New Roman" w:cs="Times New Roman"/>
                <w:color w:val="auto"/>
                <w:u w:val="none" w:color="auto"/>
                <w:lang w:val="en-US" w:eastAsia="zh-CN"/>
              </w:rPr>
              <w:t>年</w:t>
            </w:r>
          </w:p>
        </w:tc>
        <w:tc>
          <w:tcPr>
            <w:tcW w:w="1138" w:type="dxa"/>
            <w:vMerge w:val="restart"/>
            <w:noWrap w:val="0"/>
            <w:vAlign w:val="center"/>
          </w:tcPr>
          <w:p w14:paraId="7531549D">
            <w:pPr>
              <w:pStyle w:val="24"/>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建议委托有资质的公司进行</w:t>
            </w:r>
          </w:p>
        </w:tc>
      </w:tr>
      <w:tr w14:paraId="75E60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536F348E">
            <w:pPr>
              <w:pStyle w:val="24"/>
              <w:bidi w:val="0"/>
              <w:rPr>
                <w:rFonts w:hint="default" w:ascii="Times New Roman" w:hAnsi="Times New Roman" w:cs="Times New Roman"/>
                <w:color w:val="auto"/>
                <w:u w:val="none" w:color="auto"/>
                <w:lang w:eastAsia="zh-CN"/>
              </w:rPr>
            </w:pPr>
          </w:p>
        </w:tc>
        <w:tc>
          <w:tcPr>
            <w:tcW w:w="3360" w:type="dxa"/>
            <w:noWrap w:val="0"/>
            <w:vAlign w:val="center"/>
          </w:tcPr>
          <w:p w14:paraId="03F17E0C">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非甲烷总烃</w:t>
            </w:r>
          </w:p>
        </w:tc>
        <w:tc>
          <w:tcPr>
            <w:tcW w:w="1530" w:type="dxa"/>
            <w:noWrap w:val="0"/>
            <w:vAlign w:val="center"/>
          </w:tcPr>
          <w:p w14:paraId="351A7531">
            <w:pPr>
              <w:pStyle w:val="24"/>
              <w:bidi w:val="0"/>
              <w:rPr>
                <w:rFonts w:hint="eastAsia"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厂区内</w:t>
            </w:r>
          </w:p>
        </w:tc>
        <w:tc>
          <w:tcPr>
            <w:tcW w:w="1305" w:type="dxa"/>
            <w:noWrap w:val="0"/>
            <w:vAlign w:val="center"/>
          </w:tcPr>
          <w:p w14:paraId="4258613B">
            <w:pPr>
              <w:pStyle w:val="24"/>
              <w:rPr>
                <w:rFonts w:hint="default" w:ascii="Times New Roman" w:hAnsi="Times New Roman" w:eastAsia="宋体" w:cs="Times New Roman"/>
                <w:color w:val="auto"/>
                <w:u w:val="none" w:color="auto"/>
                <w:lang w:val="en-US" w:eastAsia="zh-CN"/>
              </w:rPr>
            </w:pPr>
            <w:r>
              <w:rPr>
                <w:rFonts w:hint="eastAsia" w:ascii="Times New Roman" w:hAnsi="Times New Roman" w:cs="Times New Roman"/>
                <w:color w:val="auto"/>
                <w:u w:val="none" w:color="auto"/>
                <w:lang w:val="en-US" w:eastAsia="zh-CN"/>
              </w:rPr>
              <w:t>1次/季度</w:t>
            </w:r>
          </w:p>
        </w:tc>
        <w:tc>
          <w:tcPr>
            <w:tcW w:w="1138" w:type="dxa"/>
            <w:vMerge w:val="continue"/>
            <w:noWrap w:val="0"/>
            <w:vAlign w:val="center"/>
          </w:tcPr>
          <w:p w14:paraId="6870D4A7">
            <w:pPr>
              <w:pStyle w:val="24"/>
              <w:bidi w:val="0"/>
              <w:rPr>
                <w:rFonts w:hint="default" w:ascii="Times New Roman" w:hAnsi="Times New Roman" w:cs="Times New Roman"/>
                <w:color w:val="auto"/>
                <w:u w:val="none" w:color="auto"/>
              </w:rPr>
            </w:pPr>
          </w:p>
        </w:tc>
      </w:tr>
      <w:tr w14:paraId="01A23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5AA74543">
            <w:pPr>
              <w:pStyle w:val="24"/>
              <w:bidi w:val="0"/>
              <w:rPr>
                <w:rFonts w:hint="default" w:ascii="Times New Roman" w:hAnsi="Times New Roman" w:cs="Times New Roman"/>
                <w:color w:val="auto"/>
                <w:u w:val="none" w:color="auto"/>
                <w:lang w:val="en-US" w:eastAsia="zh-CN"/>
              </w:rPr>
            </w:pPr>
          </w:p>
        </w:tc>
        <w:tc>
          <w:tcPr>
            <w:tcW w:w="3360" w:type="dxa"/>
            <w:noWrap w:val="0"/>
            <w:vAlign w:val="center"/>
          </w:tcPr>
          <w:p w14:paraId="4EBB4A04">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标干流量、颗粒物</w:t>
            </w:r>
          </w:p>
        </w:tc>
        <w:tc>
          <w:tcPr>
            <w:tcW w:w="1530" w:type="dxa"/>
            <w:noWrap w:val="0"/>
            <w:vAlign w:val="center"/>
          </w:tcPr>
          <w:p w14:paraId="01F505AB">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DA001排气筒出口</w:t>
            </w:r>
          </w:p>
        </w:tc>
        <w:tc>
          <w:tcPr>
            <w:tcW w:w="1305" w:type="dxa"/>
            <w:noWrap w:val="0"/>
            <w:vAlign w:val="center"/>
          </w:tcPr>
          <w:p w14:paraId="7EF50CC3">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1次/年</w:t>
            </w:r>
          </w:p>
        </w:tc>
        <w:tc>
          <w:tcPr>
            <w:tcW w:w="1138" w:type="dxa"/>
            <w:vMerge w:val="continue"/>
            <w:noWrap w:val="0"/>
            <w:vAlign w:val="center"/>
          </w:tcPr>
          <w:p w14:paraId="0238B61C">
            <w:pPr>
              <w:pStyle w:val="24"/>
              <w:rPr>
                <w:rFonts w:hint="default" w:ascii="Times New Roman" w:hAnsi="Times New Roman" w:cs="Times New Roman"/>
                <w:color w:val="auto"/>
                <w:u w:val="none" w:color="auto"/>
              </w:rPr>
            </w:pPr>
          </w:p>
        </w:tc>
      </w:tr>
      <w:tr w14:paraId="05C65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2ED49965">
            <w:pPr>
              <w:pStyle w:val="24"/>
              <w:bidi w:val="0"/>
              <w:rPr>
                <w:rFonts w:hint="default" w:ascii="Times New Roman" w:hAnsi="Times New Roman" w:cs="Times New Roman"/>
                <w:color w:val="auto"/>
                <w:u w:val="none" w:color="auto"/>
                <w:lang w:val="en-US" w:eastAsia="zh-CN"/>
              </w:rPr>
            </w:pPr>
          </w:p>
        </w:tc>
        <w:tc>
          <w:tcPr>
            <w:tcW w:w="3360" w:type="dxa"/>
            <w:noWrap w:val="0"/>
            <w:vAlign w:val="center"/>
          </w:tcPr>
          <w:p w14:paraId="7E083418">
            <w:pPr>
              <w:pStyle w:val="24"/>
              <w:bidi w:val="0"/>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eastAsia="zh-CN"/>
              </w:rPr>
              <w:t>标干流量、非甲烷总烃</w:t>
            </w:r>
          </w:p>
        </w:tc>
        <w:tc>
          <w:tcPr>
            <w:tcW w:w="1530" w:type="dxa"/>
            <w:noWrap w:val="0"/>
            <w:vAlign w:val="center"/>
          </w:tcPr>
          <w:p w14:paraId="5F546F27">
            <w:pPr>
              <w:pStyle w:val="24"/>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u w:val="none" w:color="auto"/>
                <w:lang w:val="en-US" w:eastAsia="zh-CN"/>
              </w:rPr>
              <w:t>DA002</w:t>
            </w:r>
            <w:r>
              <w:rPr>
                <w:rFonts w:hint="default" w:ascii="Times New Roman" w:hAnsi="Times New Roman" w:cs="Times New Roman"/>
                <w:color w:val="auto"/>
                <w:u w:val="none" w:color="auto"/>
                <w:lang w:eastAsia="zh-CN"/>
              </w:rPr>
              <w:t>排气筒</w:t>
            </w:r>
            <w:r>
              <w:rPr>
                <w:rFonts w:hint="default" w:ascii="Times New Roman" w:hAnsi="Times New Roman" w:cs="Times New Roman"/>
                <w:color w:val="auto"/>
                <w:u w:val="none" w:color="auto"/>
                <w:lang w:val="en-US" w:eastAsia="zh-CN"/>
              </w:rPr>
              <w:t>出口</w:t>
            </w:r>
          </w:p>
        </w:tc>
        <w:tc>
          <w:tcPr>
            <w:tcW w:w="1305" w:type="dxa"/>
            <w:noWrap w:val="0"/>
            <w:vAlign w:val="center"/>
          </w:tcPr>
          <w:p w14:paraId="1360D884">
            <w:pPr>
              <w:pStyle w:val="24"/>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1次/</w:t>
            </w:r>
            <w:r>
              <w:rPr>
                <w:rFonts w:hint="eastAsia" w:ascii="Times New Roman" w:hAnsi="Times New Roman" w:cs="Times New Roman"/>
                <w:color w:val="auto"/>
                <w:u w:val="none" w:color="auto"/>
                <w:lang w:val="en-US" w:eastAsia="zh-CN"/>
              </w:rPr>
              <w:t>半</w:t>
            </w:r>
            <w:r>
              <w:rPr>
                <w:rFonts w:hint="default" w:ascii="Times New Roman" w:hAnsi="Times New Roman" w:cs="Times New Roman"/>
                <w:color w:val="auto"/>
                <w:u w:val="none" w:color="auto"/>
                <w:lang w:val="en-US" w:eastAsia="zh-CN"/>
              </w:rPr>
              <w:t>年</w:t>
            </w:r>
          </w:p>
        </w:tc>
        <w:tc>
          <w:tcPr>
            <w:tcW w:w="1138" w:type="dxa"/>
            <w:vMerge w:val="continue"/>
            <w:noWrap w:val="0"/>
            <w:vAlign w:val="center"/>
          </w:tcPr>
          <w:p w14:paraId="6BA17B32">
            <w:pPr>
              <w:pStyle w:val="24"/>
              <w:rPr>
                <w:rFonts w:hint="default" w:ascii="Times New Roman" w:hAnsi="Times New Roman" w:cs="Times New Roman"/>
                <w:color w:val="auto"/>
                <w:u w:val="none" w:color="auto"/>
              </w:rPr>
            </w:pPr>
          </w:p>
        </w:tc>
      </w:tr>
      <w:tr w14:paraId="64D69C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50DF3AC4">
            <w:pPr>
              <w:pStyle w:val="24"/>
              <w:bidi w:val="0"/>
              <w:rPr>
                <w:rFonts w:hint="default" w:ascii="Times New Roman" w:hAnsi="Times New Roman" w:cs="Times New Roman"/>
                <w:color w:val="auto"/>
                <w:u w:val="none" w:color="auto"/>
                <w:lang w:val="en-US" w:eastAsia="zh-CN"/>
              </w:rPr>
            </w:pPr>
          </w:p>
        </w:tc>
        <w:tc>
          <w:tcPr>
            <w:tcW w:w="3360" w:type="dxa"/>
            <w:noWrap w:val="0"/>
            <w:vAlign w:val="center"/>
          </w:tcPr>
          <w:p w14:paraId="12FC54BA">
            <w:pPr>
              <w:pStyle w:val="24"/>
              <w:bidi w:val="0"/>
              <w:rPr>
                <w:rFonts w:hint="default" w:ascii="Times New Roman" w:hAnsi="Times New Roman" w:cs="Times New Roman"/>
                <w:color w:val="auto"/>
                <w:u w:val="none" w:color="auto"/>
                <w:lang w:eastAsia="zh-CN"/>
              </w:rPr>
            </w:pPr>
            <w:r>
              <w:rPr>
                <w:rFonts w:hint="default" w:ascii="Times New Roman" w:hAnsi="Times New Roman" w:cs="Times New Roman"/>
                <w:color w:val="auto"/>
                <w:u w:val="none" w:color="auto"/>
                <w:lang w:eastAsia="zh-CN"/>
              </w:rPr>
              <w:t>标干流量、</w:t>
            </w:r>
            <w:r>
              <w:rPr>
                <w:rFonts w:hint="eastAsia" w:cs="Times New Roman"/>
                <w:color w:val="auto"/>
                <w:u w:val="none" w:color="auto"/>
                <w:lang w:val="en-US" w:eastAsia="zh-CN"/>
              </w:rPr>
              <w:t>氯化氢、臭气浓度</w:t>
            </w:r>
          </w:p>
        </w:tc>
        <w:tc>
          <w:tcPr>
            <w:tcW w:w="1530" w:type="dxa"/>
            <w:noWrap w:val="0"/>
            <w:vAlign w:val="center"/>
          </w:tcPr>
          <w:p w14:paraId="0D30E6CE">
            <w:pPr>
              <w:pStyle w:val="24"/>
              <w:bidi w:val="0"/>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u w:val="none" w:color="auto"/>
                <w:lang w:val="en-US" w:eastAsia="zh-CN"/>
              </w:rPr>
              <w:t>DA002</w:t>
            </w:r>
            <w:r>
              <w:rPr>
                <w:rFonts w:hint="default" w:ascii="Times New Roman" w:hAnsi="Times New Roman" w:cs="Times New Roman"/>
                <w:color w:val="auto"/>
                <w:u w:val="none" w:color="auto"/>
                <w:lang w:eastAsia="zh-CN"/>
              </w:rPr>
              <w:t>排气筒</w:t>
            </w:r>
            <w:r>
              <w:rPr>
                <w:rFonts w:hint="default" w:ascii="Times New Roman" w:hAnsi="Times New Roman" w:cs="Times New Roman"/>
                <w:color w:val="auto"/>
                <w:u w:val="none" w:color="auto"/>
                <w:lang w:val="en-US" w:eastAsia="zh-CN"/>
              </w:rPr>
              <w:t>出口</w:t>
            </w:r>
          </w:p>
        </w:tc>
        <w:tc>
          <w:tcPr>
            <w:tcW w:w="1305" w:type="dxa"/>
            <w:noWrap w:val="0"/>
            <w:vAlign w:val="center"/>
          </w:tcPr>
          <w:p w14:paraId="01536C78">
            <w:pPr>
              <w:pStyle w:val="24"/>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1次/</w:t>
            </w:r>
            <w:r>
              <w:rPr>
                <w:rFonts w:hint="default" w:ascii="Times New Roman" w:hAnsi="Times New Roman" w:cs="Times New Roman"/>
                <w:color w:val="auto"/>
                <w:u w:val="none" w:color="auto"/>
                <w:lang w:val="en-US" w:eastAsia="zh-CN"/>
              </w:rPr>
              <w:t>年</w:t>
            </w:r>
          </w:p>
        </w:tc>
        <w:tc>
          <w:tcPr>
            <w:tcW w:w="1138" w:type="dxa"/>
            <w:vMerge w:val="continue"/>
            <w:noWrap w:val="0"/>
            <w:vAlign w:val="center"/>
          </w:tcPr>
          <w:p w14:paraId="66934D7D">
            <w:pPr>
              <w:pStyle w:val="24"/>
              <w:rPr>
                <w:rFonts w:hint="default" w:ascii="Times New Roman" w:hAnsi="Times New Roman" w:cs="Times New Roman"/>
                <w:color w:val="auto"/>
                <w:u w:val="none" w:color="auto"/>
              </w:rPr>
            </w:pPr>
          </w:p>
        </w:tc>
      </w:tr>
      <w:tr w14:paraId="5452A9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5739D574">
            <w:pPr>
              <w:pStyle w:val="24"/>
              <w:bidi w:val="0"/>
              <w:rPr>
                <w:rFonts w:hint="default" w:ascii="Times New Roman" w:hAnsi="Times New Roman" w:cs="Times New Roman"/>
                <w:color w:val="auto"/>
                <w:u w:val="none" w:color="auto"/>
                <w:lang w:val="en-US" w:eastAsia="zh-CN"/>
              </w:rPr>
            </w:pPr>
          </w:p>
        </w:tc>
        <w:tc>
          <w:tcPr>
            <w:tcW w:w="3360" w:type="dxa"/>
            <w:noWrap w:val="0"/>
            <w:vAlign w:val="center"/>
          </w:tcPr>
          <w:p w14:paraId="6B93A704">
            <w:pPr>
              <w:pStyle w:val="24"/>
              <w:bidi w:val="0"/>
              <w:rPr>
                <w:rFonts w:hint="eastAsia"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lang w:eastAsia="zh-CN"/>
              </w:rPr>
              <w:t>标干流量、非甲烷总烃</w:t>
            </w:r>
          </w:p>
        </w:tc>
        <w:tc>
          <w:tcPr>
            <w:tcW w:w="1530" w:type="dxa"/>
            <w:noWrap w:val="0"/>
            <w:vAlign w:val="center"/>
          </w:tcPr>
          <w:p w14:paraId="133EEA1E">
            <w:pPr>
              <w:pStyle w:val="24"/>
              <w:bidi w:val="0"/>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u w:val="none" w:color="auto"/>
                <w:lang w:val="en-US" w:eastAsia="zh-CN"/>
              </w:rPr>
              <w:t>DA003</w:t>
            </w:r>
            <w:r>
              <w:rPr>
                <w:rFonts w:hint="default" w:ascii="Times New Roman" w:hAnsi="Times New Roman" w:cs="Times New Roman"/>
                <w:color w:val="auto"/>
                <w:u w:val="none" w:color="auto"/>
                <w:lang w:eastAsia="zh-CN"/>
              </w:rPr>
              <w:t>排气筒</w:t>
            </w:r>
            <w:r>
              <w:rPr>
                <w:rFonts w:hint="default" w:ascii="Times New Roman" w:hAnsi="Times New Roman" w:cs="Times New Roman"/>
                <w:color w:val="auto"/>
                <w:u w:val="none" w:color="auto"/>
                <w:lang w:val="en-US" w:eastAsia="zh-CN"/>
              </w:rPr>
              <w:t>出口</w:t>
            </w:r>
          </w:p>
        </w:tc>
        <w:tc>
          <w:tcPr>
            <w:tcW w:w="1305" w:type="dxa"/>
            <w:noWrap w:val="0"/>
            <w:vAlign w:val="center"/>
          </w:tcPr>
          <w:p w14:paraId="61242B49">
            <w:pPr>
              <w:pStyle w:val="24"/>
              <w:rPr>
                <w:rFonts w:hint="eastAsia"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1次/</w:t>
            </w:r>
            <w:r>
              <w:rPr>
                <w:rFonts w:hint="eastAsia" w:ascii="Times New Roman" w:hAnsi="Times New Roman" w:cs="Times New Roman"/>
                <w:color w:val="auto"/>
                <w:u w:val="none" w:color="auto"/>
                <w:lang w:val="en-US" w:eastAsia="zh-CN"/>
              </w:rPr>
              <w:t>半</w:t>
            </w:r>
            <w:r>
              <w:rPr>
                <w:rFonts w:hint="default" w:ascii="Times New Roman" w:hAnsi="Times New Roman" w:cs="Times New Roman"/>
                <w:color w:val="auto"/>
                <w:u w:val="none" w:color="auto"/>
                <w:lang w:val="en-US" w:eastAsia="zh-CN"/>
              </w:rPr>
              <w:t>年</w:t>
            </w:r>
          </w:p>
        </w:tc>
        <w:tc>
          <w:tcPr>
            <w:tcW w:w="1138" w:type="dxa"/>
            <w:vMerge w:val="continue"/>
            <w:noWrap w:val="0"/>
            <w:vAlign w:val="center"/>
          </w:tcPr>
          <w:p w14:paraId="685CC47B">
            <w:pPr>
              <w:pStyle w:val="24"/>
              <w:rPr>
                <w:rFonts w:hint="default" w:ascii="Times New Roman" w:hAnsi="Times New Roman" w:cs="Times New Roman"/>
                <w:color w:val="auto"/>
                <w:u w:val="none" w:color="auto"/>
              </w:rPr>
            </w:pPr>
          </w:p>
        </w:tc>
      </w:tr>
      <w:tr w14:paraId="20DCA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vMerge w:val="continue"/>
            <w:noWrap w:val="0"/>
            <w:vAlign w:val="center"/>
          </w:tcPr>
          <w:p w14:paraId="2E54B998">
            <w:pPr>
              <w:pStyle w:val="24"/>
              <w:bidi w:val="0"/>
              <w:rPr>
                <w:rFonts w:hint="default" w:ascii="Times New Roman" w:hAnsi="Times New Roman" w:cs="Times New Roman"/>
                <w:color w:val="auto"/>
                <w:u w:val="none" w:color="auto"/>
                <w:lang w:val="en-US" w:eastAsia="zh-CN"/>
              </w:rPr>
            </w:pPr>
          </w:p>
        </w:tc>
        <w:tc>
          <w:tcPr>
            <w:tcW w:w="3360" w:type="dxa"/>
            <w:noWrap w:val="0"/>
            <w:vAlign w:val="center"/>
          </w:tcPr>
          <w:p w14:paraId="11E4958E">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eastAsia="zh-CN"/>
              </w:rPr>
              <w:t>标干流量、</w:t>
            </w:r>
            <w:r>
              <w:rPr>
                <w:rFonts w:hint="eastAsia" w:cs="Times New Roman"/>
                <w:color w:val="auto"/>
                <w:u w:val="none" w:color="auto"/>
                <w:lang w:val="en-US" w:eastAsia="zh-CN"/>
              </w:rPr>
              <w:t>二甲苯、臭气浓度</w:t>
            </w:r>
          </w:p>
        </w:tc>
        <w:tc>
          <w:tcPr>
            <w:tcW w:w="1530" w:type="dxa"/>
            <w:noWrap w:val="0"/>
            <w:vAlign w:val="center"/>
          </w:tcPr>
          <w:p w14:paraId="54C7643F">
            <w:pPr>
              <w:pStyle w:val="24"/>
              <w:bidi w:val="0"/>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cs="Times New Roman"/>
                <w:color w:val="auto"/>
                <w:u w:val="none" w:color="auto"/>
                <w:lang w:val="en-US" w:eastAsia="zh-CN"/>
              </w:rPr>
              <w:t>DA003</w:t>
            </w:r>
            <w:r>
              <w:rPr>
                <w:rFonts w:hint="default" w:ascii="Times New Roman" w:hAnsi="Times New Roman" w:cs="Times New Roman"/>
                <w:color w:val="auto"/>
                <w:u w:val="none" w:color="auto"/>
                <w:lang w:eastAsia="zh-CN"/>
              </w:rPr>
              <w:t>排气筒</w:t>
            </w:r>
            <w:r>
              <w:rPr>
                <w:rFonts w:hint="default" w:ascii="Times New Roman" w:hAnsi="Times New Roman" w:cs="Times New Roman"/>
                <w:color w:val="auto"/>
                <w:u w:val="none" w:color="auto"/>
                <w:lang w:val="en-US" w:eastAsia="zh-CN"/>
              </w:rPr>
              <w:t>出口</w:t>
            </w:r>
          </w:p>
        </w:tc>
        <w:tc>
          <w:tcPr>
            <w:tcW w:w="1305" w:type="dxa"/>
            <w:noWrap w:val="0"/>
            <w:vAlign w:val="center"/>
          </w:tcPr>
          <w:p w14:paraId="7E4A56C7">
            <w:pPr>
              <w:pStyle w:val="24"/>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cs="Times New Roman"/>
                <w:color w:val="auto"/>
                <w:u w:val="none" w:color="auto"/>
              </w:rPr>
              <w:t>1次/</w:t>
            </w:r>
            <w:r>
              <w:rPr>
                <w:rFonts w:hint="default" w:ascii="Times New Roman" w:hAnsi="Times New Roman" w:cs="Times New Roman"/>
                <w:color w:val="auto"/>
                <w:u w:val="none" w:color="auto"/>
                <w:lang w:val="en-US" w:eastAsia="zh-CN"/>
              </w:rPr>
              <w:t>年</w:t>
            </w:r>
          </w:p>
        </w:tc>
        <w:tc>
          <w:tcPr>
            <w:tcW w:w="1138" w:type="dxa"/>
            <w:vMerge w:val="continue"/>
            <w:noWrap w:val="0"/>
            <w:vAlign w:val="center"/>
          </w:tcPr>
          <w:p w14:paraId="3C4FFE90">
            <w:pPr>
              <w:pStyle w:val="24"/>
              <w:rPr>
                <w:rFonts w:hint="default" w:ascii="Times New Roman" w:hAnsi="Times New Roman" w:cs="Times New Roman"/>
                <w:color w:val="auto"/>
                <w:u w:val="none" w:color="auto"/>
              </w:rPr>
            </w:pPr>
          </w:p>
        </w:tc>
      </w:tr>
      <w:tr w14:paraId="24493D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noWrap w:val="0"/>
            <w:vAlign w:val="center"/>
          </w:tcPr>
          <w:p w14:paraId="0D0276F2">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厂界噪声</w:t>
            </w:r>
          </w:p>
        </w:tc>
        <w:tc>
          <w:tcPr>
            <w:tcW w:w="3360" w:type="dxa"/>
            <w:noWrap w:val="0"/>
            <w:vAlign w:val="center"/>
          </w:tcPr>
          <w:p w14:paraId="7A50B53F">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Leq（A）</w:t>
            </w:r>
          </w:p>
        </w:tc>
        <w:tc>
          <w:tcPr>
            <w:tcW w:w="1530" w:type="dxa"/>
            <w:noWrap w:val="0"/>
            <w:vAlign w:val="center"/>
          </w:tcPr>
          <w:p w14:paraId="5D7F611B">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厂界</w:t>
            </w:r>
          </w:p>
        </w:tc>
        <w:tc>
          <w:tcPr>
            <w:tcW w:w="1305" w:type="dxa"/>
            <w:noWrap w:val="0"/>
            <w:vAlign w:val="center"/>
          </w:tcPr>
          <w:p w14:paraId="067888CE">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1次/季度</w:t>
            </w:r>
          </w:p>
        </w:tc>
        <w:tc>
          <w:tcPr>
            <w:tcW w:w="1138" w:type="dxa"/>
            <w:vMerge w:val="continue"/>
            <w:noWrap w:val="0"/>
            <w:vAlign w:val="center"/>
          </w:tcPr>
          <w:p w14:paraId="55B80FCD">
            <w:pPr>
              <w:pStyle w:val="24"/>
              <w:rPr>
                <w:rFonts w:hint="default" w:ascii="Times New Roman" w:hAnsi="Times New Roman" w:cs="Times New Roman"/>
                <w:color w:val="auto"/>
                <w:u w:val="none" w:color="auto"/>
              </w:rPr>
            </w:pPr>
          </w:p>
        </w:tc>
      </w:tr>
      <w:tr w14:paraId="1AFD1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171" w:type="dxa"/>
            <w:noWrap w:val="0"/>
            <w:vAlign w:val="center"/>
          </w:tcPr>
          <w:p w14:paraId="2B282B3F">
            <w:pPr>
              <w:pStyle w:val="24"/>
              <w:rPr>
                <w:rFonts w:hint="eastAsia" w:ascii="Times New Roman" w:hAnsi="Times New Roman" w:eastAsia="宋体" w:cs="Times New Roman"/>
                <w:color w:val="auto"/>
                <w:u w:val="none" w:color="auto"/>
                <w:lang w:val="en-US" w:eastAsia="zh-CN"/>
              </w:rPr>
            </w:pPr>
            <w:r>
              <w:rPr>
                <w:rFonts w:hint="eastAsia" w:cs="Times New Roman"/>
                <w:color w:val="auto"/>
                <w:u w:val="none" w:color="auto"/>
                <w:lang w:val="en-US" w:eastAsia="zh-CN"/>
              </w:rPr>
              <w:t>地下水</w:t>
            </w:r>
          </w:p>
        </w:tc>
        <w:tc>
          <w:tcPr>
            <w:tcW w:w="3360" w:type="dxa"/>
            <w:noWrap w:val="0"/>
            <w:vAlign w:val="center"/>
          </w:tcPr>
          <w:p w14:paraId="457960FD">
            <w:pPr>
              <w:pStyle w:val="24"/>
              <w:rPr>
                <w:rFonts w:hint="default" w:ascii="Times New Roman" w:hAnsi="Times New Roman" w:cs="Times New Roman"/>
                <w:color w:val="auto"/>
                <w:u w:val="none" w:color="auto"/>
              </w:rPr>
            </w:pPr>
            <w:r>
              <w:rPr>
                <w:rFonts w:hint="default" w:ascii="Times New Roman" w:hAnsi="Times New Roman" w:cs="Times New Roman"/>
                <w:color w:val="auto"/>
                <w:highlight w:val="none"/>
                <w:u w:val="none" w:color="auto"/>
                <w:lang w:val="pt-BR"/>
              </w:rPr>
              <w:t>水位、K</w:t>
            </w:r>
            <w:r>
              <w:rPr>
                <w:rFonts w:hint="default" w:ascii="Times New Roman" w:hAnsi="Times New Roman" w:cs="Times New Roman"/>
                <w:color w:val="auto"/>
                <w:highlight w:val="none"/>
                <w:u w:val="none" w:color="auto"/>
                <w:vertAlign w:val="superscript"/>
                <w:lang w:val="pt-BR"/>
              </w:rPr>
              <w:t>+</w:t>
            </w:r>
            <w:r>
              <w:rPr>
                <w:rFonts w:hint="default" w:ascii="Times New Roman" w:hAnsi="Times New Roman" w:cs="Times New Roman"/>
                <w:color w:val="auto"/>
                <w:highlight w:val="none"/>
                <w:u w:val="none" w:color="auto"/>
                <w:lang w:val="pt-BR"/>
              </w:rPr>
              <w:t>、Na</w:t>
            </w:r>
            <w:r>
              <w:rPr>
                <w:rFonts w:hint="default" w:ascii="Times New Roman" w:hAnsi="Times New Roman" w:cs="Times New Roman"/>
                <w:color w:val="auto"/>
                <w:highlight w:val="none"/>
                <w:u w:val="none" w:color="auto"/>
                <w:vertAlign w:val="superscript"/>
                <w:lang w:val="pt-BR"/>
              </w:rPr>
              <w:t>+</w:t>
            </w:r>
            <w:r>
              <w:rPr>
                <w:rFonts w:hint="default" w:ascii="Times New Roman" w:hAnsi="Times New Roman" w:cs="Times New Roman"/>
                <w:color w:val="auto"/>
                <w:highlight w:val="none"/>
                <w:u w:val="none" w:color="auto"/>
                <w:lang w:val="pt-BR"/>
              </w:rPr>
              <w:t>、Ca</w:t>
            </w:r>
            <w:r>
              <w:rPr>
                <w:rFonts w:hint="default" w:ascii="Times New Roman" w:hAnsi="Times New Roman" w:cs="Times New Roman"/>
                <w:color w:val="auto"/>
                <w:highlight w:val="none"/>
                <w:u w:val="none" w:color="auto"/>
                <w:vertAlign w:val="superscript"/>
                <w:lang w:val="pt-BR"/>
              </w:rPr>
              <w:t>2+</w:t>
            </w:r>
            <w:r>
              <w:rPr>
                <w:rFonts w:hint="default" w:ascii="Times New Roman" w:hAnsi="Times New Roman" w:cs="Times New Roman"/>
                <w:color w:val="auto"/>
                <w:highlight w:val="none"/>
                <w:u w:val="none" w:color="auto"/>
                <w:lang w:val="pt-BR"/>
              </w:rPr>
              <w:t>、Mg</w:t>
            </w:r>
            <w:r>
              <w:rPr>
                <w:rFonts w:hint="default" w:ascii="Times New Roman" w:hAnsi="Times New Roman" w:cs="Times New Roman"/>
                <w:color w:val="auto"/>
                <w:highlight w:val="none"/>
                <w:u w:val="none" w:color="auto"/>
                <w:vertAlign w:val="superscript"/>
                <w:lang w:val="pt-BR"/>
              </w:rPr>
              <w:t>2+</w:t>
            </w:r>
            <w:r>
              <w:rPr>
                <w:rFonts w:hint="default" w:ascii="Times New Roman" w:hAnsi="Times New Roman" w:cs="Times New Roman"/>
                <w:color w:val="auto"/>
                <w:highlight w:val="none"/>
                <w:u w:val="none" w:color="auto"/>
                <w:lang w:val="pt-BR"/>
              </w:rPr>
              <w:t>、CO</w:t>
            </w:r>
            <w:r>
              <w:rPr>
                <w:rFonts w:hint="default" w:ascii="Times New Roman" w:hAnsi="Times New Roman" w:cs="Times New Roman"/>
                <w:color w:val="auto"/>
                <w:highlight w:val="none"/>
                <w:u w:val="none" w:color="auto"/>
                <w:vertAlign w:val="subscript"/>
                <w:lang w:val="pt-BR"/>
              </w:rPr>
              <w:t>3</w:t>
            </w:r>
            <w:r>
              <w:rPr>
                <w:rFonts w:hint="default" w:ascii="Times New Roman" w:hAnsi="Times New Roman" w:cs="Times New Roman"/>
                <w:color w:val="auto"/>
                <w:highlight w:val="none"/>
                <w:u w:val="none" w:color="auto"/>
                <w:vertAlign w:val="superscript"/>
                <w:lang w:val="pt-BR"/>
              </w:rPr>
              <w:t>2-</w:t>
            </w:r>
            <w:r>
              <w:rPr>
                <w:rFonts w:hint="default" w:ascii="Times New Roman" w:hAnsi="Times New Roman" w:cs="Times New Roman"/>
                <w:color w:val="auto"/>
                <w:highlight w:val="none"/>
                <w:u w:val="none" w:color="auto"/>
                <w:lang w:val="pt-BR"/>
              </w:rPr>
              <w:t>、HCO</w:t>
            </w:r>
            <w:r>
              <w:rPr>
                <w:rFonts w:hint="default" w:ascii="Times New Roman" w:hAnsi="Times New Roman" w:cs="Times New Roman"/>
                <w:color w:val="auto"/>
                <w:highlight w:val="none"/>
                <w:u w:val="none" w:color="auto"/>
                <w:vertAlign w:val="subscript"/>
                <w:lang w:val="pt-BR"/>
              </w:rPr>
              <w:t>3</w:t>
            </w:r>
            <w:r>
              <w:rPr>
                <w:rFonts w:hint="default" w:ascii="Times New Roman" w:hAnsi="Times New Roman" w:cs="Times New Roman"/>
                <w:color w:val="auto"/>
                <w:highlight w:val="none"/>
                <w:u w:val="none" w:color="auto"/>
                <w:vertAlign w:val="superscript"/>
                <w:lang w:val="pt-BR"/>
              </w:rPr>
              <w:t>-</w:t>
            </w:r>
            <w:r>
              <w:rPr>
                <w:rFonts w:hint="default" w:ascii="Times New Roman" w:hAnsi="Times New Roman" w:cs="Times New Roman"/>
                <w:color w:val="auto"/>
                <w:highlight w:val="none"/>
                <w:u w:val="none" w:color="auto"/>
                <w:lang w:val="pt-BR"/>
              </w:rPr>
              <w:t>、氯化物（以Cl</w:t>
            </w:r>
            <w:r>
              <w:rPr>
                <w:rFonts w:hint="default" w:ascii="Times New Roman" w:hAnsi="Times New Roman" w:cs="Times New Roman"/>
                <w:color w:val="auto"/>
                <w:highlight w:val="none"/>
                <w:u w:val="none" w:color="auto"/>
                <w:vertAlign w:val="superscript"/>
                <w:lang w:val="pt-BR"/>
              </w:rPr>
              <w:t>-</w:t>
            </w:r>
            <w:r>
              <w:rPr>
                <w:rFonts w:hint="default" w:ascii="Times New Roman" w:hAnsi="Times New Roman" w:cs="Times New Roman"/>
                <w:color w:val="auto"/>
                <w:highlight w:val="none"/>
                <w:u w:val="none" w:color="auto"/>
                <w:lang w:val="pt-BR"/>
              </w:rPr>
              <w:t>计）、硫酸盐（以SO</w:t>
            </w:r>
            <w:r>
              <w:rPr>
                <w:rFonts w:hint="default" w:ascii="Times New Roman" w:hAnsi="Times New Roman" w:cs="Times New Roman"/>
                <w:color w:val="auto"/>
                <w:highlight w:val="none"/>
                <w:u w:val="none" w:color="auto"/>
                <w:vertAlign w:val="subscript"/>
                <w:lang w:val="pt-BR"/>
              </w:rPr>
              <w:t>4</w:t>
            </w:r>
            <w:r>
              <w:rPr>
                <w:rFonts w:hint="default" w:ascii="Times New Roman" w:hAnsi="Times New Roman" w:cs="Times New Roman"/>
                <w:color w:val="auto"/>
                <w:highlight w:val="none"/>
                <w:u w:val="none" w:color="auto"/>
                <w:vertAlign w:val="superscript"/>
                <w:lang w:val="pt-BR"/>
              </w:rPr>
              <w:t>2-</w:t>
            </w:r>
            <w:r>
              <w:rPr>
                <w:rFonts w:hint="default" w:ascii="Times New Roman" w:hAnsi="Times New Roman" w:cs="Times New Roman"/>
                <w:color w:val="auto"/>
                <w:highlight w:val="none"/>
                <w:u w:val="none" w:color="auto"/>
                <w:lang w:val="pt-BR"/>
              </w:rPr>
              <w:t>计）、pH值、耗氧量（CODMn法）、氨氮、</w:t>
            </w:r>
            <w:r>
              <w:rPr>
                <w:rFonts w:hint="eastAsia" w:ascii="Times New Roman" w:hAnsi="Times New Roman" w:cs="Times New Roman"/>
                <w:color w:val="auto"/>
                <w:highlight w:val="none"/>
                <w:u w:val="none" w:color="auto"/>
                <w:lang w:val="pt-BR" w:eastAsia="zh-CN"/>
              </w:rPr>
              <w:t>铅、镉、砷、汞、</w:t>
            </w:r>
            <w:r>
              <w:rPr>
                <w:rFonts w:hint="default" w:ascii="Times New Roman" w:hAnsi="Times New Roman" w:cs="Times New Roman"/>
                <w:color w:val="auto"/>
                <w:highlight w:val="none"/>
                <w:u w:val="none" w:color="auto"/>
                <w:lang w:val="pt-BR"/>
              </w:rPr>
              <w:t>阴离子表面活性剂、总大肠菌群、菌落总数</w:t>
            </w:r>
          </w:p>
        </w:tc>
        <w:tc>
          <w:tcPr>
            <w:tcW w:w="1530" w:type="dxa"/>
            <w:noWrap w:val="0"/>
            <w:vAlign w:val="center"/>
          </w:tcPr>
          <w:p w14:paraId="110874DA">
            <w:pPr>
              <w:pStyle w:val="24"/>
              <w:rPr>
                <w:rFonts w:hint="default" w:ascii="Times New Roman" w:hAnsi="Times New Roman" w:cs="Times New Roman"/>
                <w:color w:val="auto"/>
                <w:u w:val="none" w:color="auto"/>
              </w:rPr>
            </w:pPr>
            <w:r>
              <w:rPr>
                <w:rFonts w:hint="default" w:ascii="Times New Roman" w:hAnsi="Times New Roman" w:eastAsia="宋体" w:cs="Times New Roman"/>
                <w:color w:val="auto"/>
                <w:sz w:val="21"/>
                <w:szCs w:val="21"/>
                <w:u w:val="none" w:color="auto"/>
              </w:rPr>
              <w:t>周边</w:t>
            </w:r>
            <w:r>
              <w:rPr>
                <w:rFonts w:hint="default" w:ascii="Times New Roman" w:hAnsi="Times New Roman" w:cs="Times New Roman"/>
                <w:color w:val="auto"/>
                <w:sz w:val="21"/>
                <w:szCs w:val="21"/>
                <w:u w:val="none" w:color="auto"/>
                <w:lang w:val="en-US" w:eastAsia="zh-CN"/>
              </w:rPr>
              <w:t>水井</w:t>
            </w:r>
          </w:p>
        </w:tc>
        <w:tc>
          <w:tcPr>
            <w:tcW w:w="1305" w:type="dxa"/>
            <w:noWrap w:val="0"/>
            <w:vAlign w:val="center"/>
          </w:tcPr>
          <w:p w14:paraId="27B0DF64">
            <w:pPr>
              <w:pStyle w:val="24"/>
              <w:rPr>
                <w:rFonts w:hint="default" w:ascii="Times New Roman" w:hAnsi="Times New Roman" w:cs="Times New Roman"/>
                <w:color w:val="auto"/>
                <w:u w:val="none" w:color="auto"/>
              </w:rPr>
            </w:pPr>
            <w:r>
              <w:rPr>
                <w:rFonts w:hint="default" w:ascii="Times New Roman" w:hAnsi="Times New Roman" w:cs="Times New Roman"/>
                <w:color w:val="auto"/>
                <w:u w:val="none" w:color="auto"/>
              </w:rPr>
              <w:t>1次/</w:t>
            </w:r>
            <w:r>
              <w:rPr>
                <w:rFonts w:hint="default" w:ascii="Times New Roman" w:hAnsi="Times New Roman" w:cs="Times New Roman"/>
                <w:color w:val="auto"/>
                <w:u w:val="none" w:color="auto"/>
                <w:lang w:val="en-US" w:eastAsia="zh-CN"/>
              </w:rPr>
              <w:t>年</w:t>
            </w:r>
          </w:p>
        </w:tc>
        <w:tc>
          <w:tcPr>
            <w:tcW w:w="1138" w:type="dxa"/>
            <w:vMerge w:val="continue"/>
            <w:noWrap w:val="0"/>
            <w:vAlign w:val="center"/>
          </w:tcPr>
          <w:p w14:paraId="4994976B">
            <w:pPr>
              <w:pStyle w:val="24"/>
              <w:rPr>
                <w:rFonts w:hint="default" w:ascii="Times New Roman" w:hAnsi="Times New Roman" w:cs="Times New Roman"/>
                <w:color w:val="auto"/>
                <w:u w:val="none" w:color="auto"/>
              </w:rPr>
            </w:pPr>
          </w:p>
        </w:tc>
      </w:tr>
    </w:tbl>
    <w:p w14:paraId="3C8A2CF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（3）环境监测要为环境管理服务。环境监测中发现非正常情况应及时向公司领导汇报，并做好记录，以便为设施维护、生产管理等提供依据。</w:t>
      </w:r>
    </w:p>
    <w:p w14:paraId="68627A8D">
      <w:pPr>
        <w:pStyle w:val="3"/>
        <w:bidi w:val="0"/>
        <w:rPr>
          <w:rFonts w:hint="default"/>
          <w:color w:val="auto"/>
          <w:u w:val="none" w:color="auto"/>
          <w:lang w:val="en-US"/>
        </w:rPr>
      </w:pPr>
      <w:bookmarkStart w:id="1566" w:name="_Toc9069"/>
      <w:bookmarkStart w:id="1567" w:name="_Toc8601"/>
      <w:bookmarkStart w:id="1568" w:name="_Toc1751"/>
      <w:bookmarkStart w:id="1569" w:name="_Toc22807"/>
      <w:r>
        <w:rPr>
          <w:rFonts w:hint="eastAsia"/>
          <w:color w:val="auto"/>
          <w:u w:val="none" w:color="auto"/>
          <w:lang w:val="en-US" w:eastAsia="zh-CN"/>
        </w:rPr>
        <w:t>9</w:t>
      </w:r>
      <w:r>
        <w:rPr>
          <w:rFonts w:hint="default"/>
          <w:color w:val="auto"/>
          <w:u w:val="none" w:color="auto"/>
        </w:rPr>
        <w:t>.</w:t>
      </w:r>
      <w:r>
        <w:rPr>
          <w:rFonts w:hint="default"/>
          <w:color w:val="auto"/>
          <w:u w:val="none" w:color="auto"/>
          <w:lang w:val="en-US" w:eastAsia="zh-CN"/>
        </w:rPr>
        <w:t>3</w:t>
      </w:r>
      <w:r>
        <w:rPr>
          <w:rFonts w:hint="eastAsia"/>
          <w:color w:val="auto"/>
          <w:u w:val="none" w:color="auto"/>
          <w:lang w:val="en-US" w:eastAsia="zh-CN"/>
        </w:rPr>
        <w:t>污染物排放清单</w:t>
      </w:r>
      <w:bookmarkEnd w:id="1566"/>
    </w:p>
    <w:p w14:paraId="2878A6CC">
      <w:pPr>
        <w:pStyle w:val="20"/>
        <w:ind w:firstLine="480"/>
        <w:rPr>
          <w:rFonts w:hint="default" w:ascii="Times New Roman" w:hAnsi="Times New Roman" w:cs="Times New Roman"/>
          <w:color w:val="auto"/>
          <w:spacing w:val="4"/>
          <w:u w:val="none" w:color="auto"/>
        </w:rPr>
      </w:pPr>
      <w:r>
        <w:rPr>
          <w:rFonts w:hint="default" w:ascii="Times New Roman" w:hAnsi="Times New Roman" w:cs="Times New Roman"/>
          <w:color w:val="auto"/>
          <w:szCs w:val="28"/>
          <w:u w:val="none" w:color="auto"/>
        </w:rPr>
        <w:t>本建设项目</w:t>
      </w:r>
      <w:r>
        <w:rPr>
          <w:rFonts w:hint="eastAsia" w:ascii="Times New Roman" w:hAnsi="Times New Roman" w:cs="Times New Roman"/>
          <w:color w:val="auto"/>
          <w:szCs w:val="28"/>
          <w:u w:val="none" w:color="auto"/>
          <w:lang w:val="en-US" w:eastAsia="zh-CN"/>
        </w:rPr>
        <w:t>污染物排放清单</w:t>
      </w:r>
      <w:r>
        <w:rPr>
          <w:rFonts w:hint="default" w:ascii="Times New Roman" w:hAnsi="Times New Roman" w:cs="Times New Roman"/>
          <w:color w:val="auto"/>
          <w:szCs w:val="28"/>
          <w:u w:val="none" w:color="auto"/>
        </w:rPr>
        <w:t>见下表</w:t>
      </w:r>
      <w:r>
        <w:rPr>
          <w:rFonts w:hint="default" w:ascii="Times New Roman" w:hAnsi="Times New Roman" w:cs="Times New Roman"/>
          <w:color w:val="auto"/>
          <w:spacing w:val="4"/>
          <w:u w:val="none" w:color="auto"/>
        </w:rPr>
        <w:t>。</w:t>
      </w:r>
    </w:p>
    <w:p w14:paraId="401B12B4">
      <w:pPr>
        <w:pStyle w:val="22"/>
        <w:bidi w:val="0"/>
        <w:rPr>
          <w:rFonts w:hint="default"/>
          <w:color w:val="auto"/>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2E71070E">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9</w:t>
      </w:r>
      <w:r>
        <w:rPr>
          <w:rFonts w:hint="default"/>
          <w:color w:val="auto"/>
          <w:u w:val="none" w:color="auto"/>
          <w:lang w:val="en-US" w:eastAsia="zh-CN"/>
        </w:rPr>
        <w:t>.3</w:t>
      </w:r>
      <w:r>
        <w:rPr>
          <w:rFonts w:hint="default"/>
          <w:color w:val="auto"/>
          <w:u w:val="none" w:color="auto"/>
        </w:rPr>
        <w:t>-1项目</w:t>
      </w:r>
      <w:r>
        <w:rPr>
          <w:rFonts w:hint="eastAsia"/>
          <w:color w:val="auto"/>
          <w:u w:val="none" w:color="auto"/>
          <w:lang w:val="en-US" w:eastAsia="zh-CN"/>
        </w:rPr>
        <w:t>污染物排放清单</w:t>
      </w:r>
      <w:r>
        <w:rPr>
          <w:rFonts w:hint="default"/>
          <w:color w:val="auto"/>
          <w:u w:val="none" w:color="auto"/>
        </w:rPr>
        <w:t>一览表</w:t>
      </w:r>
    </w:p>
    <w:tbl>
      <w:tblPr>
        <w:tblStyle w:val="16"/>
        <w:tblW w:w="1417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594"/>
        <w:gridCol w:w="1879"/>
        <w:gridCol w:w="932"/>
        <w:gridCol w:w="306"/>
        <w:gridCol w:w="917"/>
        <w:gridCol w:w="351"/>
        <w:gridCol w:w="1303"/>
        <w:gridCol w:w="1360"/>
        <w:gridCol w:w="2736"/>
        <w:gridCol w:w="996"/>
        <w:gridCol w:w="1022"/>
      </w:tblGrid>
      <w:tr w14:paraId="44FCC6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3" w:type="dxa"/>
            <w:gridSpan w:val="12"/>
            <w:noWrap w:val="0"/>
            <w:vAlign w:val="center"/>
          </w:tcPr>
          <w:p w14:paraId="0E9282A3">
            <w:pPr>
              <w:pStyle w:val="22"/>
              <w:rPr>
                <w:b w:val="0"/>
                <w:bCs w:val="0"/>
                <w:color w:val="auto"/>
                <w:u w:val="none"/>
              </w:rPr>
            </w:pPr>
            <w:r>
              <w:rPr>
                <w:rFonts w:hint="eastAsia"/>
                <w:color w:val="auto"/>
                <w:u w:val="none"/>
              </w:rPr>
              <w:t>（1）废气产排污环节、污染物及污染治理设施清单</w:t>
            </w:r>
          </w:p>
        </w:tc>
      </w:tr>
      <w:tr w14:paraId="215AC7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1" w:type="dxa"/>
            <w:gridSpan w:val="2"/>
            <w:vMerge w:val="restart"/>
            <w:noWrap w:val="0"/>
            <w:vAlign w:val="center"/>
          </w:tcPr>
          <w:p w14:paraId="0D4436F0">
            <w:pPr>
              <w:pStyle w:val="22"/>
              <w:rPr>
                <w:b w:val="0"/>
                <w:bCs w:val="0"/>
                <w:color w:val="auto"/>
                <w:u w:val="none"/>
              </w:rPr>
            </w:pPr>
            <w:r>
              <w:rPr>
                <w:rFonts w:hint="eastAsia"/>
                <w:b w:val="0"/>
                <w:bCs w:val="0"/>
                <w:color w:val="auto"/>
                <w:u w:val="none"/>
              </w:rPr>
              <w:t>污染源</w:t>
            </w:r>
          </w:p>
        </w:tc>
        <w:tc>
          <w:tcPr>
            <w:tcW w:w="1879" w:type="dxa"/>
            <w:vMerge w:val="restart"/>
            <w:noWrap w:val="0"/>
            <w:vAlign w:val="center"/>
          </w:tcPr>
          <w:p w14:paraId="6EC9FF89">
            <w:pPr>
              <w:pStyle w:val="22"/>
              <w:rPr>
                <w:b w:val="0"/>
                <w:bCs w:val="0"/>
                <w:color w:val="auto"/>
                <w:u w:val="none"/>
              </w:rPr>
            </w:pPr>
            <w:r>
              <w:rPr>
                <w:rFonts w:hint="eastAsia"/>
                <w:b w:val="0"/>
                <w:bCs w:val="0"/>
                <w:color w:val="auto"/>
                <w:u w:val="none"/>
              </w:rPr>
              <w:t>采取的环保措施</w:t>
            </w:r>
          </w:p>
        </w:tc>
        <w:tc>
          <w:tcPr>
            <w:tcW w:w="1238" w:type="dxa"/>
            <w:gridSpan w:val="2"/>
            <w:vMerge w:val="restart"/>
            <w:noWrap w:val="0"/>
            <w:vAlign w:val="center"/>
          </w:tcPr>
          <w:p w14:paraId="160CB4A0">
            <w:pPr>
              <w:pStyle w:val="22"/>
              <w:rPr>
                <w:b w:val="0"/>
                <w:bCs w:val="0"/>
                <w:color w:val="auto"/>
                <w:u w:val="none"/>
              </w:rPr>
            </w:pPr>
            <w:r>
              <w:rPr>
                <w:rFonts w:hint="eastAsia"/>
                <w:b w:val="0"/>
                <w:bCs w:val="0"/>
                <w:color w:val="auto"/>
                <w:u w:val="none"/>
              </w:rPr>
              <w:t>污染物</w:t>
            </w:r>
          </w:p>
        </w:tc>
        <w:tc>
          <w:tcPr>
            <w:tcW w:w="3931" w:type="dxa"/>
            <w:gridSpan w:val="4"/>
            <w:noWrap w:val="0"/>
            <w:vAlign w:val="center"/>
          </w:tcPr>
          <w:p w14:paraId="1D82E4DE">
            <w:pPr>
              <w:pStyle w:val="22"/>
              <w:rPr>
                <w:b w:val="0"/>
                <w:bCs w:val="0"/>
                <w:color w:val="auto"/>
                <w:u w:val="none"/>
              </w:rPr>
            </w:pPr>
            <w:r>
              <w:rPr>
                <w:rFonts w:hint="eastAsia"/>
                <w:b w:val="0"/>
                <w:bCs w:val="0"/>
                <w:color w:val="auto"/>
                <w:u w:val="none"/>
              </w:rPr>
              <w:t>运行参数</w:t>
            </w:r>
          </w:p>
        </w:tc>
        <w:tc>
          <w:tcPr>
            <w:tcW w:w="2736" w:type="dxa"/>
            <w:vMerge w:val="restart"/>
            <w:noWrap w:val="0"/>
            <w:vAlign w:val="center"/>
          </w:tcPr>
          <w:p w14:paraId="5B31598D">
            <w:pPr>
              <w:pStyle w:val="22"/>
              <w:rPr>
                <w:b w:val="0"/>
                <w:bCs w:val="0"/>
                <w:color w:val="auto"/>
                <w:u w:val="none"/>
              </w:rPr>
            </w:pPr>
            <w:r>
              <w:rPr>
                <w:rFonts w:hint="eastAsia"/>
                <w:b w:val="0"/>
                <w:bCs w:val="0"/>
                <w:color w:val="auto"/>
                <w:u w:val="none"/>
              </w:rPr>
              <w:t>执行标准</w:t>
            </w:r>
          </w:p>
        </w:tc>
        <w:tc>
          <w:tcPr>
            <w:tcW w:w="2018" w:type="dxa"/>
            <w:gridSpan w:val="2"/>
            <w:noWrap w:val="0"/>
            <w:vAlign w:val="center"/>
          </w:tcPr>
          <w:p w14:paraId="3DD9EB48">
            <w:pPr>
              <w:pStyle w:val="22"/>
              <w:rPr>
                <w:b w:val="0"/>
                <w:bCs w:val="0"/>
                <w:color w:val="auto"/>
                <w:u w:val="none"/>
              </w:rPr>
            </w:pPr>
            <w:r>
              <w:rPr>
                <w:rFonts w:hint="eastAsia"/>
                <w:b w:val="0"/>
                <w:bCs w:val="0"/>
                <w:color w:val="auto"/>
                <w:u w:val="none"/>
              </w:rPr>
              <w:t>排污口</w:t>
            </w:r>
          </w:p>
        </w:tc>
      </w:tr>
      <w:tr w14:paraId="07344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1" w:type="dxa"/>
            <w:gridSpan w:val="2"/>
            <w:vMerge w:val="continue"/>
            <w:noWrap w:val="0"/>
            <w:vAlign w:val="center"/>
          </w:tcPr>
          <w:p w14:paraId="01698C20">
            <w:pPr>
              <w:pStyle w:val="22"/>
              <w:rPr>
                <w:b w:val="0"/>
                <w:bCs w:val="0"/>
                <w:color w:val="auto"/>
                <w:u w:val="none"/>
              </w:rPr>
            </w:pPr>
          </w:p>
        </w:tc>
        <w:tc>
          <w:tcPr>
            <w:tcW w:w="1879" w:type="dxa"/>
            <w:vMerge w:val="continue"/>
            <w:noWrap w:val="0"/>
            <w:vAlign w:val="center"/>
          </w:tcPr>
          <w:p w14:paraId="56440BFA">
            <w:pPr>
              <w:pStyle w:val="22"/>
              <w:rPr>
                <w:b w:val="0"/>
                <w:bCs w:val="0"/>
                <w:color w:val="auto"/>
                <w:u w:val="none"/>
              </w:rPr>
            </w:pPr>
          </w:p>
        </w:tc>
        <w:tc>
          <w:tcPr>
            <w:tcW w:w="1238" w:type="dxa"/>
            <w:gridSpan w:val="2"/>
            <w:vMerge w:val="continue"/>
            <w:noWrap w:val="0"/>
            <w:vAlign w:val="center"/>
          </w:tcPr>
          <w:p w14:paraId="42FF5A7F">
            <w:pPr>
              <w:pStyle w:val="22"/>
              <w:rPr>
                <w:b w:val="0"/>
                <w:bCs w:val="0"/>
                <w:color w:val="auto"/>
                <w:u w:val="none"/>
              </w:rPr>
            </w:pPr>
          </w:p>
        </w:tc>
        <w:tc>
          <w:tcPr>
            <w:tcW w:w="1268" w:type="dxa"/>
            <w:gridSpan w:val="2"/>
            <w:noWrap w:val="0"/>
            <w:vAlign w:val="center"/>
          </w:tcPr>
          <w:p w14:paraId="70BD3BDE">
            <w:pPr>
              <w:pStyle w:val="22"/>
              <w:rPr>
                <w:b w:val="0"/>
                <w:bCs w:val="0"/>
                <w:color w:val="auto"/>
                <w:u w:val="none"/>
              </w:rPr>
            </w:pPr>
            <w:r>
              <w:rPr>
                <w:rFonts w:hint="eastAsia"/>
                <w:b w:val="0"/>
                <w:bCs w:val="0"/>
                <w:color w:val="auto"/>
                <w:u w:val="none"/>
              </w:rPr>
              <w:t>废气量Nm</w:t>
            </w:r>
            <w:r>
              <w:rPr>
                <w:rFonts w:hint="eastAsia"/>
                <w:b w:val="0"/>
                <w:bCs w:val="0"/>
                <w:color w:val="auto"/>
                <w:u w:val="none"/>
                <w:vertAlign w:val="superscript"/>
              </w:rPr>
              <w:t>3</w:t>
            </w:r>
            <w:r>
              <w:rPr>
                <w:rFonts w:hint="eastAsia"/>
                <w:b w:val="0"/>
                <w:bCs w:val="0"/>
                <w:color w:val="auto"/>
                <w:u w:val="none"/>
              </w:rPr>
              <w:t>/h</w:t>
            </w:r>
          </w:p>
        </w:tc>
        <w:tc>
          <w:tcPr>
            <w:tcW w:w="1303" w:type="dxa"/>
            <w:noWrap w:val="0"/>
            <w:vAlign w:val="center"/>
          </w:tcPr>
          <w:p w14:paraId="5F01DBEC">
            <w:pPr>
              <w:pStyle w:val="22"/>
              <w:rPr>
                <w:b w:val="0"/>
                <w:bCs w:val="0"/>
                <w:color w:val="auto"/>
                <w:u w:val="none"/>
              </w:rPr>
            </w:pPr>
            <w:r>
              <w:rPr>
                <w:rFonts w:hint="eastAsia"/>
                <w:b w:val="0"/>
                <w:bCs w:val="0"/>
                <w:color w:val="auto"/>
                <w:u w:val="none"/>
              </w:rPr>
              <w:t>排放浓度mg/m</w:t>
            </w:r>
            <w:r>
              <w:rPr>
                <w:rFonts w:hint="eastAsia"/>
                <w:b w:val="0"/>
                <w:bCs w:val="0"/>
                <w:color w:val="auto"/>
                <w:u w:val="none"/>
                <w:vertAlign w:val="superscript"/>
              </w:rPr>
              <w:t>3</w:t>
            </w:r>
          </w:p>
        </w:tc>
        <w:tc>
          <w:tcPr>
            <w:tcW w:w="1360" w:type="dxa"/>
            <w:noWrap w:val="0"/>
            <w:vAlign w:val="center"/>
          </w:tcPr>
          <w:p w14:paraId="40641A54">
            <w:pPr>
              <w:pStyle w:val="22"/>
              <w:rPr>
                <w:rFonts w:hint="eastAsia"/>
                <w:b w:val="0"/>
                <w:bCs w:val="0"/>
                <w:color w:val="auto"/>
                <w:u w:val="none"/>
              </w:rPr>
            </w:pPr>
            <w:r>
              <w:rPr>
                <w:rFonts w:hint="eastAsia"/>
                <w:b w:val="0"/>
                <w:bCs w:val="0"/>
                <w:color w:val="auto"/>
                <w:u w:val="none"/>
              </w:rPr>
              <w:t>烟囱参数</w:t>
            </w:r>
          </w:p>
          <w:p w14:paraId="3FC8E984">
            <w:pPr>
              <w:pStyle w:val="22"/>
              <w:rPr>
                <w:b w:val="0"/>
                <w:bCs w:val="0"/>
                <w:color w:val="auto"/>
                <w:u w:val="none"/>
              </w:rPr>
            </w:pPr>
            <w:r>
              <w:rPr>
                <w:rFonts w:hint="eastAsia"/>
                <w:b w:val="0"/>
                <w:bCs w:val="0"/>
                <w:color w:val="auto"/>
                <w:u w:val="none"/>
              </w:rPr>
              <w:t>φ×H（m）</w:t>
            </w:r>
          </w:p>
        </w:tc>
        <w:tc>
          <w:tcPr>
            <w:tcW w:w="2736" w:type="dxa"/>
            <w:vMerge w:val="continue"/>
            <w:noWrap w:val="0"/>
            <w:vAlign w:val="center"/>
          </w:tcPr>
          <w:p w14:paraId="7FBCC97D">
            <w:pPr>
              <w:pStyle w:val="22"/>
              <w:rPr>
                <w:b w:val="0"/>
                <w:bCs w:val="0"/>
                <w:color w:val="auto"/>
                <w:u w:val="none"/>
              </w:rPr>
            </w:pPr>
          </w:p>
        </w:tc>
        <w:tc>
          <w:tcPr>
            <w:tcW w:w="996" w:type="dxa"/>
            <w:noWrap w:val="0"/>
            <w:vAlign w:val="center"/>
          </w:tcPr>
          <w:p w14:paraId="583128A0">
            <w:pPr>
              <w:pStyle w:val="22"/>
              <w:rPr>
                <w:b w:val="0"/>
                <w:bCs w:val="0"/>
                <w:color w:val="auto"/>
                <w:u w:val="none"/>
              </w:rPr>
            </w:pPr>
            <w:r>
              <w:rPr>
                <w:rFonts w:hint="eastAsia"/>
                <w:b w:val="0"/>
                <w:bCs w:val="0"/>
                <w:color w:val="auto"/>
                <w:u w:val="none"/>
              </w:rPr>
              <w:t>类型</w:t>
            </w:r>
          </w:p>
        </w:tc>
        <w:tc>
          <w:tcPr>
            <w:tcW w:w="1022" w:type="dxa"/>
            <w:noWrap w:val="0"/>
            <w:vAlign w:val="center"/>
          </w:tcPr>
          <w:p w14:paraId="0F083421">
            <w:pPr>
              <w:pStyle w:val="22"/>
              <w:rPr>
                <w:b w:val="0"/>
                <w:bCs w:val="0"/>
                <w:color w:val="auto"/>
                <w:u w:val="none"/>
              </w:rPr>
            </w:pPr>
            <w:r>
              <w:rPr>
                <w:rFonts w:hint="eastAsia"/>
                <w:b w:val="0"/>
                <w:bCs w:val="0"/>
                <w:color w:val="auto"/>
                <w:u w:val="none"/>
              </w:rPr>
              <w:t>设置要求</w:t>
            </w:r>
          </w:p>
        </w:tc>
      </w:tr>
      <w:tr w14:paraId="2CAFA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noWrap w:val="0"/>
            <w:vAlign w:val="center"/>
          </w:tcPr>
          <w:p w14:paraId="7A3348F1">
            <w:pPr>
              <w:pStyle w:val="22"/>
              <w:rPr>
                <w:b w:val="0"/>
                <w:bCs w:val="0"/>
                <w:color w:val="auto"/>
                <w:u w:val="none"/>
              </w:rPr>
            </w:pPr>
            <w:r>
              <w:rPr>
                <w:rFonts w:hint="eastAsia"/>
                <w:b w:val="0"/>
                <w:bCs w:val="0"/>
                <w:color w:val="auto"/>
                <w:u w:val="none"/>
              </w:rPr>
              <w:t>废气</w:t>
            </w:r>
          </w:p>
        </w:tc>
        <w:tc>
          <w:tcPr>
            <w:tcW w:w="1594" w:type="dxa"/>
            <w:noWrap w:val="0"/>
            <w:vAlign w:val="center"/>
          </w:tcPr>
          <w:p w14:paraId="687BF3C4">
            <w:pPr>
              <w:pStyle w:val="22"/>
              <w:rPr>
                <w:rFonts w:hint="default" w:eastAsia="宋体"/>
                <w:b w:val="0"/>
                <w:bCs w:val="0"/>
                <w:color w:val="auto"/>
                <w:u w:val="none"/>
                <w:lang w:val="en-US" w:eastAsia="zh-CN"/>
              </w:rPr>
            </w:pPr>
            <w:r>
              <w:rPr>
                <w:rFonts w:hint="eastAsia"/>
                <w:b w:val="0"/>
                <w:bCs w:val="0"/>
                <w:color w:val="auto"/>
                <w:u w:val="none"/>
                <w:lang w:val="en-US" w:eastAsia="zh-CN"/>
              </w:rPr>
              <w:t>破碎、磨粉、其他辅料投料、混料废气</w:t>
            </w:r>
          </w:p>
        </w:tc>
        <w:tc>
          <w:tcPr>
            <w:tcW w:w="1879" w:type="dxa"/>
            <w:noWrap w:val="0"/>
            <w:vAlign w:val="center"/>
          </w:tcPr>
          <w:p w14:paraId="0855B855">
            <w:pPr>
              <w:pStyle w:val="22"/>
              <w:rPr>
                <w:b w:val="0"/>
                <w:bCs w:val="0"/>
                <w:color w:val="auto"/>
                <w:u w:val="none"/>
              </w:rPr>
            </w:pPr>
            <w:r>
              <w:rPr>
                <w:rFonts w:hint="eastAsia"/>
                <w:b w:val="0"/>
                <w:bCs w:val="0"/>
                <w:color w:val="auto"/>
                <w:u w:val="none"/>
              </w:rPr>
              <w:t>集气罩+垂帘+布袋除尘器+15m排气筒</w:t>
            </w:r>
          </w:p>
        </w:tc>
        <w:tc>
          <w:tcPr>
            <w:tcW w:w="1238" w:type="dxa"/>
            <w:gridSpan w:val="2"/>
            <w:noWrap w:val="0"/>
            <w:vAlign w:val="center"/>
          </w:tcPr>
          <w:p w14:paraId="5D3C5969">
            <w:pPr>
              <w:pStyle w:val="22"/>
              <w:rPr>
                <w:b w:val="0"/>
                <w:bCs w:val="0"/>
                <w:color w:val="auto"/>
                <w:u w:val="none"/>
              </w:rPr>
            </w:pPr>
            <w:r>
              <w:rPr>
                <w:rFonts w:hint="eastAsia"/>
                <w:b w:val="0"/>
                <w:bCs w:val="0"/>
                <w:color w:val="auto"/>
                <w:u w:val="none"/>
              </w:rPr>
              <w:t>颗粒物</w:t>
            </w:r>
          </w:p>
        </w:tc>
        <w:tc>
          <w:tcPr>
            <w:tcW w:w="1268" w:type="dxa"/>
            <w:gridSpan w:val="2"/>
            <w:noWrap w:val="0"/>
            <w:vAlign w:val="center"/>
          </w:tcPr>
          <w:p w14:paraId="685316B6">
            <w:pPr>
              <w:pStyle w:val="22"/>
              <w:rPr>
                <w:rFonts w:hint="default" w:eastAsia="宋体"/>
                <w:b w:val="0"/>
                <w:bCs w:val="0"/>
                <w:color w:val="auto"/>
                <w:u w:val="none"/>
                <w:lang w:val="en-US" w:eastAsia="zh-CN"/>
              </w:rPr>
            </w:pPr>
            <w:r>
              <w:rPr>
                <w:rFonts w:hint="eastAsia"/>
                <w:b w:val="0"/>
                <w:bCs w:val="0"/>
                <w:color w:val="auto"/>
                <w:u w:val="none"/>
                <w:lang w:val="en-US" w:eastAsia="zh-CN"/>
              </w:rPr>
              <w:t>20000</w:t>
            </w:r>
          </w:p>
        </w:tc>
        <w:tc>
          <w:tcPr>
            <w:tcW w:w="1303" w:type="dxa"/>
            <w:noWrap w:val="0"/>
            <w:vAlign w:val="center"/>
          </w:tcPr>
          <w:p w14:paraId="749E41F5">
            <w:pPr>
              <w:pStyle w:val="22"/>
              <w:rPr>
                <w:rFonts w:hint="default" w:eastAsia="宋体"/>
                <w:b w:val="0"/>
                <w:bCs w:val="0"/>
                <w:color w:val="auto"/>
                <w:u w:val="none"/>
                <w:lang w:val="en-US" w:eastAsia="zh-CN"/>
              </w:rPr>
            </w:pPr>
            <w:r>
              <w:rPr>
                <w:rFonts w:hint="eastAsia"/>
                <w:b w:val="0"/>
                <w:bCs w:val="0"/>
                <w:color w:val="auto"/>
                <w:u w:val="none"/>
                <w:lang w:val="en-US" w:eastAsia="zh-CN"/>
              </w:rPr>
              <w:t>0.863</w:t>
            </w:r>
          </w:p>
        </w:tc>
        <w:tc>
          <w:tcPr>
            <w:tcW w:w="1360" w:type="dxa"/>
            <w:noWrap w:val="0"/>
            <w:vAlign w:val="center"/>
          </w:tcPr>
          <w:p w14:paraId="32A7A3A2">
            <w:pPr>
              <w:pStyle w:val="22"/>
              <w:rPr>
                <w:b w:val="0"/>
                <w:bCs w:val="0"/>
                <w:color w:val="auto"/>
                <w:u w:val="none"/>
              </w:rPr>
            </w:pPr>
            <w:r>
              <w:rPr>
                <w:rFonts w:hint="eastAsia"/>
                <w:b w:val="0"/>
                <w:bCs w:val="0"/>
                <w:color w:val="auto"/>
                <w:u w:val="none"/>
                <w:lang w:val="en-US" w:eastAsia="zh-CN"/>
              </w:rPr>
              <w:t>0.7</w:t>
            </w:r>
            <w:r>
              <w:rPr>
                <w:rFonts w:hint="eastAsia"/>
                <w:b w:val="0"/>
                <w:bCs w:val="0"/>
                <w:color w:val="auto"/>
                <w:u w:val="none"/>
              </w:rPr>
              <w:t>×15</w:t>
            </w:r>
          </w:p>
        </w:tc>
        <w:tc>
          <w:tcPr>
            <w:tcW w:w="2736" w:type="dxa"/>
            <w:noWrap w:val="0"/>
            <w:vAlign w:val="center"/>
          </w:tcPr>
          <w:p w14:paraId="34E20524">
            <w:pPr>
              <w:pStyle w:val="22"/>
              <w:rPr>
                <w:b w:val="0"/>
                <w:bCs w:val="0"/>
                <w:color w:val="auto"/>
                <w:u w:val="none"/>
              </w:rPr>
            </w:pPr>
            <w:r>
              <w:rPr>
                <w:rFonts w:hint="eastAsia" w:eastAsia="宋体"/>
                <w:b w:val="0"/>
                <w:bCs w:val="0"/>
                <w:color w:val="auto"/>
                <w:u w:val="none" w:color="auto"/>
                <w:lang w:val="en-US" w:eastAsia="zh-CN"/>
              </w:rPr>
              <w:t>《大气污染物综合排放标准》（GB16297-1996）中表2中的二级标准限值</w:t>
            </w:r>
          </w:p>
        </w:tc>
        <w:tc>
          <w:tcPr>
            <w:tcW w:w="996" w:type="dxa"/>
            <w:noWrap w:val="0"/>
            <w:vAlign w:val="center"/>
          </w:tcPr>
          <w:p w14:paraId="7B55C861">
            <w:pPr>
              <w:pStyle w:val="22"/>
              <w:rPr>
                <w:b w:val="0"/>
                <w:bCs w:val="0"/>
                <w:color w:val="auto"/>
                <w:u w:val="none"/>
              </w:rPr>
            </w:pPr>
            <w:r>
              <w:rPr>
                <w:rFonts w:hint="eastAsia"/>
                <w:b w:val="0"/>
                <w:bCs w:val="0"/>
                <w:color w:val="auto"/>
                <w:u w:val="none"/>
                <w:lang w:val="en-US" w:eastAsia="zh-CN"/>
              </w:rPr>
              <w:t>一般</w:t>
            </w:r>
            <w:r>
              <w:rPr>
                <w:rFonts w:hint="eastAsia"/>
                <w:b w:val="0"/>
                <w:bCs w:val="0"/>
                <w:color w:val="auto"/>
                <w:u w:val="none"/>
              </w:rPr>
              <w:t>排放口</w:t>
            </w:r>
          </w:p>
        </w:tc>
        <w:tc>
          <w:tcPr>
            <w:tcW w:w="1022" w:type="dxa"/>
            <w:vMerge w:val="restart"/>
            <w:noWrap w:val="0"/>
            <w:vAlign w:val="center"/>
          </w:tcPr>
          <w:p w14:paraId="5E30988F">
            <w:pPr>
              <w:pStyle w:val="22"/>
              <w:rPr>
                <w:b w:val="0"/>
                <w:bCs w:val="0"/>
                <w:color w:val="auto"/>
                <w:u w:val="none"/>
              </w:rPr>
            </w:pPr>
            <w:r>
              <w:rPr>
                <w:rFonts w:hint="eastAsia"/>
                <w:b w:val="0"/>
                <w:bCs w:val="0"/>
                <w:color w:val="auto"/>
                <w:u w:val="none"/>
              </w:rPr>
              <w:t>排污口按《排污口规范化整治技术要求（试行）》规范化管理</w:t>
            </w:r>
          </w:p>
        </w:tc>
      </w:tr>
      <w:tr w14:paraId="4C7EA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19B359E3">
            <w:pPr>
              <w:pStyle w:val="22"/>
              <w:rPr>
                <w:b w:val="0"/>
                <w:bCs w:val="0"/>
                <w:color w:val="auto"/>
                <w:u w:val="none"/>
              </w:rPr>
            </w:pPr>
          </w:p>
        </w:tc>
        <w:tc>
          <w:tcPr>
            <w:tcW w:w="1594" w:type="dxa"/>
            <w:vMerge w:val="restart"/>
            <w:noWrap w:val="0"/>
            <w:vAlign w:val="center"/>
          </w:tcPr>
          <w:p w14:paraId="42DB0BEF">
            <w:pPr>
              <w:pStyle w:val="22"/>
              <w:rPr>
                <w:rFonts w:hint="default" w:eastAsia="宋体"/>
                <w:b w:val="0"/>
                <w:bCs w:val="0"/>
                <w:color w:val="auto"/>
                <w:u w:val="none"/>
                <w:lang w:val="en-US" w:eastAsia="zh-CN"/>
              </w:rPr>
            </w:pPr>
            <w:r>
              <w:rPr>
                <w:rFonts w:hint="eastAsia"/>
                <w:b w:val="0"/>
                <w:bCs w:val="0"/>
                <w:color w:val="auto"/>
                <w:u w:val="none"/>
                <w:lang w:val="en-US" w:eastAsia="zh-CN"/>
              </w:rPr>
              <w:t>1#厂房挤出、覆膜废气</w:t>
            </w:r>
          </w:p>
        </w:tc>
        <w:tc>
          <w:tcPr>
            <w:tcW w:w="1879" w:type="dxa"/>
            <w:vMerge w:val="restart"/>
            <w:noWrap w:val="0"/>
            <w:vAlign w:val="center"/>
          </w:tcPr>
          <w:p w14:paraId="51873C30">
            <w:pPr>
              <w:pStyle w:val="22"/>
              <w:rPr>
                <w:b w:val="0"/>
                <w:bCs w:val="0"/>
                <w:color w:val="auto"/>
                <w:u w:val="none"/>
              </w:rPr>
            </w:pPr>
            <w:r>
              <w:rPr>
                <w:rFonts w:hint="eastAsia"/>
                <w:b w:val="0"/>
                <w:bCs w:val="0"/>
                <w:color w:val="auto"/>
                <w:u w:val="none"/>
              </w:rPr>
              <w:t>集气罩+垂帘+二级活性炭+15m排气筒</w:t>
            </w:r>
          </w:p>
        </w:tc>
        <w:tc>
          <w:tcPr>
            <w:tcW w:w="1238" w:type="dxa"/>
            <w:gridSpan w:val="2"/>
            <w:noWrap w:val="0"/>
            <w:vAlign w:val="center"/>
          </w:tcPr>
          <w:p w14:paraId="0A6BBC7F">
            <w:pPr>
              <w:pStyle w:val="22"/>
              <w:rPr>
                <w:b w:val="0"/>
                <w:bCs w:val="0"/>
                <w:color w:val="auto"/>
                <w:u w:val="none"/>
              </w:rPr>
            </w:pPr>
            <w:r>
              <w:rPr>
                <w:rFonts w:hint="eastAsia"/>
                <w:b w:val="0"/>
                <w:bCs w:val="0"/>
                <w:color w:val="auto"/>
                <w:u w:val="none"/>
              </w:rPr>
              <w:t>HCl</w:t>
            </w:r>
          </w:p>
        </w:tc>
        <w:tc>
          <w:tcPr>
            <w:tcW w:w="1268" w:type="dxa"/>
            <w:gridSpan w:val="2"/>
            <w:vMerge w:val="restart"/>
            <w:noWrap w:val="0"/>
            <w:vAlign w:val="center"/>
          </w:tcPr>
          <w:p w14:paraId="32EE6FD9">
            <w:pPr>
              <w:pStyle w:val="22"/>
              <w:rPr>
                <w:rFonts w:hint="default" w:eastAsia="宋体"/>
                <w:b w:val="0"/>
                <w:bCs w:val="0"/>
                <w:color w:val="auto"/>
                <w:u w:val="none"/>
                <w:lang w:val="en-US" w:eastAsia="zh-CN"/>
              </w:rPr>
            </w:pPr>
            <w:r>
              <w:rPr>
                <w:rFonts w:hint="eastAsia"/>
                <w:b w:val="0"/>
                <w:bCs w:val="0"/>
                <w:color w:val="auto"/>
                <w:u w:val="none"/>
                <w:lang w:val="en-US" w:eastAsia="zh-CN"/>
              </w:rPr>
              <w:t>40000</w:t>
            </w:r>
          </w:p>
        </w:tc>
        <w:tc>
          <w:tcPr>
            <w:tcW w:w="1303" w:type="dxa"/>
            <w:noWrap w:val="0"/>
            <w:vAlign w:val="center"/>
          </w:tcPr>
          <w:p w14:paraId="5A597D9B">
            <w:pPr>
              <w:pStyle w:val="22"/>
              <w:rPr>
                <w:rFonts w:hint="default" w:eastAsia="宋体"/>
                <w:b w:val="0"/>
                <w:bCs w:val="0"/>
                <w:color w:val="auto"/>
                <w:u w:val="none"/>
                <w:lang w:val="en-US" w:eastAsia="zh-CN"/>
              </w:rPr>
            </w:pPr>
            <w:r>
              <w:rPr>
                <w:rFonts w:hint="eastAsia"/>
                <w:b w:val="0"/>
                <w:bCs w:val="0"/>
                <w:color w:val="auto"/>
                <w:u w:val="none"/>
                <w:lang w:val="en-US" w:eastAsia="zh-CN"/>
              </w:rPr>
              <w:t>2.524</w:t>
            </w:r>
          </w:p>
        </w:tc>
        <w:tc>
          <w:tcPr>
            <w:tcW w:w="1360" w:type="dxa"/>
            <w:vMerge w:val="restart"/>
            <w:noWrap w:val="0"/>
            <w:vAlign w:val="center"/>
          </w:tcPr>
          <w:p w14:paraId="606E936D">
            <w:pPr>
              <w:pStyle w:val="22"/>
              <w:rPr>
                <w:b w:val="0"/>
                <w:bCs w:val="0"/>
                <w:color w:val="auto"/>
                <w:u w:val="none"/>
              </w:rPr>
            </w:pPr>
            <w:r>
              <w:rPr>
                <w:rFonts w:hint="eastAsia"/>
                <w:b w:val="0"/>
                <w:bCs w:val="0"/>
                <w:color w:val="auto"/>
                <w:u w:val="none"/>
              </w:rPr>
              <w:t>0.</w:t>
            </w:r>
            <w:r>
              <w:rPr>
                <w:rFonts w:hint="eastAsia"/>
                <w:b w:val="0"/>
                <w:bCs w:val="0"/>
                <w:color w:val="auto"/>
                <w:u w:val="none"/>
                <w:lang w:val="en-US" w:eastAsia="zh-CN"/>
              </w:rPr>
              <w:t>9</w:t>
            </w:r>
            <w:r>
              <w:rPr>
                <w:rFonts w:hint="eastAsia"/>
                <w:b w:val="0"/>
                <w:bCs w:val="0"/>
                <w:color w:val="auto"/>
                <w:u w:val="none"/>
              </w:rPr>
              <w:t>×</w:t>
            </w:r>
            <w:r>
              <w:rPr>
                <w:rFonts w:hint="eastAsia"/>
                <w:b w:val="0"/>
                <w:bCs w:val="0"/>
                <w:color w:val="auto"/>
                <w:u w:val="none"/>
                <w:lang w:val="en-US" w:eastAsia="zh-CN"/>
              </w:rPr>
              <w:t>1</w:t>
            </w:r>
            <w:r>
              <w:rPr>
                <w:rFonts w:hint="eastAsia"/>
                <w:b w:val="0"/>
                <w:bCs w:val="0"/>
                <w:color w:val="auto"/>
                <w:u w:val="none"/>
              </w:rPr>
              <w:t>5</w:t>
            </w:r>
          </w:p>
        </w:tc>
        <w:tc>
          <w:tcPr>
            <w:tcW w:w="2736" w:type="dxa"/>
            <w:vMerge w:val="restart"/>
            <w:noWrap w:val="0"/>
            <w:vAlign w:val="center"/>
          </w:tcPr>
          <w:p w14:paraId="61BAEDA8">
            <w:pPr>
              <w:pStyle w:val="22"/>
              <w:rPr>
                <w:b w:val="0"/>
                <w:bCs w:val="0"/>
                <w:color w:val="auto"/>
                <w:u w:val="none"/>
              </w:rPr>
            </w:pPr>
            <w:r>
              <w:rPr>
                <w:rFonts w:hint="eastAsia" w:eastAsia="宋体"/>
                <w:b w:val="0"/>
                <w:bCs w:val="0"/>
                <w:color w:val="auto"/>
                <w:u w:val="none" w:color="auto"/>
                <w:lang w:val="en-US" w:eastAsia="zh-CN"/>
              </w:rPr>
              <w:t>《大气污染物综合排放标准》（GB16297-1996）中表2中的二级标准限值、《恶臭污染物排放标准》（GB14554-93）表2标准</w:t>
            </w:r>
          </w:p>
        </w:tc>
        <w:tc>
          <w:tcPr>
            <w:tcW w:w="996" w:type="dxa"/>
            <w:vMerge w:val="restart"/>
            <w:noWrap w:val="0"/>
            <w:vAlign w:val="center"/>
          </w:tcPr>
          <w:p w14:paraId="515EE588">
            <w:pPr>
              <w:pStyle w:val="22"/>
              <w:rPr>
                <w:b w:val="0"/>
                <w:bCs w:val="0"/>
                <w:color w:val="auto"/>
                <w:u w:val="none"/>
              </w:rPr>
            </w:pPr>
            <w:r>
              <w:rPr>
                <w:rFonts w:hint="eastAsia"/>
                <w:b w:val="0"/>
                <w:bCs w:val="0"/>
                <w:color w:val="auto"/>
                <w:u w:val="none"/>
                <w:lang w:val="en-US" w:eastAsia="zh-CN"/>
              </w:rPr>
              <w:t>一般</w:t>
            </w:r>
            <w:r>
              <w:rPr>
                <w:rFonts w:hint="eastAsia"/>
                <w:b w:val="0"/>
                <w:bCs w:val="0"/>
                <w:color w:val="auto"/>
                <w:u w:val="none"/>
              </w:rPr>
              <w:t>排放口</w:t>
            </w:r>
          </w:p>
        </w:tc>
        <w:tc>
          <w:tcPr>
            <w:tcW w:w="1022" w:type="dxa"/>
            <w:vMerge w:val="continue"/>
            <w:noWrap w:val="0"/>
            <w:vAlign w:val="center"/>
          </w:tcPr>
          <w:p w14:paraId="0F22C10B">
            <w:pPr>
              <w:pStyle w:val="22"/>
              <w:rPr>
                <w:b w:val="0"/>
                <w:bCs w:val="0"/>
                <w:color w:val="auto"/>
                <w:u w:val="none"/>
              </w:rPr>
            </w:pPr>
          </w:p>
        </w:tc>
      </w:tr>
      <w:tr w14:paraId="7BD45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74F0FDC1">
            <w:pPr>
              <w:pStyle w:val="22"/>
              <w:rPr>
                <w:b w:val="0"/>
                <w:bCs w:val="0"/>
                <w:color w:val="auto"/>
                <w:u w:val="none"/>
              </w:rPr>
            </w:pPr>
          </w:p>
        </w:tc>
        <w:tc>
          <w:tcPr>
            <w:tcW w:w="1594" w:type="dxa"/>
            <w:vMerge w:val="continue"/>
            <w:noWrap w:val="0"/>
            <w:vAlign w:val="center"/>
          </w:tcPr>
          <w:p w14:paraId="0129A6B4">
            <w:pPr>
              <w:pStyle w:val="22"/>
              <w:rPr>
                <w:rFonts w:hint="eastAsia"/>
                <w:b w:val="0"/>
                <w:bCs w:val="0"/>
                <w:color w:val="auto"/>
                <w:u w:val="none"/>
              </w:rPr>
            </w:pPr>
          </w:p>
        </w:tc>
        <w:tc>
          <w:tcPr>
            <w:tcW w:w="1879" w:type="dxa"/>
            <w:vMerge w:val="continue"/>
            <w:noWrap w:val="0"/>
            <w:vAlign w:val="center"/>
          </w:tcPr>
          <w:p w14:paraId="533C3396">
            <w:pPr>
              <w:pStyle w:val="22"/>
              <w:rPr>
                <w:rFonts w:hint="eastAsia"/>
                <w:b w:val="0"/>
                <w:bCs w:val="0"/>
                <w:color w:val="auto"/>
                <w:u w:val="none"/>
              </w:rPr>
            </w:pPr>
          </w:p>
        </w:tc>
        <w:tc>
          <w:tcPr>
            <w:tcW w:w="1238" w:type="dxa"/>
            <w:gridSpan w:val="2"/>
            <w:noWrap w:val="0"/>
            <w:vAlign w:val="center"/>
          </w:tcPr>
          <w:p w14:paraId="43EDD59D">
            <w:pPr>
              <w:pStyle w:val="22"/>
              <w:rPr>
                <w:b w:val="0"/>
                <w:bCs w:val="0"/>
                <w:color w:val="auto"/>
                <w:u w:val="none"/>
              </w:rPr>
            </w:pPr>
            <w:r>
              <w:rPr>
                <w:rFonts w:hint="eastAsia"/>
                <w:b w:val="0"/>
                <w:bCs w:val="0"/>
                <w:color w:val="auto"/>
                <w:u w:val="none"/>
              </w:rPr>
              <w:t>VOCs</w:t>
            </w:r>
          </w:p>
        </w:tc>
        <w:tc>
          <w:tcPr>
            <w:tcW w:w="1268" w:type="dxa"/>
            <w:gridSpan w:val="2"/>
            <w:vMerge w:val="continue"/>
            <w:noWrap w:val="0"/>
            <w:vAlign w:val="center"/>
          </w:tcPr>
          <w:p w14:paraId="758F6A19">
            <w:pPr>
              <w:pStyle w:val="22"/>
              <w:rPr>
                <w:b w:val="0"/>
                <w:bCs w:val="0"/>
                <w:color w:val="auto"/>
                <w:u w:val="none"/>
              </w:rPr>
            </w:pPr>
          </w:p>
        </w:tc>
        <w:tc>
          <w:tcPr>
            <w:tcW w:w="1303" w:type="dxa"/>
            <w:noWrap w:val="0"/>
            <w:vAlign w:val="center"/>
          </w:tcPr>
          <w:p w14:paraId="2868838A">
            <w:pPr>
              <w:pStyle w:val="22"/>
              <w:rPr>
                <w:rFonts w:hint="default" w:eastAsia="宋体"/>
                <w:b w:val="0"/>
                <w:bCs w:val="0"/>
                <w:color w:val="auto"/>
                <w:u w:val="none"/>
                <w:lang w:val="en-US" w:eastAsia="zh-CN"/>
              </w:rPr>
            </w:pPr>
            <w:r>
              <w:rPr>
                <w:rFonts w:hint="eastAsia"/>
                <w:b w:val="0"/>
                <w:bCs w:val="0"/>
                <w:color w:val="auto"/>
                <w:u w:val="none"/>
                <w:lang w:val="en-US" w:eastAsia="zh-CN"/>
              </w:rPr>
              <w:t>2.63</w:t>
            </w:r>
          </w:p>
        </w:tc>
        <w:tc>
          <w:tcPr>
            <w:tcW w:w="1360" w:type="dxa"/>
            <w:vMerge w:val="continue"/>
            <w:noWrap w:val="0"/>
            <w:vAlign w:val="center"/>
          </w:tcPr>
          <w:p w14:paraId="5EECE50E">
            <w:pPr>
              <w:pStyle w:val="22"/>
              <w:rPr>
                <w:b w:val="0"/>
                <w:bCs w:val="0"/>
                <w:color w:val="auto"/>
                <w:u w:val="none"/>
              </w:rPr>
            </w:pPr>
          </w:p>
        </w:tc>
        <w:tc>
          <w:tcPr>
            <w:tcW w:w="2736" w:type="dxa"/>
            <w:vMerge w:val="continue"/>
            <w:noWrap w:val="0"/>
            <w:vAlign w:val="center"/>
          </w:tcPr>
          <w:p w14:paraId="578ADECA">
            <w:pPr>
              <w:pStyle w:val="22"/>
              <w:rPr>
                <w:b w:val="0"/>
                <w:bCs w:val="0"/>
                <w:color w:val="auto"/>
                <w:u w:val="none"/>
              </w:rPr>
            </w:pPr>
          </w:p>
        </w:tc>
        <w:tc>
          <w:tcPr>
            <w:tcW w:w="996" w:type="dxa"/>
            <w:vMerge w:val="continue"/>
            <w:noWrap w:val="0"/>
            <w:vAlign w:val="center"/>
          </w:tcPr>
          <w:p w14:paraId="686FFBF2">
            <w:pPr>
              <w:pStyle w:val="22"/>
              <w:rPr>
                <w:b w:val="0"/>
                <w:bCs w:val="0"/>
                <w:color w:val="auto"/>
                <w:u w:val="none"/>
              </w:rPr>
            </w:pPr>
          </w:p>
        </w:tc>
        <w:tc>
          <w:tcPr>
            <w:tcW w:w="1022" w:type="dxa"/>
            <w:vMerge w:val="continue"/>
            <w:noWrap w:val="0"/>
            <w:vAlign w:val="center"/>
          </w:tcPr>
          <w:p w14:paraId="75CBEE34">
            <w:pPr>
              <w:pStyle w:val="22"/>
              <w:rPr>
                <w:b w:val="0"/>
                <w:bCs w:val="0"/>
                <w:color w:val="auto"/>
                <w:u w:val="none"/>
              </w:rPr>
            </w:pPr>
          </w:p>
        </w:tc>
      </w:tr>
      <w:tr w14:paraId="640B39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77" w:type="dxa"/>
            <w:vMerge w:val="continue"/>
            <w:noWrap w:val="0"/>
            <w:vAlign w:val="center"/>
          </w:tcPr>
          <w:p w14:paraId="3CDC8A04">
            <w:pPr>
              <w:pStyle w:val="22"/>
              <w:rPr>
                <w:b w:val="0"/>
                <w:bCs w:val="0"/>
                <w:color w:val="auto"/>
                <w:u w:val="none"/>
              </w:rPr>
            </w:pPr>
          </w:p>
        </w:tc>
        <w:tc>
          <w:tcPr>
            <w:tcW w:w="1594" w:type="dxa"/>
            <w:vMerge w:val="restart"/>
            <w:noWrap w:val="0"/>
            <w:vAlign w:val="center"/>
          </w:tcPr>
          <w:p w14:paraId="30939974">
            <w:pPr>
              <w:pStyle w:val="22"/>
              <w:rPr>
                <w:rFonts w:hint="default" w:eastAsia="宋体"/>
                <w:b w:val="0"/>
                <w:bCs w:val="0"/>
                <w:color w:val="auto"/>
                <w:u w:val="none"/>
                <w:lang w:val="en-US" w:eastAsia="zh-CN"/>
              </w:rPr>
            </w:pPr>
            <w:r>
              <w:rPr>
                <w:rFonts w:hint="eastAsia"/>
                <w:b w:val="0"/>
                <w:bCs w:val="0"/>
                <w:color w:val="auto"/>
                <w:u w:val="none"/>
                <w:lang w:val="en-US" w:eastAsia="zh-CN"/>
              </w:rPr>
              <w:t>2#厂房覆膜废气</w:t>
            </w:r>
          </w:p>
        </w:tc>
        <w:tc>
          <w:tcPr>
            <w:tcW w:w="1879" w:type="dxa"/>
            <w:vMerge w:val="restart"/>
            <w:noWrap w:val="0"/>
            <w:vAlign w:val="center"/>
          </w:tcPr>
          <w:p w14:paraId="2B5323D9">
            <w:pPr>
              <w:pStyle w:val="22"/>
              <w:rPr>
                <w:rFonts w:hint="eastAsia"/>
                <w:b w:val="0"/>
                <w:bCs w:val="0"/>
                <w:color w:val="auto"/>
                <w:u w:val="none"/>
              </w:rPr>
            </w:pPr>
            <w:r>
              <w:rPr>
                <w:rFonts w:hint="eastAsia"/>
                <w:b w:val="0"/>
                <w:bCs w:val="0"/>
                <w:color w:val="auto"/>
                <w:u w:val="none"/>
              </w:rPr>
              <w:t>集气罩+垂帘(溶剂型胶粘剂覆膜机加装设置为区域半封闭)+两级活性炭吸附+15m高排气筒</w:t>
            </w:r>
          </w:p>
        </w:tc>
        <w:tc>
          <w:tcPr>
            <w:tcW w:w="1238" w:type="dxa"/>
            <w:gridSpan w:val="2"/>
            <w:noWrap w:val="0"/>
            <w:vAlign w:val="center"/>
          </w:tcPr>
          <w:p w14:paraId="340A4456">
            <w:pPr>
              <w:pStyle w:val="22"/>
              <w:rPr>
                <w:b w:val="0"/>
                <w:bCs w:val="0"/>
                <w:color w:val="auto"/>
                <w:u w:val="none"/>
              </w:rPr>
            </w:pPr>
            <w:r>
              <w:rPr>
                <w:rFonts w:hint="eastAsia"/>
                <w:b w:val="0"/>
                <w:bCs w:val="0"/>
                <w:color w:val="auto"/>
                <w:u w:val="none"/>
              </w:rPr>
              <w:t>VOCs</w:t>
            </w:r>
          </w:p>
        </w:tc>
        <w:tc>
          <w:tcPr>
            <w:tcW w:w="1268" w:type="dxa"/>
            <w:gridSpan w:val="2"/>
            <w:vMerge w:val="restart"/>
            <w:noWrap w:val="0"/>
            <w:vAlign w:val="center"/>
          </w:tcPr>
          <w:p w14:paraId="19450944">
            <w:pPr>
              <w:pStyle w:val="22"/>
              <w:rPr>
                <w:rFonts w:hint="default" w:eastAsia="宋体"/>
                <w:b w:val="0"/>
                <w:bCs w:val="0"/>
                <w:color w:val="auto"/>
                <w:u w:val="none"/>
                <w:lang w:val="en-US" w:eastAsia="zh-CN"/>
              </w:rPr>
            </w:pPr>
            <w:r>
              <w:rPr>
                <w:rFonts w:hint="eastAsia"/>
                <w:b w:val="0"/>
                <w:bCs w:val="0"/>
                <w:color w:val="auto"/>
                <w:u w:val="none"/>
                <w:lang w:val="en-US" w:eastAsia="zh-CN"/>
              </w:rPr>
              <w:t>25000</w:t>
            </w:r>
          </w:p>
        </w:tc>
        <w:tc>
          <w:tcPr>
            <w:tcW w:w="1303" w:type="dxa"/>
            <w:noWrap w:val="0"/>
            <w:vAlign w:val="center"/>
          </w:tcPr>
          <w:p w14:paraId="2ED401E4">
            <w:pPr>
              <w:pStyle w:val="22"/>
              <w:rPr>
                <w:rFonts w:hint="default" w:eastAsia="宋体"/>
                <w:b w:val="0"/>
                <w:bCs w:val="0"/>
                <w:color w:val="auto"/>
                <w:u w:val="none"/>
                <w:lang w:val="en-US" w:eastAsia="zh-CN"/>
              </w:rPr>
            </w:pPr>
            <w:r>
              <w:rPr>
                <w:rFonts w:hint="eastAsia"/>
                <w:b w:val="0"/>
                <w:bCs w:val="0"/>
                <w:color w:val="auto"/>
                <w:u w:val="none"/>
                <w:lang w:val="en-US" w:eastAsia="zh-CN"/>
              </w:rPr>
              <w:t>15.592</w:t>
            </w:r>
          </w:p>
        </w:tc>
        <w:tc>
          <w:tcPr>
            <w:tcW w:w="1360" w:type="dxa"/>
            <w:vMerge w:val="restart"/>
            <w:noWrap w:val="0"/>
            <w:vAlign w:val="center"/>
          </w:tcPr>
          <w:p w14:paraId="141293B3">
            <w:pPr>
              <w:pStyle w:val="22"/>
              <w:rPr>
                <w:b w:val="0"/>
                <w:bCs w:val="0"/>
                <w:color w:val="auto"/>
                <w:u w:val="none"/>
              </w:rPr>
            </w:pPr>
            <w:r>
              <w:rPr>
                <w:rFonts w:hint="eastAsia"/>
                <w:b w:val="0"/>
                <w:bCs w:val="0"/>
                <w:color w:val="auto"/>
                <w:u w:val="none"/>
              </w:rPr>
              <w:t>0.</w:t>
            </w:r>
            <w:r>
              <w:rPr>
                <w:rFonts w:hint="eastAsia"/>
                <w:b w:val="0"/>
                <w:bCs w:val="0"/>
                <w:color w:val="auto"/>
                <w:u w:val="none"/>
                <w:lang w:val="en-US" w:eastAsia="zh-CN"/>
              </w:rPr>
              <w:t>8</w:t>
            </w:r>
            <w:r>
              <w:rPr>
                <w:rFonts w:hint="eastAsia"/>
                <w:b w:val="0"/>
                <w:bCs w:val="0"/>
                <w:color w:val="auto"/>
                <w:u w:val="none"/>
              </w:rPr>
              <w:t>×</w:t>
            </w:r>
            <w:r>
              <w:rPr>
                <w:rFonts w:hint="eastAsia"/>
                <w:b w:val="0"/>
                <w:bCs w:val="0"/>
                <w:color w:val="auto"/>
                <w:u w:val="none"/>
                <w:lang w:val="en-US" w:eastAsia="zh-CN"/>
              </w:rPr>
              <w:t>1</w:t>
            </w:r>
            <w:r>
              <w:rPr>
                <w:rFonts w:hint="eastAsia"/>
                <w:b w:val="0"/>
                <w:bCs w:val="0"/>
                <w:color w:val="auto"/>
                <w:u w:val="none"/>
              </w:rPr>
              <w:t>5</w:t>
            </w:r>
          </w:p>
        </w:tc>
        <w:tc>
          <w:tcPr>
            <w:tcW w:w="2736" w:type="dxa"/>
            <w:vMerge w:val="restart"/>
            <w:noWrap w:val="0"/>
            <w:vAlign w:val="center"/>
          </w:tcPr>
          <w:p w14:paraId="523191DD">
            <w:pPr>
              <w:pStyle w:val="22"/>
              <w:rPr>
                <w:b w:val="0"/>
                <w:bCs w:val="0"/>
                <w:color w:val="auto"/>
                <w:u w:val="none"/>
              </w:rPr>
            </w:pPr>
            <w:r>
              <w:rPr>
                <w:rFonts w:hint="eastAsia" w:eastAsia="宋体"/>
                <w:b w:val="0"/>
                <w:bCs w:val="0"/>
                <w:color w:val="auto"/>
                <w:u w:val="none" w:color="auto"/>
                <w:lang w:val="en-US" w:eastAsia="zh-CN"/>
              </w:rPr>
              <w:t>《大气污染物综合排放标准》（GB16297-1996）中表2中的二级标准限值、《恶臭污染物排放标准》（GB14554-93）表2标准</w:t>
            </w:r>
          </w:p>
        </w:tc>
        <w:tc>
          <w:tcPr>
            <w:tcW w:w="996" w:type="dxa"/>
            <w:vMerge w:val="restart"/>
            <w:noWrap w:val="0"/>
            <w:vAlign w:val="center"/>
          </w:tcPr>
          <w:p w14:paraId="1DA2D4B0">
            <w:pPr>
              <w:pStyle w:val="22"/>
              <w:rPr>
                <w:b w:val="0"/>
                <w:bCs w:val="0"/>
                <w:color w:val="auto"/>
                <w:u w:val="none"/>
              </w:rPr>
            </w:pPr>
            <w:r>
              <w:rPr>
                <w:rFonts w:hint="eastAsia"/>
                <w:b w:val="0"/>
                <w:bCs w:val="0"/>
                <w:color w:val="auto"/>
                <w:u w:val="none"/>
                <w:lang w:val="en-US" w:eastAsia="zh-CN"/>
              </w:rPr>
              <w:t>一般</w:t>
            </w:r>
            <w:r>
              <w:rPr>
                <w:rFonts w:hint="eastAsia"/>
                <w:b w:val="0"/>
                <w:bCs w:val="0"/>
                <w:color w:val="auto"/>
                <w:u w:val="none"/>
              </w:rPr>
              <w:t>排放口</w:t>
            </w:r>
          </w:p>
        </w:tc>
        <w:tc>
          <w:tcPr>
            <w:tcW w:w="1022" w:type="dxa"/>
            <w:vMerge w:val="continue"/>
            <w:noWrap w:val="0"/>
            <w:vAlign w:val="center"/>
          </w:tcPr>
          <w:p w14:paraId="1C19B972">
            <w:pPr>
              <w:pStyle w:val="22"/>
              <w:rPr>
                <w:b w:val="0"/>
                <w:bCs w:val="0"/>
                <w:color w:val="auto"/>
                <w:u w:val="none"/>
              </w:rPr>
            </w:pPr>
          </w:p>
        </w:tc>
      </w:tr>
      <w:tr w14:paraId="71E6D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777" w:type="dxa"/>
            <w:vMerge w:val="continue"/>
            <w:noWrap w:val="0"/>
            <w:vAlign w:val="center"/>
          </w:tcPr>
          <w:p w14:paraId="5B5F38D9">
            <w:pPr>
              <w:pStyle w:val="22"/>
            </w:pPr>
          </w:p>
        </w:tc>
        <w:tc>
          <w:tcPr>
            <w:tcW w:w="1594" w:type="dxa"/>
            <w:vMerge w:val="continue"/>
            <w:noWrap w:val="0"/>
            <w:vAlign w:val="center"/>
          </w:tcPr>
          <w:p w14:paraId="29409172">
            <w:pPr>
              <w:pStyle w:val="22"/>
            </w:pPr>
          </w:p>
        </w:tc>
        <w:tc>
          <w:tcPr>
            <w:tcW w:w="1879" w:type="dxa"/>
            <w:vMerge w:val="continue"/>
            <w:noWrap w:val="0"/>
            <w:vAlign w:val="center"/>
          </w:tcPr>
          <w:p w14:paraId="208AA27B">
            <w:pPr>
              <w:pStyle w:val="22"/>
            </w:pPr>
          </w:p>
        </w:tc>
        <w:tc>
          <w:tcPr>
            <w:tcW w:w="1238" w:type="dxa"/>
            <w:gridSpan w:val="2"/>
            <w:noWrap w:val="0"/>
            <w:vAlign w:val="center"/>
          </w:tcPr>
          <w:p w14:paraId="048AD44D">
            <w:pPr>
              <w:pStyle w:val="22"/>
              <w:rPr>
                <w:rFonts w:hint="eastAsia" w:eastAsia="宋体"/>
                <w:b w:val="0"/>
                <w:bCs w:val="0"/>
                <w:color w:val="auto"/>
                <w:u w:val="none"/>
                <w:lang w:val="en-US" w:eastAsia="zh-CN"/>
              </w:rPr>
            </w:pPr>
            <w:r>
              <w:rPr>
                <w:rFonts w:hint="eastAsia"/>
                <w:b w:val="0"/>
                <w:bCs w:val="0"/>
                <w:color w:val="auto"/>
                <w:u w:val="none"/>
                <w:lang w:val="en-US" w:eastAsia="zh-CN"/>
              </w:rPr>
              <w:t>二甲苯</w:t>
            </w:r>
          </w:p>
        </w:tc>
        <w:tc>
          <w:tcPr>
            <w:tcW w:w="1268" w:type="dxa"/>
            <w:gridSpan w:val="2"/>
            <w:vMerge w:val="continue"/>
            <w:noWrap w:val="0"/>
            <w:vAlign w:val="center"/>
          </w:tcPr>
          <w:p w14:paraId="34BD0CC2">
            <w:pPr>
              <w:pStyle w:val="22"/>
              <w:rPr>
                <w:rFonts w:hint="eastAsia"/>
                <w:b w:val="0"/>
                <w:bCs w:val="0"/>
                <w:color w:val="auto"/>
                <w:u w:val="none"/>
              </w:rPr>
            </w:pPr>
          </w:p>
        </w:tc>
        <w:tc>
          <w:tcPr>
            <w:tcW w:w="1303" w:type="dxa"/>
            <w:noWrap w:val="0"/>
            <w:vAlign w:val="center"/>
          </w:tcPr>
          <w:p w14:paraId="0046035C">
            <w:pPr>
              <w:pStyle w:val="22"/>
              <w:rPr>
                <w:rFonts w:hint="default" w:eastAsia="宋体"/>
                <w:b w:val="0"/>
                <w:bCs w:val="0"/>
                <w:color w:val="auto"/>
                <w:u w:val="none"/>
                <w:lang w:val="en-US" w:eastAsia="zh-CN"/>
              </w:rPr>
            </w:pPr>
            <w:r>
              <w:rPr>
                <w:rFonts w:hint="eastAsia"/>
                <w:b w:val="0"/>
                <w:bCs w:val="0"/>
                <w:color w:val="auto"/>
                <w:u w:val="none"/>
                <w:lang w:val="en-US" w:eastAsia="zh-CN"/>
              </w:rPr>
              <w:t>0.852</w:t>
            </w:r>
          </w:p>
        </w:tc>
        <w:tc>
          <w:tcPr>
            <w:tcW w:w="1360" w:type="dxa"/>
            <w:vMerge w:val="continue"/>
            <w:noWrap w:val="0"/>
            <w:vAlign w:val="center"/>
          </w:tcPr>
          <w:p w14:paraId="20E93BE3">
            <w:pPr>
              <w:pStyle w:val="22"/>
              <w:rPr>
                <w:rFonts w:hint="eastAsia"/>
                <w:b w:val="0"/>
                <w:bCs w:val="0"/>
                <w:color w:val="auto"/>
                <w:u w:val="none"/>
              </w:rPr>
            </w:pPr>
          </w:p>
        </w:tc>
        <w:tc>
          <w:tcPr>
            <w:tcW w:w="2736" w:type="dxa"/>
            <w:vMerge w:val="continue"/>
            <w:noWrap w:val="0"/>
            <w:vAlign w:val="center"/>
          </w:tcPr>
          <w:p w14:paraId="707F8987">
            <w:pPr>
              <w:pStyle w:val="22"/>
              <w:rPr>
                <w:rFonts w:hint="eastAsia"/>
                <w:b w:val="0"/>
                <w:bCs w:val="0"/>
                <w:color w:val="auto"/>
                <w:u w:val="none"/>
              </w:rPr>
            </w:pPr>
          </w:p>
        </w:tc>
        <w:tc>
          <w:tcPr>
            <w:tcW w:w="996" w:type="dxa"/>
            <w:vMerge w:val="continue"/>
            <w:noWrap w:val="0"/>
            <w:vAlign w:val="center"/>
          </w:tcPr>
          <w:p w14:paraId="456B501F">
            <w:pPr>
              <w:pStyle w:val="22"/>
              <w:rPr>
                <w:rFonts w:hint="eastAsia"/>
                <w:b w:val="0"/>
                <w:bCs w:val="0"/>
                <w:color w:val="auto"/>
                <w:u w:val="none"/>
              </w:rPr>
            </w:pPr>
          </w:p>
        </w:tc>
        <w:tc>
          <w:tcPr>
            <w:tcW w:w="1022" w:type="dxa"/>
            <w:vMerge w:val="continue"/>
            <w:noWrap w:val="0"/>
            <w:vAlign w:val="center"/>
          </w:tcPr>
          <w:p w14:paraId="0B609440">
            <w:pPr>
              <w:pStyle w:val="22"/>
              <w:rPr>
                <w:rFonts w:hint="eastAsia"/>
                <w:b w:val="0"/>
                <w:bCs w:val="0"/>
                <w:color w:val="auto"/>
                <w:u w:val="none"/>
              </w:rPr>
            </w:pPr>
          </w:p>
        </w:tc>
      </w:tr>
      <w:tr w14:paraId="3B417E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3" w:type="dxa"/>
            <w:gridSpan w:val="12"/>
            <w:noWrap w:val="0"/>
            <w:vAlign w:val="center"/>
          </w:tcPr>
          <w:p w14:paraId="685757FB">
            <w:pPr>
              <w:pStyle w:val="22"/>
              <w:rPr>
                <w:b w:val="0"/>
                <w:bCs w:val="0"/>
                <w:color w:val="auto"/>
                <w:u w:val="none"/>
              </w:rPr>
            </w:pPr>
            <w:r>
              <w:rPr>
                <w:rFonts w:hint="eastAsia"/>
                <w:color w:val="auto"/>
                <w:u w:val="none"/>
              </w:rPr>
              <w:t>（2）废水类别、污染物及污染治理设施清单</w:t>
            </w:r>
          </w:p>
        </w:tc>
      </w:tr>
      <w:tr w14:paraId="2FA4C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1" w:type="dxa"/>
            <w:gridSpan w:val="2"/>
            <w:noWrap w:val="0"/>
            <w:vAlign w:val="center"/>
          </w:tcPr>
          <w:p w14:paraId="58400392">
            <w:pPr>
              <w:pStyle w:val="22"/>
              <w:rPr>
                <w:b w:val="0"/>
                <w:bCs w:val="0"/>
                <w:color w:val="auto"/>
                <w:u w:val="none"/>
              </w:rPr>
            </w:pPr>
            <w:r>
              <w:rPr>
                <w:rFonts w:hint="eastAsia"/>
                <w:b w:val="0"/>
                <w:bCs w:val="0"/>
                <w:color w:val="auto"/>
                <w:u w:val="none"/>
              </w:rPr>
              <w:t>污染源</w:t>
            </w:r>
          </w:p>
        </w:tc>
        <w:tc>
          <w:tcPr>
            <w:tcW w:w="1879" w:type="dxa"/>
            <w:noWrap w:val="0"/>
            <w:vAlign w:val="center"/>
          </w:tcPr>
          <w:p w14:paraId="10CA2F55">
            <w:pPr>
              <w:pStyle w:val="22"/>
              <w:rPr>
                <w:b w:val="0"/>
                <w:bCs w:val="0"/>
                <w:color w:val="auto"/>
                <w:u w:val="none"/>
              </w:rPr>
            </w:pPr>
            <w:r>
              <w:rPr>
                <w:rFonts w:hint="eastAsia"/>
                <w:b w:val="0"/>
                <w:bCs w:val="0"/>
                <w:color w:val="auto"/>
                <w:u w:val="none"/>
              </w:rPr>
              <w:t>处理措施</w:t>
            </w:r>
          </w:p>
        </w:tc>
        <w:tc>
          <w:tcPr>
            <w:tcW w:w="1238" w:type="dxa"/>
            <w:gridSpan w:val="2"/>
            <w:noWrap w:val="0"/>
            <w:vAlign w:val="center"/>
          </w:tcPr>
          <w:p w14:paraId="6F6F1AB0">
            <w:pPr>
              <w:pStyle w:val="22"/>
              <w:rPr>
                <w:b w:val="0"/>
                <w:bCs w:val="0"/>
                <w:color w:val="auto"/>
                <w:u w:val="none"/>
              </w:rPr>
            </w:pPr>
            <w:r>
              <w:rPr>
                <w:rFonts w:hint="eastAsia"/>
                <w:b w:val="0"/>
                <w:bCs w:val="0"/>
                <w:color w:val="auto"/>
                <w:u w:val="none"/>
              </w:rPr>
              <w:t>废水量（m</w:t>
            </w:r>
            <w:r>
              <w:rPr>
                <w:rFonts w:hint="eastAsia"/>
                <w:b w:val="0"/>
                <w:bCs w:val="0"/>
                <w:color w:val="auto"/>
                <w:u w:val="none"/>
                <w:vertAlign w:val="superscript"/>
              </w:rPr>
              <w:t>3</w:t>
            </w:r>
            <w:r>
              <w:rPr>
                <w:rFonts w:hint="eastAsia"/>
                <w:b w:val="0"/>
                <w:bCs w:val="0"/>
                <w:color w:val="auto"/>
                <w:u w:val="none"/>
              </w:rPr>
              <w:t>/a）</w:t>
            </w:r>
          </w:p>
        </w:tc>
        <w:tc>
          <w:tcPr>
            <w:tcW w:w="1268" w:type="dxa"/>
            <w:gridSpan w:val="2"/>
            <w:noWrap w:val="0"/>
            <w:vAlign w:val="center"/>
          </w:tcPr>
          <w:p w14:paraId="30FCA5AE">
            <w:pPr>
              <w:pStyle w:val="22"/>
              <w:rPr>
                <w:b w:val="0"/>
                <w:bCs w:val="0"/>
                <w:color w:val="auto"/>
                <w:u w:val="none"/>
              </w:rPr>
            </w:pPr>
            <w:r>
              <w:rPr>
                <w:rFonts w:hint="eastAsia"/>
                <w:b w:val="0"/>
                <w:bCs w:val="0"/>
                <w:color w:val="auto"/>
                <w:u w:val="none"/>
              </w:rPr>
              <w:t>污染物</w:t>
            </w:r>
          </w:p>
        </w:tc>
        <w:tc>
          <w:tcPr>
            <w:tcW w:w="1303" w:type="dxa"/>
            <w:noWrap w:val="0"/>
            <w:vAlign w:val="center"/>
          </w:tcPr>
          <w:p w14:paraId="4CF6F976">
            <w:pPr>
              <w:pStyle w:val="22"/>
              <w:rPr>
                <w:b w:val="0"/>
                <w:bCs w:val="0"/>
                <w:color w:val="auto"/>
                <w:u w:val="none"/>
              </w:rPr>
            </w:pPr>
            <w:r>
              <w:rPr>
                <w:rFonts w:hint="eastAsia"/>
                <w:b w:val="0"/>
                <w:bCs w:val="0"/>
                <w:color w:val="auto"/>
                <w:u w:val="none"/>
              </w:rPr>
              <w:t>浓度（mg/L）</w:t>
            </w:r>
          </w:p>
        </w:tc>
        <w:tc>
          <w:tcPr>
            <w:tcW w:w="1360" w:type="dxa"/>
            <w:noWrap w:val="0"/>
            <w:vAlign w:val="center"/>
          </w:tcPr>
          <w:p w14:paraId="0C78A04F">
            <w:pPr>
              <w:pStyle w:val="22"/>
              <w:rPr>
                <w:b w:val="0"/>
                <w:bCs w:val="0"/>
                <w:color w:val="auto"/>
                <w:u w:val="none"/>
              </w:rPr>
            </w:pPr>
            <w:r>
              <w:rPr>
                <w:rFonts w:hint="eastAsia"/>
                <w:b w:val="0"/>
                <w:bCs w:val="0"/>
                <w:color w:val="auto"/>
                <w:u w:val="none"/>
              </w:rPr>
              <w:t>总量控制指标</w:t>
            </w:r>
          </w:p>
        </w:tc>
        <w:tc>
          <w:tcPr>
            <w:tcW w:w="2736" w:type="dxa"/>
            <w:noWrap w:val="0"/>
            <w:vAlign w:val="center"/>
          </w:tcPr>
          <w:p w14:paraId="527D88F4">
            <w:pPr>
              <w:pStyle w:val="22"/>
              <w:rPr>
                <w:b w:val="0"/>
                <w:bCs w:val="0"/>
                <w:color w:val="auto"/>
                <w:u w:val="none"/>
              </w:rPr>
            </w:pPr>
            <w:r>
              <w:rPr>
                <w:rFonts w:hint="eastAsia"/>
                <w:b w:val="0"/>
                <w:bCs w:val="0"/>
                <w:color w:val="auto"/>
                <w:u w:val="none"/>
              </w:rPr>
              <w:t>执行标准</w:t>
            </w:r>
          </w:p>
        </w:tc>
        <w:tc>
          <w:tcPr>
            <w:tcW w:w="2018" w:type="dxa"/>
            <w:gridSpan w:val="2"/>
            <w:noWrap w:val="0"/>
            <w:vAlign w:val="center"/>
          </w:tcPr>
          <w:p w14:paraId="7BC74528">
            <w:pPr>
              <w:pStyle w:val="22"/>
              <w:rPr>
                <w:b w:val="0"/>
                <w:bCs w:val="0"/>
                <w:color w:val="auto"/>
                <w:u w:val="none"/>
              </w:rPr>
            </w:pPr>
            <w:r>
              <w:rPr>
                <w:rFonts w:hint="eastAsia"/>
                <w:b w:val="0"/>
                <w:bCs w:val="0"/>
                <w:color w:val="auto"/>
                <w:u w:val="none"/>
              </w:rPr>
              <w:t>排放去向</w:t>
            </w:r>
          </w:p>
        </w:tc>
      </w:tr>
      <w:tr w14:paraId="61F601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noWrap w:val="0"/>
            <w:vAlign w:val="center"/>
          </w:tcPr>
          <w:p w14:paraId="3604A270">
            <w:pPr>
              <w:pStyle w:val="22"/>
              <w:rPr>
                <w:b w:val="0"/>
                <w:bCs w:val="0"/>
                <w:color w:val="auto"/>
                <w:u w:val="none"/>
              </w:rPr>
            </w:pPr>
            <w:r>
              <w:rPr>
                <w:rFonts w:hint="eastAsia"/>
                <w:b w:val="0"/>
                <w:bCs w:val="0"/>
                <w:color w:val="auto"/>
                <w:u w:val="none"/>
              </w:rPr>
              <w:t>废水</w:t>
            </w:r>
          </w:p>
        </w:tc>
        <w:tc>
          <w:tcPr>
            <w:tcW w:w="1594" w:type="dxa"/>
            <w:vMerge w:val="restart"/>
            <w:noWrap w:val="0"/>
            <w:vAlign w:val="center"/>
          </w:tcPr>
          <w:p w14:paraId="39C374B6">
            <w:pPr>
              <w:pStyle w:val="22"/>
              <w:rPr>
                <w:b w:val="0"/>
                <w:bCs w:val="0"/>
                <w:color w:val="auto"/>
                <w:u w:val="none"/>
              </w:rPr>
            </w:pPr>
            <w:r>
              <w:rPr>
                <w:rFonts w:hint="eastAsia"/>
                <w:b w:val="0"/>
                <w:bCs w:val="0"/>
                <w:color w:val="auto"/>
                <w:u w:val="none"/>
              </w:rPr>
              <w:t>生活污水</w:t>
            </w:r>
          </w:p>
        </w:tc>
        <w:tc>
          <w:tcPr>
            <w:tcW w:w="1879" w:type="dxa"/>
            <w:vMerge w:val="restart"/>
            <w:noWrap w:val="0"/>
            <w:vAlign w:val="center"/>
          </w:tcPr>
          <w:p w14:paraId="21BFCAFD">
            <w:pPr>
              <w:pStyle w:val="22"/>
              <w:rPr>
                <w:b w:val="0"/>
                <w:bCs w:val="0"/>
                <w:color w:val="auto"/>
                <w:u w:val="none"/>
              </w:rPr>
            </w:pPr>
            <w:r>
              <w:rPr>
                <w:rFonts w:hint="eastAsia"/>
                <w:b w:val="0"/>
                <w:bCs w:val="0"/>
                <w:color w:val="auto"/>
                <w:u w:val="none"/>
              </w:rPr>
              <w:t>化粪池</w:t>
            </w:r>
          </w:p>
        </w:tc>
        <w:tc>
          <w:tcPr>
            <w:tcW w:w="1238" w:type="dxa"/>
            <w:gridSpan w:val="2"/>
            <w:vMerge w:val="restart"/>
            <w:noWrap w:val="0"/>
            <w:vAlign w:val="center"/>
          </w:tcPr>
          <w:p w14:paraId="5EE39A8F">
            <w:pPr>
              <w:pStyle w:val="22"/>
              <w:rPr>
                <w:rFonts w:hint="default" w:eastAsia="宋体"/>
                <w:b w:val="0"/>
                <w:bCs w:val="0"/>
                <w:color w:val="auto"/>
                <w:u w:val="none"/>
                <w:lang w:val="en-US" w:eastAsia="zh-CN"/>
              </w:rPr>
            </w:pPr>
            <w:r>
              <w:rPr>
                <w:rFonts w:hint="eastAsia"/>
                <w:b w:val="0"/>
                <w:bCs w:val="0"/>
                <w:color w:val="auto"/>
                <w:u w:val="none"/>
                <w:lang w:val="en-US" w:eastAsia="zh-CN"/>
              </w:rPr>
              <w:t>2088</w:t>
            </w:r>
          </w:p>
        </w:tc>
        <w:tc>
          <w:tcPr>
            <w:tcW w:w="1268" w:type="dxa"/>
            <w:gridSpan w:val="2"/>
            <w:noWrap w:val="0"/>
            <w:vAlign w:val="center"/>
          </w:tcPr>
          <w:p w14:paraId="5C28EE63">
            <w:pPr>
              <w:pStyle w:val="22"/>
              <w:rPr>
                <w:b w:val="0"/>
                <w:bCs w:val="0"/>
                <w:color w:val="auto"/>
                <w:u w:val="none"/>
              </w:rPr>
            </w:pPr>
            <w:r>
              <w:rPr>
                <w:rFonts w:hint="eastAsia"/>
                <w:b w:val="0"/>
                <w:bCs w:val="0"/>
                <w:color w:val="auto"/>
                <w:u w:val="none"/>
              </w:rPr>
              <w:t>CODcr</w:t>
            </w:r>
          </w:p>
        </w:tc>
        <w:tc>
          <w:tcPr>
            <w:tcW w:w="1303" w:type="dxa"/>
            <w:noWrap w:val="0"/>
            <w:vAlign w:val="center"/>
          </w:tcPr>
          <w:p w14:paraId="201DB06D">
            <w:pPr>
              <w:pStyle w:val="22"/>
              <w:rPr>
                <w:rFonts w:hint="default" w:eastAsia="宋体"/>
                <w:b w:val="0"/>
                <w:bCs w:val="0"/>
                <w:color w:val="auto"/>
                <w:u w:val="none"/>
                <w:lang w:val="en-US" w:eastAsia="zh-CN"/>
              </w:rPr>
            </w:pPr>
            <w:r>
              <w:rPr>
                <w:rFonts w:hint="eastAsia"/>
                <w:b w:val="0"/>
                <w:bCs w:val="0"/>
                <w:color w:val="auto"/>
                <w:u w:val="none"/>
                <w:lang w:val="en-US" w:eastAsia="zh-CN"/>
              </w:rPr>
              <w:t>30</w:t>
            </w:r>
          </w:p>
        </w:tc>
        <w:tc>
          <w:tcPr>
            <w:tcW w:w="1360" w:type="dxa"/>
            <w:noWrap w:val="0"/>
            <w:vAlign w:val="center"/>
          </w:tcPr>
          <w:p w14:paraId="0DAF3076">
            <w:pPr>
              <w:pStyle w:val="22"/>
              <w:rPr>
                <w:rFonts w:hint="default" w:eastAsia="宋体"/>
                <w:b w:val="0"/>
                <w:bCs w:val="0"/>
                <w:color w:val="auto"/>
                <w:u w:val="none"/>
                <w:lang w:val="en-US" w:eastAsia="zh-CN"/>
              </w:rPr>
            </w:pPr>
            <w:r>
              <w:rPr>
                <w:rFonts w:hint="eastAsia"/>
                <w:b w:val="0"/>
                <w:bCs w:val="0"/>
                <w:color w:val="auto"/>
                <w:u w:val="none"/>
                <w:lang w:val="en-US" w:eastAsia="zh-CN"/>
              </w:rPr>
              <w:t>0.06264</w:t>
            </w:r>
          </w:p>
        </w:tc>
        <w:tc>
          <w:tcPr>
            <w:tcW w:w="2736" w:type="dxa"/>
            <w:vMerge w:val="restart"/>
            <w:noWrap w:val="0"/>
            <w:vAlign w:val="center"/>
          </w:tcPr>
          <w:p w14:paraId="52F3ADBF">
            <w:pPr>
              <w:pStyle w:val="22"/>
              <w:rPr>
                <w:b w:val="0"/>
                <w:bCs w:val="0"/>
                <w:color w:val="auto"/>
                <w:u w:val="none"/>
              </w:rPr>
            </w:pPr>
            <w:r>
              <w:rPr>
                <w:rFonts w:hint="eastAsia"/>
                <w:b w:val="0"/>
                <w:bCs w:val="0"/>
                <w:color w:val="auto"/>
                <w:u w:val="none"/>
              </w:rPr>
              <w:t>湖南汨罗高新技术产业开发区</w:t>
            </w:r>
            <w:r>
              <w:rPr>
                <w:rFonts w:hint="eastAsia"/>
                <w:b w:val="0"/>
                <w:bCs w:val="0"/>
                <w:color w:val="auto"/>
                <w:u w:val="none"/>
                <w:lang w:eastAsia="zh-CN"/>
              </w:rPr>
              <w:t>（</w:t>
            </w:r>
            <w:r>
              <w:rPr>
                <w:rFonts w:hint="eastAsia"/>
                <w:b w:val="0"/>
                <w:bCs w:val="0"/>
                <w:color w:val="auto"/>
                <w:u w:val="none"/>
              </w:rPr>
              <w:t>循环园区</w:t>
            </w:r>
            <w:r>
              <w:rPr>
                <w:rFonts w:hint="eastAsia"/>
                <w:b w:val="0"/>
                <w:bCs w:val="0"/>
                <w:color w:val="auto"/>
                <w:u w:val="none"/>
                <w:lang w:eastAsia="zh-CN"/>
              </w:rPr>
              <w:t>）</w:t>
            </w:r>
            <w:r>
              <w:rPr>
                <w:rFonts w:hint="eastAsia"/>
                <w:b w:val="0"/>
                <w:bCs w:val="0"/>
                <w:color w:val="auto"/>
                <w:u w:val="none"/>
              </w:rPr>
              <w:t>污水处理厂进水水质标准</w:t>
            </w:r>
            <w:r>
              <w:rPr>
                <w:b w:val="0"/>
                <w:bCs w:val="0"/>
                <w:color w:val="auto"/>
                <w:u w:val="none"/>
              </w:rPr>
              <w:t>。</w:t>
            </w:r>
          </w:p>
        </w:tc>
        <w:tc>
          <w:tcPr>
            <w:tcW w:w="2018" w:type="dxa"/>
            <w:gridSpan w:val="2"/>
            <w:vMerge w:val="restart"/>
            <w:noWrap w:val="0"/>
            <w:vAlign w:val="center"/>
          </w:tcPr>
          <w:p w14:paraId="12E7F9C4">
            <w:pPr>
              <w:pStyle w:val="22"/>
              <w:rPr>
                <w:b w:val="0"/>
                <w:bCs w:val="0"/>
                <w:color w:val="auto"/>
                <w:u w:val="none"/>
              </w:rPr>
            </w:pPr>
            <w:r>
              <w:rPr>
                <w:rFonts w:hint="eastAsia"/>
                <w:b w:val="0"/>
                <w:bCs w:val="0"/>
                <w:color w:val="auto"/>
                <w:u w:val="none"/>
              </w:rPr>
              <w:t>湖南汨罗高新技术产业开发区</w:t>
            </w:r>
            <w:r>
              <w:rPr>
                <w:rFonts w:hint="eastAsia"/>
                <w:b w:val="0"/>
                <w:bCs w:val="0"/>
                <w:color w:val="auto"/>
                <w:u w:val="none"/>
                <w:lang w:eastAsia="zh-CN"/>
              </w:rPr>
              <w:t>（</w:t>
            </w:r>
            <w:r>
              <w:rPr>
                <w:rFonts w:hint="eastAsia"/>
                <w:b w:val="0"/>
                <w:bCs w:val="0"/>
                <w:color w:val="auto"/>
                <w:u w:val="none"/>
              </w:rPr>
              <w:t>循环园区</w:t>
            </w:r>
            <w:r>
              <w:rPr>
                <w:rFonts w:hint="eastAsia"/>
                <w:b w:val="0"/>
                <w:bCs w:val="0"/>
                <w:color w:val="auto"/>
                <w:u w:val="none"/>
                <w:lang w:eastAsia="zh-CN"/>
              </w:rPr>
              <w:t>）</w:t>
            </w:r>
            <w:r>
              <w:rPr>
                <w:rFonts w:hint="eastAsia"/>
                <w:b w:val="0"/>
                <w:bCs w:val="0"/>
                <w:color w:val="auto"/>
                <w:u w:val="none"/>
              </w:rPr>
              <w:t>污水处理厂</w:t>
            </w:r>
          </w:p>
        </w:tc>
      </w:tr>
      <w:tr w14:paraId="7DFB9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0D6FD02D">
            <w:pPr>
              <w:pStyle w:val="22"/>
              <w:rPr>
                <w:b w:val="0"/>
                <w:bCs w:val="0"/>
                <w:color w:val="auto"/>
                <w:u w:val="none"/>
              </w:rPr>
            </w:pPr>
          </w:p>
        </w:tc>
        <w:tc>
          <w:tcPr>
            <w:tcW w:w="1594" w:type="dxa"/>
            <w:vMerge w:val="continue"/>
            <w:noWrap w:val="0"/>
            <w:vAlign w:val="center"/>
          </w:tcPr>
          <w:p w14:paraId="55CDB25F">
            <w:pPr>
              <w:pStyle w:val="22"/>
              <w:rPr>
                <w:rFonts w:hint="eastAsia"/>
                <w:b w:val="0"/>
                <w:bCs w:val="0"/>
                <w:color w:val="auto"/>
                <w:u w:val="none"/>
              </w:rPr>
            </w:pPr>
          </w:p>
        </w:tc>
        <w:tc>
          <w:tcPr>
            <w:tcW w:w="1879" w:type="dxa"/>
            <w:vMerge w:val="continue"/>
            <w:noWrap w:val="0"/>
            <w:vAlign w:val="center"/>
          </w:tcPr>
          <w:p w14:paraId="1D0D7CF2">
            <w:pPr>
              <w:pStyle w:val="22"/>
              <w:rPr>
                <w:rFonts w:hint="eastAsia"/>
                <w:b w:val="0"/>
                <w:bCs w:val="0"/>
                <w:color w:val="auto"/>
                <w:u w:val="none"/>
              </w:rPr>
            </w:pPr>
          </w:p>
        </w:tc>
        <w:tc>
          <w:tcPr>
            <w:tcW w:w="1238" w:type="dxa"/>
            <w:gridSpan w:val="2"/>
            <w:vMerge w:val="continue"/>
            <w:noWrap w:val="0"/>
            <w:vAlign w:val="center"/>
          </w:tcPr>
          <w:p w14:paraId="00AB57D5">
            <w:pPr>
              <w:pStyle w:val="22"/>
              <w:rPr>
                <w:rFonts w:hint="eastAsia"/>
                <w:b w:val="0"/>
                <w:bCs w:val="0"/>
                <w:color w:val="auto"/>
                <w:u w:val="none"/>
              </w:rPr>
            </w:pPr>
          </w:p>
        </w:tc>
        <w:tc>
          <w:tcPr>
            <w:tcW w:w="1268" w:type="dxa"/>
            <w:gridSpan w:val="2"/>
            <w:noWrap w:val="0"/>
            <w:vAlign w:val="center"/>
          </w:tcPr>
          <w:p w14:paraId="0792E1C5">
            <w:pPr>
              <w:pStyle w:val="22"/>
              <w:rPr>
                <w:b w:val="0"/>
                <w:bCs w:val="0"/>
                <w:color w:val="auto"/>
                <w:u w:val="none"/>
              </w:rPr>
            </w:pPr>
            <w:r>
              <w:rPr>
                <w:rFonts w:hint="eastAsia"/>
                <w:b w:val="0"/>
                <w:bCs w:val="0"/>
                <w:color w:val="auto"/>
                <w:u w:val="none"/>
              </w:rPr>
              <w:t>BOD</w:t>
            </w:r>
            <w:r>
              <w:rPr>
                <w:rFonts w:hint="eastAsia"/>
                <w:b w:val="0"/>
                <w:bCs w:val="0"/>
                <w:color w:val="auto"/>
                <w:u w:val="none"/>
                <w:vertAlign w:val="subscript"/>
              </w:rPr>
              <w:t>5</w:t>
            </w:r>
          </w:p>
        </w:tc>
        <w:tc>
          <w:tcPr>
            <w:tcW w:w="1303" w:type="dxa"/>
            <w:noWrap w:val="0"/>
            <w:vAlign w:val="center"/>
          </w:tcPr>
          <w:p w14:paraId="3367FB51">
            <w:pPr>
              <w:pStyle w:val="22"/>
              <w:rPr>
                <w:rFonts w:hint="default" w:eastAsia="宋体"/>
                <w:b w:val="0"/>
                <w:bCs w:val="0"/>
                <w:color w:val="auto"/>
                <w:u w:val="none"/>
                <w:lang w:val="en-US" w:eastAsia="zh-CN"/>
              </w:rPr>
            </w:pPr>
            <w:r>
              <w:rPr>
                <w:rFonts w:hint="eastAsia"/>
                <w:b w:val="0"/>
                <w:bCs w:val="0"/>
                <w:color w:val="auto"/>
                <w:u w:val="none"/>
                <w:lang w:val="en-US" w:eastAsia="zh-CN"/>
              </w:rPr>
              <w:t>10</w:t>
            </w:r>
          </w:p>
        </w:tc>
        <w:tc>
          <w:tcPr>
            <w:tcW w:w="1360" w:type="dxa"/>
            <w:noWrap w:val="0"/>
            <w:vAlign w:val="center"/>
          </w:tcPr>
          <w:p w14:paraId="3402712C">
            <w:pPr>
              <w:pStyle w:val="22"/>
              <w:rPr>
                <w:rFonts w:hint="default" w:eastAsia="宋体"/>
                <w:b w:val="0"/>
                <w:bCs w:val="0"/>
                <w:color w:val="auto"/>
                <w:u w:val="none"/>
                <w:lang w:val="en-US" w:eastAsia="zh-CN"/>
              </w:rPr>
            </w:pPr>
            <w:r>
              <w:rPr>
                <w:rFonts w:hint="eastAsia"/>
                <w:b w:val="0"/>
                <w:bCs w:val="0"/>
                <w:color w:val="auto"/>
                <w:u w:val="none"/>
                <w:lang w:val="en-US" w:eastAsia="zh-CN"/>
              </w:rPr>
              <w:t>0.02088</w:t>
            </w:r>
          </w:p>
        </w:tc>
        <w:tc>
          <w:tcPr>
            <w:tcW w:w="2736" w:type="dxa"/>
            <w:vMerge w:val="continue"/>
            <w:noWrap w:val="0"/>
            <w:vAlign w:val="center"/>
          </w:tcPr>
          <w:p w14:paraId="4B02C295">
            <w:pPr>
              <w:pStyle w:val="22"/>
              <w:rPr>
                <w:b w:val="0"/>
                <w:bCs w:val="0"/>
                <w:color w:val="auto"/>
                <w:u w:val="none"/>
              </w:rPr>
            </w:pPr>
          </w:p>
        </w:tc>
        <w:tc>
          <w:tcPr>
            <w:tcW w:w="2018" w:type="dxa"/>
            <w:gridSpan w:val="2"/>
            <w:vMerge w:val="continue"/>
            <w:noWrap w:val="0"/>
            <w:vAlign w:val="center"/>
          </w:tcPr>
          <w:p w14:paraId="043B1344">
            <w:pPr>
              <w:pStyle w:val="22"/>
              <w:rPr>
                <w:b w:val="0"/>
                <w:bCs w:val="0"/>
                <w:color w:val="auto"/>
                <w:u w:val="none"/>
              </w:rPr>
            </w:pPr>
          </w:p>
        </w:tc>
      </w:tr>
      <w:tr w14:paraId="523A7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20BC807C">
            <w:pPr>
              <w:pStyle w:val="22"/>
              <w:rPr>
                <w:b w:val="0"/>
                <w:bCs w:val="0"/>
                <w:color w:val="auto"/>
                <w:u w:val="none"/>
              </w:rPr>
            </w:pPr>
          </w:p>
        </w:tc>
        <w:tc>
          <w:tcPr>
            <w:tcW w:w="1594" w:type="dxa"/>
            <w:vMerge w:val="continue"/>
            <w:noWrap w:val="0"/>
            <w:vAlign w:val="center"/>
          </w:tcPr>
          <w:p w14:paraId="54A3102B">
            <w:pPr>
              <w:pStyle w:val="22"/>
              <w:rPr>
                <w:rFonts w:hint="eastAsia"/>
                <w:b w:val="0"/>
                <w:bCs w:val="0"/>
                <w:color w:val="auto"/>
                <w:u w:val="none"/>
              </w:rPr>
            </w:pPr>
          </w:p>
        </w:tc>
        <w:tc>
          <w:tcPr>
            <w:tcW w:w="1879" w:type="dxa"/>
            <w:vMerge w:val="continue"/>
            <w:noWrap w:val="0"/>
            <w:vAlign w:val="center"/>
          </w:tcPr>
          <w:p w14:paraId="710B045D">
            <w:pPr>
              <w:pStyle w:val="22"/>
              <w:rPr>
                <w:rFonts w:hint="eastAsia"/>
                <w:b w:val="0"/>
                <w:bCs w:val="0"/>
                <w:color w:val="auto"/>
                <w:u w:val="none"/>
              </w:rPr>
            </w:pPr>
          </w:p>
        </w:tc>
        <w:tc>
          <w:tcPr>
            <w:tcW w:w="1238" w:type="dxa"/>
            <w:gridSpan w:val="2"/>
            <w:vMerge w:val="continue"/>
            <w:noWrap w:val="0"/>
            <w:vAlign w:val="center"/>
          </w:tcPr>
          <w:p w14:paraId="13E47CAC">
            <w:pPr>
              <w:pStyle w:val="22"/>
              <w:rPr>
                <w:rFonts w:hint="eastAsia"/>
                <w:b w:val="0"/>
                <w:bCs w:val="0"/>
                <w:color w:val="auto"/>
                <w:u w:val="none"/>
              </w:rPr>
            </w:pPr>
          </w:p>
        </w:tc>
        <w:tc>
          <w:tcPr>
            <w:tcW w:w="1268" w:type="dxa"/>
            <w:gridSpan w:val="2"/>
            <w:noWrap w:val="0"/>
            <w:vAlign w:val="center"/>
          </w:tcPr>
          <w:p w14:paraId="003B60E5">
            <w:pPr>
              <w:pStyle w:val="22"/>
              <w:rPr>
                <w:b w:val="0"/>
                <w:bCs w:val="0"/>
                <w:color w:val="auto"/>
                <w:u w:val="none"/>
              </w:rPr>
            </w:pPr>
            <w:r>
              <w:rPr>
                <w:rFonts w:hint="eastAsia"/>
                <w:b w:val="0"/>
                <w:bCs w:val="0"/>
                <w:color w:val="auto"/>
                <w:u w:val="none"/>
              </w:rPr>
              <w:t>NH</w:t>
            </w:r>
            <w:r>
              <w:rPr>
                <w:rFonts w:hint="eastAsia"/>
                <w:b w:val="0"/>
                <w:bCs w:val="0"/>
                <w:color w:val="auto"/>
                <w:u w:val="none"/>
                <w:vertAlign w:val="subscript"/>
              </w:rPr>
              <w:t>3</w:t>
            </w:r>
            <w:r>
              <w:rPr>
                <w:rFonts w:hint="eastAsia"/>
                <w:b w:val="0"/>
                <w:bCs w:val="0"/>
                <w:color w:val="auto"/>
                <w:u w:val="none"/>
              </w:rPr>
              <w:t>-N</w:t>
            </w:r>
          </w:p>
        </w:tc>
        <w:tc>
          <w:tcPr>
            <w:tcW w:w="1303" w:type="dxa"/>
            <w:noWrap w:val="0"/>
            <w:vAlign w:val="center"/>
          </w:tcPr>
          <w:p w14:paraId="53707C04">
            <w:pPr>
              <w:pStyle w:val="22"/>
              <w:rPr>
                <w:rFonts w:hint="eastAsia" w:eastAsia="宋体"/>
                <w:b w:val="0"/>
                <w:bCs w:val="0"/>
                <w:color w:val="auto"/>
                <w:u w:val="none"/>
                <w:lang w:val="en-US" w:eastAsia="zh-CN"/>
              </w:rPr>
            </w:pPr>
            <w:r>
              <w:rPr>
                <w:rFonts w:hint="eastAsia"/>
                <w:b w:val="0"/>
                <w:bCs w:val="0"/>
                <w:color w:val="auto"/>
                <w:u w:val="none"/>
                <w:lang w:val="en-US" w:eastAsia="zh-CN"/>
              </w:rPr>
              <w:t>1.5（3）</w:t>
            </w:r>
          </w:p>
        </w:tc>
        <w:tc>
          <w:tcPr>
            <w:tcW w:w="1360" w:type="dxa"/>
            <w:noWrap w:val="0"/>
            <w:vAlign w:val="center"/>
          </w:tcPr>
          <w:p w14:paraId="72C6703F">
            <w:pPr>
              <w:pStyle w:val="22"/>
              <w:rPr>
                <w:rFonts w:hint="default" w:eastAsia="宋体"/>
                <w:b w:val="0"/>
                <w:bCs w:val="0"/>
                <w:color w:val="auto"/>
                <w:u w:val="none"/>
                <w:lang w:val="en-US" w:eastAsia="zh-CN"/>
              </w:rPr>
            </w:pPr>
            <w:r>
              <w:rPr>
                <w:rFonts w:hint="eastAsia"/>
                <w:b w:val="0"/>
                <w:bCs w:val="0"/>
                <w:color w:val="auto"/>
                <w:u w:val="none"/>
                <w:lang w:val="en-US" w:eastAsia="zh-CN"/>
              </w:rPr>
              <w:t>0.00626</w:t>
            </w:r>
          </w:p>
        </w:tc>
        <w:tc>
          <w:tcPr>
            <w:tcW w:w="2736" w:type="dxa"/>
            <w:vMerge w:val="continue"/>
            <w:noWrap w:val="0"/>
            <w:vAlign w:val="center"/>
          </w:tcPr>
          <w:p w14:paraId="7C414578">
            <w:pPr>
              <w:pStyle w:val="22"/>
              <w:rPr>
                <w:b w:val="0"/>
                <w:bCs w:val="0"/>
                <w:color w:val="auto"/>
                <w:u w:val="none"/>
              </w:rPr>
            </w:pPr>
          </w:p>
        </w:tc>
        <w:tc>
          <w:tcPr>
            <w:tcW w:w="2018" w:type="dxa"/>
            <w:gridSpan w:val="2"/>
            <w:vMerge w:val="continue"/>
            <w:noWrap w:val="0"/>
            <w:vAlign w:val="center"/>
          </w:tcPr>
          <w:p w14:paraId="53D7CF47">
            <w:pPr>
              <w:pStyle w:val="22"/>
              <w:rPr>
                <w:b w:val="0"/>
                <w:bCs w:val="0"/>
                <w:color w:val="auto"/>
                <w:u w:val="none"/>
              </w:rPr>
            </w:pPr>
          </w:p>
        </w:tc>
      </w:tr>
      <w:tr w14:paraId="64788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79829222">
            <w:pPr>
              <w:pStyle w:val="22"/>
              <w:rPr>
                <w:b w:val="0"/>
                <w:bCs w:val="0"/>
                <w:color w:val="auto"/>
                <w:u w:val="none"/>
              </w:rPr>
            </w:pPr>
          </w:p>
        </w:tc>
        <w:tc>
          <w:tcPr>
            <w:tcW w:w="1594" w:type="dxa"/>
            <w:vMerge w:val="continue"/>
            <w:noWrap w:val="0"/>
            <w:vAlign w:val="center"/>
          </w:tcPr>
          <w:p w14:paraId="6143FB10">
            <w:pPr>
              <w:pStyle w:val="22"/>
              <w:rPr>
                <w:rFonts w:hint="eastAsia"/>
                <w:b w:val="0"/>
                <w:bCs w:val="0"/>
                <w:color w:val="auto"/>
                <w:u w:val="none"/>
              </w:rPr>
            </w:pPr>
          </w:p>
        </w:tc>
        <w:tc>
          <w:tcPr>
            <w:tcW w:w="1879" w:type="dxa"/>
            <w:vMerge w:val="continue"/>
            <w:noWrap w:val="0"/>
            <w:vAlign w:val="center"/>
          </w:tcPr>
          <w:p w14:paraId="55D3F8B1">
            <w:pPr>
              <w:pStyle w:val="22"/>
              <w:rPr>
                <w:rFonts w:hint="eastAsia"/>
                <w:b w:val="0"/>
                <w:bCs w:val="0"/>
                <w:color w:val="auto"/>
                <w:u w:val="none"/>
              </w:rPr>
            </w:pPr>
          </w:p>
        </w:tc>
        <w:tc>
          <w:tcPr>
            <w:tcW w:w="1238" w:type="dxa"/>
            <w:gridSpan w:val="2"/>
            <w:vMerge w:val="continue"/>
            <w:noWrap w:val="0"/>
            <w:vAlign w:val="center"/>
          </w:tcPr>
          <w:p w14:paraId="092874C6">
            <w:pPr>
              <w:pStyle w:val="22"/>
              <w:rPr>
                <w:rFonts w:hint="eastAsia"/>
                <w:b w:val="0"/>
                <w:bCs w:val="0"/>
                <w:color w:val="auto"/>
                <w:u w:val="none"/>
              </w:rPr>
            </w:pPr>
          </w:p>
        </w:tc>
        <w:tc>
          <w:tcPr>
            <w:tcW w:w="1268" w:type="dxa"/>
            <w:gridSpan w:val="2"/>
            <w:noWrap w:val="0"/>
            <w:vAlign w:val="center"/>
          </w:tcPr>
          <w:p w14:paraId="506D6AEB">
            <w:pPr>
              <w:pStyle w:val="22"/>
              <w:rPr>
                <w:b w:val="0"/>
                <w:bCs w:val="0"/>
                <w:color w:val="auto"/>
                <w:u w:val="none"/>
              </w:rPr>
            </w:pPr>
            <w:r>
              <w:rPr>
                <w:rFonts w:hint="eastAsia"/>
                <w:b w:val="0"/>
                <w:bCs w:val="0"/>
                <w:color w:val="auto"/>
                <w:u w:val="none"/>
              </w:rPr>
              <w:t>SS</w:t>
            </w:r>
          </w:p>
        </w:tc>
        <w:tc>
          <w:tcPr>
            <w:tcW w:w="1303" w:type="dxa"/>
            <w:noWrap w:val="0"/>
            <w:vAlign w:val="center"/>
          </w:tcPr>
          <w:p w14:paraId="53B2F7AE">
            <w:pPr>
              <w:pStyle w:val="22"/>
              <w:rPr>
                <w:rFonts w:hint="default" w:eastAsia="宋体"/>
                <w:b w:val="0"/>
                <w:bCs w:val="0"/>
                <w:color w:val="auto"/>
                <w:u w:val="none"/>
                <w:lang w:val="en-US" w:eastAsia="zh-CN"/>
              </w:rPr>
            </w:pPr>
            <w:r>
              <w:rPr>
                <w:rFonts w:hint="eastAsia"/>
                <w:b w:val="0"/>
                <w:bCs w:val="0"/>
                <w:color w:val="auto"/>
                <w:u w:val="none"/>
                <w:lang w:val="en-US" w:eastAsia="zh-CN"/>
              </w:rPr>
              <w:t>10</w:t>
            </w:r>
          </w:p>
        </w:tc>
        <w:tc>
          <w:tcPr>
            <w:tcW w:w="1360" w:type="dxa"/>
            <w:noWrap w:val="0"/>
            <w:vAlign w:val="center"/>
          </w:tcPr>
          <w:p w14:paraId="5EDB115C">
            <w:pPr>
              <w:pStyle w:val="22"/>
              <w:rPr>
                <w:rFonts w:hint="default" w:eastAsia="宋体"/>
                <w:b w:val="0"/>
                <w:bCs w:val="0"/>
                <w:color w:val="auto"/>
                <w:u w:val="none"/>
                <w:lang w:val="en-US" w:eastAsia="zh-CN"/>
              </w:rPr>
            </w:pPr>
            <w:r>
              <w:rPr>
                <w:rFonts w:hint="eastAsia"/>
                <w:b w:val="0"/>
                <w:bCs w:val="0"/>
                <w:color w:val="auto"/>
                <w:u w:val="none"/>
                <w:lang w:val="en-US" w:eastAsia="zh-CN"/>
              </w:rPr>
              <w:t>0.02088</w:t>
            </w:r>
          </w:p>
        </w:tc>
        <w:tc>
          <w:tcPr>
            <w:tcW w:w="2736" w:type="dxa"/>
            <w:vMerge w:val="continue"/>
            <w:noWrap w:val="0"/>
            <w:vAlign w:val="center"/>
          </w:tcPr>
          <w:p w14:paraId="60787BCC">
            <w:pPr>
              <w:pStyle w:val="22"/>
              <w:rPr>
                <w:b w:val="0"/>
                <w:bCs w:val="0"/>
                <w:color w:val="auto"/>
                <w:u w:val="none"/>
              </w:rPr>
            </w:pPr>
          </w:p>
        </w:tc>
        <w:tc>
          <w:tcPr>
            <w:tcW w:w="2018" w:type="dxa"/>
            <w:gridSpan w:val="2"/>
            <w:vMerge w:val="continue"/>
            <w:noWrap w:val="0"/>
            <w:vAlign w:val="center"/>
          </w:tcPr>
          <w:p w14:paraId="6942C2CB">
            <w:pPr>
              <w:pStyle w:val="22"/>
              <w:rPr>
                <w:b w:val="0"/>
                <w:bCs w:val="0"/>
                <w:color w:val="auto"/>
                <w:u w:val="none"/>
              </w:rPr>
            </w:pPr>
          </w:p>
        </w:tc>
      </w:tr>
      <w:tr w14:paraId="264F4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3" w:type="dxa"/>
            <w:gridSpan w:val="12"/>
            <w:noWrap w:val="0"/>
            <w:vAlign w:val="center"/>
          </w:tcPr>
          <w:p w14:paraId="4EF165DF">
            <w:pPr>
              <w:pStyle w:val="22"/>
              <w:rPr>
                <w:b w:val="0"/>
                <w:bCs w:val="0"/>
                <w:color w:val="auto"/>
                <w:u w:val="none"/>
              </w:rPr>
            </w:pPr>
            <w:r>
              <w:rPr>
                <w:rFonts w:hint="eastAsia"/>
                <w:color w:val="auto"/>
                <w:u w:val="none"/>
              </w:rPr>
              <w:t>（3）噪声污染治理要求</w:t>
            </w:r>
          </w:p>
        </w:tc>
      </w:tr>
      <w:tr w14:paraId="782C8E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1" w:type="dxa"/>
            <w:gridSpan w:val="2"/>
            <w:noWrap w:val="0"/>
            <w:vAlign w:val="center"/>
          </w:tcPr>
          <w:p w14:paraId="4393D4D2">
            <w:pPr>
              <w:pStyle w:val="22"/>
              <w:rPr>
                <w:b w:val="0"/>
                <w:bCs w:val="0"/>
                <w:color w:val="auto"/>
                <w:u w:val="none"/>
              </w:rPr>
            </w:pPr>
            <w:r>
              <w:rPr>
                <w:rFonts w:hint="eastAsia"/>
                <w:b w:val="0"/>
                <w:bCs w:val="0"/>
                <w:color w:val="auto"/>
                <w:u w:val="none"/>
              </w:rPr>
              <w:t>类别</w:t>
            </w:r>
          </w:p>
        </w:tc>
        <w:tc>
          <w:tcPr>
            <w:tcW w:w="7048" w:type="dxa"/>
            <w:gridSpan w:val="7"/>
            <w:noWrap w:val="0"/>
            <w:vAlign w:val="center"/>
          </w:tcPr>
          <w:p w14:paraId="27942403">
            <w:pPr>
              <w:pStyle w:val="22"/>
              <w:rPr>
                <w:b w:val="0"/>
                <w:bCs w:val="0"/>
                <w:color w:val="auto"/>
                <w:u w:val="none"/>
              </w:rPr>
            </w:pPr>
            <w:r>
              <w:rPr>
                <w:rFonts w:hint="eastAsia"/>
                <w:b w:val="0"/>
                <w:bCs w:val="0"/>
                <w:color w:val="auto"/>
                <w:u w:val="none"/>
              </w:rPr>
              <w:t>建设单位拟采取的污染防治措施</w:t>
            </w:r>
          </w:p>
        </w:tc>
        <w:tc>
          <w:tcPr>
            <w:tcW w:w="4754" w:type="dxa"/>
            <w:gridSpan w:val="3"/>
            <w:noWrap w:val="0"/>
            <w:vAlign w:val="center"/>
          </w:tcPr>
          <w:p w14:paraId="70D7025A">
            <w:pPr>
              <w:pStyle w:val="22"/>
              <w:rPr>
                <w:b w:val="0"/>
                <w:bCs w:val="0"/>
                <w:color w:val="auto"/>
                <w:u w:val="none"/>
              </w:rPr>
            </w:pPr>
            <w:r>
              <w:rPr>
                <w:rFonts w:hint="eastAsia"/>
                <w:b w:val="0"/>
                <w:bCs w:val="0"/>
                <w:color w:val="auto"/>
                <w:u w:val="none"/>
              </w:rPr>
              <w:t>执行标准</w:t>
            </w:r>
          </w:p>
        </w:tc>
      </w:tr>
      <w:tr w14:paraId="732D43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1" w:type="dxa"/>
            <w:gridSpan w:val="2"/>
            <w:noWrap w:val="0"/>
            <w:vAlign w:val="center"/>
          </w:tcPr>
          <w:p w14:paraId="158CF2B5">
            <w:pPr>
              <w:pStyle w:val="22"/>
              <w:rPr>
                <w:b w:val="0"/>
                <w:bCs w:val="0"/>
                <w:color w:val="auto"/>
                <w:u w:val="none"/>
              </w:rPr>
            </w:pPr>
            <w:r>
              <w:rPr>
                <w:rFonts w:hint="eastAsia"/>
                <w:b w:val="0"/>
                <w:bCs w:val="0"/>
                <w:color w:val="auto"/>
                <w:u w:val="none"/>
              </w:rPr>
              <w:t>噪声</w:t>
            </w:r>
          </w:p>
        </w:tc>
        <w:tc>
          <w:tcPr>
            <w:tcW w:w="7048" w:type="dxa"/>
            <w:gridSpan w:val="7"/>
            <w:noWrap w:val="0"/>
            <w:vAlign w:val="center"/>
          </w:tcPr>
          <w:p w14:paraId="537B6590">
            <w:pPr>
              <w:pStyle w:val="22"/>
              <w:rPr>
                <w:b w:val="0"/>
                <w:bCs w:val="0"/>
                <w:color w:val="auto"/>
                <w:u w:val="none"/>
              </w:rPr>
            </w:pPr>
            <w:r>
              <w:rPr>
                <w:rFonts w:hint="eastAsia"/>
                <w:b w:val="0"/>
                <w:bCs w:val="0"/>
                <w:color w:val="auto"/>
                <w:u w:val="none"/>
              </w:rPr>
              <w:t>高噪声设备拟安装减震垫、隔声、车间密闭等措施</w:t>
            </w:r>
          </w:p>
        </w:tc>
        <w:tc>
          <w:tcPr>
            <w:tcW w:w="4754" w:type="dxa"/>
            <w:gridSpan w:val="3"/>
            <w:noWrap w:val="0"/>
            <w:vAlign w:val="center"/>
          </w:tcPr>
          <w:p w14:paraId="467C654D">
            <w:pPr>
              <w:pStyle w:val="22"/>
              <w:rPr>
                <w:b w:val="0"/>
                <w:bCs w:val="0"/>
                <w:color w:val="auto"/>
                <w:u w:val="none"/>
              </w:rPr>
            </w:pPr>
            <w:r>
              <w:rPr>
                <w:b w:val="0"/>
                <w:bCs w:val="0"/>
                <w:color w:val="auto"/>
                <w:u w:val="none"/>
              </w:rPr>
              <w:t>《工业企业厂界环境噪声排放标准》（GB12348-2008）中的3类标准</w:t>
            </w:r>
          </w:p>
        </w:tc>
      </w:tr>
      <w:tr w14:paraId="1670D0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3" w:type="dxa"/>
            <w:gridSpan w:val="12"/>
            <w:noWrap w:val="0"/>
            <w:vAlign w:val="center"/>
          </w:tcPr>
          <w:p w14:paraId="697D8D59">
            <w:pPr>
              <w:pStyle w:val="22"/>
              <w:rPr>
                <w:b w:val="0"/>
                <w:bCs w:val="0"/>
                <w:color w:val="auto"/>
                <w:u w:val="none"/>
              </w:rPr>
            </w:pPr>
            <w:r>
              <w:rPr>
                <w:rFonts w:hint="eastAsia"/>
                <w:color w:val="auto"/>
                <w:u w:val="none"/>
              </w:rPr>
              <w:t>（4）固废污染治理要求</w:t>
            </w:r>
          </w:p>
        </w:tc>
      </w:tr>
      <w:tr w14:paraId="765FA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1" w:type="dxa"/>
            <w:gridSpan w:val="2"/>
            <w:noWrap w:val="0"/>
            <w:vAlign w:val="center"/>
          </w:tcPr>
          <w:p w14:paraId="40B6B7BB">
            <w:pPr>
              <w:pStyle w:val="22"/>
              <w:rPr>
                <w:b w:val="0"/>
                <w:bCs w:val="0"/>
                <w:color w:val="auto"/>
                <w:u w:val="none"/>
              </w:rPr>
            </w:pPr>
            <w:r>
              <w:rPr>
                <w:rFonts w:hint="eastAsia"/>
                <w:b w:val="0"/>
                <w:bCs w:val="0"/>
                <w:color w:val="auto"/>
                <w:u w:val="none"/>
              </w:rPr>
              <w:t>固废类别</w:t>
            </w:r>
          </w:p>
        </w:tc>
        <w:tc>
          <w:tcPr>
            <w:tcW w:w="2811" w:type="dxa"/>
            <w:gridSpan w:val="2"/>
            <w:noWrap w:val="0"/>
            <w:vAlign w:val="center"/>
          </w:tcPr>
          <w:p w14:paraId="0918E926">
            <w:pPr>
              <w:pStyle w:val="22"/>
              <w:rPr>
                <w:b w:val="0"/>
                <w:bCs w:val="0"/>
                <w:color w:val="auto"/>
                <w:u w:val="none"/>
              </w:rPr>
            </w:pPr>
            <w:r>
              <w:rPr>
                <w:rFonts w:hint="eastAsia"/>
                <w:b w:val="0"/>
                <w:bCs w:val="0"/>
                <w:color w:val="auto"/>
                <w:u w:val="none"/>
              </w:rPr>
              <w:t>固废名称</w:t>
            </w:r>
          </w:p>
        </w:tc>
        <w:tc>
          <w:tcPr>
            <w:tcW w:w="1223" w:type="dxa"/>
            <w:gridSpan w:val="2"/>
            <w:noWrap w:val="0"/>
            <w:vAlign w:val="center"/>
          </w:tcPr>
          <w:p w14:paraId="3EDF8E55">
            <w:pPr>
              <w:pStyle w:val="22"/>
              <w:rPr>
                <w:b w:val="0"/>
                <w:bCs w:val="0"/>
                <w:color w:val="auto"/>
                <w:u w:val="none"/>
              </w:rPr>
            </w:pPr>
            <w:r>
              <w:rPr>
                <w:rFonts w:hint="eastAsia"/>
                <w:b w:val="0"/>
                <w:bCs w:val="0"/>
                <w:color w:val="auto"/>
                <w:u w:val="none"/>
              </w:rPr>
              <w:t>产生量t/a</w:t>
            </w:r>
          </w:p>
        </w:tc>
        <w:tc>
          <w:tcPr>
            <w:tcW w:w="3014" w:type="dxa"/>
            <w:gridSpan w:val="3"/>
            <w:noWrap w:val="0"/>
            <w:vAlign w:val="center"/>
          </w:tcPr>
          <w:p w14:paraId="04B1A2B9">
            <w:pPr>
              <w:pStyle w:val="22"/>
              <w:rPr>
                <w:b w:val="0"/>
                <w:bCs w:val="0"/>
                <w:color w:val="auto"/>
                <w:u w:val="none"/>
              </w:rPr>
            </w:pPr>
            <w:r>
              <w:rPr>
                <w:rFonts w:hint="eastAsia"/>
                <w:b w:val="0"/>
                <w:bCs w:val="0"/>
                <w:color w:val="auto"/>
                <w:u w:val="none"/>
              </w:rPr>
              <w:t>治理措施</w:t>
            </w:r>
          </w:p>
        </w:tc>
        <w:tc>
          <w:tcPr>
            <w:tcW w:w="4754" w:type="dxa"/>
            <w:gridSpan w:val="3"/>
            <w:noWrap w:val="0"/>
            <w:vAlign w:val="center"/>
          </w:tcPr>
          <w:p w14:paraId="41E557A2">
            <w:pPr>
              <w:pStyle w:val="22"/>
              <w:rPr>
                <w:b w:val="0"/>
                <w:bCs w:val="0"/>
                <w:color w:val="auto"/>
                <w:u w:val="none"/>
              </w:rPr>
            </w:pPr>
            <w:r>
              <w:rPr>
                <w:rFonts w:hint="eastAsia"/>
                <w:b w:val="0"/>
                <w:bCs w:val="0"/>
                <w:color w:val="auto"/>
                <w:u w:val="none"/>
              </w:rPr>
              <w:t>执行标准</w:t>
            </w:r>
          </w:p>
        </w:tc>
      </w:tr>
      <w:tr w14:paraId="2294C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restart"/>
            <w:noWrap w:val="0"/>
            <w:vAlign w:val="center"/>
          </w:tcPr>
          <w:p w14:paraId="625BADF5">
            <w:pPr>
              <w:pStyle w:val="22"/>
              <w:rPr>
                <w:b w:val="0"/>
                <w:bCs w:val="0"/>
                <w:color w:val="auto"/>
                <w:u w:val="none"/>
              </w:rPr>
            </w:pPr>
            <w:r>
              <w:rPr>
                <w:rFonts w:hint="eastAsia"/>
                <w:b w:val="0"/>
                <w:bCs w:val="0"/>
                <w:color w:val="auto"/>
                <w:u w:val="none"/>
              </w:rPr>
              <w:t>固废</w:t>
            </w:r>
          </w:p>
        </w:tc>
        <w:tc>
          <w:tcPr>
            <w:tcW w:w="1594" w:type="dxa"/>
            <w:vMerge w:val="restart"/>
            <w:noWrap w:val="0"/>
            <w:vAlign w:val="center"/>
          </w:tcPr>
          <w:p w14:paraId="1D3EEFA6">
            <w:pPr>
              <w:pStyle w:val="22"/>
              <w:rPr>
                <w:b w:val="0"/>
                <w:bCs w:val="0"/>
                <w:color w:val="auto"/>
                <w:u w:val="none"/>
              </w:rPr>
            </w:pPr>
            <w:r>
              <w:rPr>
                <w:rFonts w:hint="eastAsia"/>
                <w:b w:val="0"/>
                <w:bCs w:val="0"/>
                <w:color w:val="auto"/>
                <w:u w:val="none"/>
              </w:rPr>
              <w:t>一般固废</w:t>
            </w:r>
          </w:p>
        </w:tc>
        <w:tc>
          <w:tcPr>
            <w:tcW w:w="2811" w:type="dxa"/>
            <w:gridSpan w:val="2"/>
            <w:noWrap w:val="0"/>
            <w:vAlign w:val="center"/>
          </w:tcPr>
          <w:p w14:paraId="7E35710A">
            <w:pPr>
              <w:pStyle w:val="22"/>
              <w:rPr>
                <w:rFonts w:hint="default" w:eastAsia="宋体"/>
                <w:b w:val="0"/>
                <w:bCs w:val="0"/>
                <w:color w:val="auto"/>
                <w:u w:val="none"/>
                <w:lang w:val="en-US" w:eastAsia="zh-CN"/>
              </w:rPr>
            </w:pPr>
            <w:r>
              <w:rPr>
                <w:rFonts w:hint="eastAsia"/>
                <w:b w:val="0"/>
                <w:bCs w:val="0"/>
                <w:color w:val="auto"/>
                <w:u w:val="none"/>
                <w:lang w:val="en-US" w:eastAsia="zh-CN"/>
              </w:rPr>
              <w:t>除尘系统收集的粉尘</w:t>
            </w:r>
          </w:p>
        </w:tc>
        <w:tc>
          <w:tcPr>
            <w:tcW w:w="1223" w:type="dxa"/>
            <w:gridSpan w:val="2"/>
            <w:noWrap w:val="0"/>
            <w:vAlign w:val="center"/>
          </w:tcPr>
          <w:p w14:paraId="421440B2">
            <w:pPr>
              <w:pStyle w:val="22"/>
              <w:rPr>
                <w:rFonts w:hint="default" w:eastAsia="宋体"/>
                <w:b w:val="0"/>
                <w:bCs w:val="0"/>
                <w:color w:val="auto"/>
                <w:u w:val="none"/>
                <w:lang w:val="en-US" w:eastAsia="zh-CN"/>
              </w:rPr>
            </w:pPr>
            <w:r>
              <w:rPr>
                <w:rFonts w:hint="eastAsia"/>
                <w:b w:val="0"/>
                <w:bCs w:val="0"/>
                <w:color w:val="auto"/>
                <w:u w:val="none"/>
                <w:lang w:val="en-US" w:eastAsia="zh-CN"/>
              </w:rPr>
              <w:t>9.248</w:t>
            </w:r>
          </w:p>
        </w:tc>
        <w:tc>
          <w:tcPr>
            <w:tcW w:w="3014" w:type="dxa"/>
            <w:gridSpan w:val="3"/>
            <w:vMerge w:val="restart"/>
            <w:noWrap w:val="0"/>
            <w:vAlign w:val="center"/>
          </w:tcPr>
          <w:p w14:paraId="2F2544D8">
            <w:pPr>
              <w:pStyle w:val="22"/>
              <w:rPr>
                <w:rFonts w:hint="default" w:eastAsia="宋体"/>
                <w:b w:val="0"/>
                <w:bCs w:val="0"/>
                <w:color w:val="auto"/>
                <w:u w:val="none"/>
                <w:lang w:val="en-US" w:eastAsia="zh-CN"/>
              </w:rPr>
            </w:pPr>
            <w:r>
              <w:rPr>
                <w:rFonts w:hint="eastAsia"/>
                <w:b w:val="0"/>
                <w:bCs w:val="0"/>
                <w:color w:val="auto"/>
                <w:u w:val="none"/>
                <w:lang w:val="en-US" w:eastAsia="zh-CN"/>
              </w:rPr>
              <w:t>回用于生产</w:t>
            </w:r>
          </w:p>
        </w:tc>
        <w:tc>
          <w:tcPr>
            <w:tcW w:w="4754" w:type="dxa"/>
            <w:gridSpan w:val="3"/>
            <w:vMerge w:val="restart"/>
            <w:noWrap w:val="0"/>
            <w:vAlign w:val="center"/>
          </w:tcPr>
          <w:p w14:paraId="73A92A55">
            <w:pPr>
              <w:pStyle w:val="22"/>
              <w:rPr>
                <w:b w:val="0"/>
                <w:bCs w:val="0"/>
                <w:color w:val="auto"/>
                <w:u w:val="none"/>
              </w:rPr>
            </w:pPr>
            <w:r>
              <w:rPr>
                <w:b w:val="0"/>
                <w:bCs w:val="0"/>
                <w:color w:val="auto"/>
                <w:u w:val="none"/>
              </w:rPr>
              <w:t>《一般工业固体废物贮存和填埋场污染控制标准》（GB18599-2020）要求</w:t>
            </w:r>
          </w:p>
        </w:tc>
      </w:tr>
      <w:tr w14:paraId="6269B6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0F4551B9">
            <w:pPr>
              <w:pStyle w:val="22"/>
              <w:rPr>
                <w:rFonts w:hint="eastAsia"/>
                <w:b w:val="0"/>
                <w:bCs w:val="0"/>
                <w:color w:val="auto"/>
                <w:u w:val="none"/>
              </w:rPr>
            </w:pPr>
          </w:p>
        </w:tc>
        <w:tc>
          <w:tcPr>
            <w:tcW w:w="1594" w:type="dxa"/>
            <w:vMerge w:val="continue"/>
            <w:noWrap w:val="0"/>
            <w:vAlign w:val="center"/>
          </w:tcPr>
          <w:p w14:paraId="645BBFAB">
            <w:pPr>
              <w:pStyle w:val="22"/>
              <w:rPr>
                <w:b w:val="0"/>
                <w:bCs w:val="0"/>
                <w:color w:val="auto"/>
                <w:u w:val="none"/>
              </w:rPr>
            </w:pPr>
          </w:p>
        </w:tc>
        <w:tc>
          <w:tcPr>
            <w:tcW w:w="2811" w:type="dxa"/>
            <w:gridSpan w:val="2"/>
            <w:noWrap w:val="0"/>
            <w:vAlign w:val="center"/>
          </w:tcPr>
          <w:p w14:paraId="0C098256">
            <w:pPr>
              <w:pStyle w:val="22"/>
              <w:rPr>
                <w:rFonts w:hint="eastAsia" w:eastAsia="宋体"/>
                <w:b w:val="0"/>
                <w:bCs w:val="0"/>
                <w:color w:val="auto"/>
                <w:u w:val="none"/>
                <w:lang w:val="en-US" w:eastAsia="zh-CN"/>
              </w:rPr>
            </w:pPr>
            <w:r>
              <w:rPr>
                <w:rFonts w:hint="eastAsia"/>
                <w:b w:val="0"/>
                <w:bCs w:val="0"/>
                <w:color w:val="auto"/>
                <w:u w:val="none"/>
                <w:lang w:val="en-US" w:eastAsia="zh-CN"/>
              </w:rPr>
              <w:t>废膜</w:t>
            </w:r>
          </w:p>
        </w:tc>
        <w:tc>
          <w:tcPr>
            <w:tcW w:w="1223" w:type="dxa"/>
            <w:gridSpan w:val="2"/>
            <w:noWrap w:val="0"/>
            <w:vAlign w:val="center"/>
          </w:tcPr>
          <w:p w14:paraId="7683A04D">
            <w:pPr>
              <w:pStyle w:val="22"/>
              <w:rPr>
                <w:rFonts w:hint="default" w:eastAsia="宋体"/>
                <w:b w:val="0"/>
                <w:bCs w:val="0"/>
                <w:color w:val="auto"/>
                <w:u w:val="none"/>
                <w:lang w:val="en-US" w:eastAsia="zh-CN"/>
              </w:rPr>
            </w:pPr>
            <w:r>
              <w:rPr>
                <w:rFonts w:hint="eastAsia"/>
                <w:b w:val="0"/>
                <w:bCs w:val="0"/>
                <w:color w:val="auto"/>
                <w:u w:val="none"/>
                <w:lang w:val="en-US" w:eastAsia="zh-CN"/>
              </w:rPr>
              <w:t>11</w:t>
            </w:r>
          </w:p>
        </w:tc>
        <w:tc>
          <w:tcPr>
            <w:tcW w:w="3014" w:type="dxa"/>
            <w:gridSpan w:val="3"/>
            <w:vMerge w:val="continue"/>
            <w:noWrap w:val="0"/>
            <w:vAlign w:val="center"/>
          </w:tcPr>
          <w:p w14:paraId="742396C0">
            <w:pPr>
              <w:pStyle w:val="22"/>
              <w:rPr>
                <w:rFonts w:hint="eastAsia"/>
                <w:b w:val="0"/>
                <w:bCs w:val="0"/>
                <w:color w:val="auto"/>
                <w:u w:val="none"/>
              </w:rPr>
            </w:pPr>
          </w:p>
        </w:tc>
        <w:tc>
          <w:tcPr>
            <w:tcW w:w="4754" w:type="dxa"/>
            <w:gridSpan w:val="3"/>
            <w:vMerge w:val="continue"/>
            <w:noWrap w:val="0"/>
            <w:vAlign w:val="center"/>
          </w:tcPr>
          <w:p w14:paraId="7F3927F0">
            <w:pPr>
              <w:pStyle w:val="22"/>
              <w:rPr>
                <w:b w:val="0"/>
                <w:bCs w:val="0"/>
                <w:color w:val="auto"/>
                <w:u w:val="none"/>
              </w:rPr>
            </w:pPr>
          </w:p>
        </w:tc>
      </w:tr>
      <w:tr w14:paraId="348643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69E8DD92">
            <w:pPr>
              <w:pStyle w:val="22"/>
              <w:rPr>
                <w:rFonts w:hint="eastAsia"/>
                <w:b w:val="0"/>
                <w:bCs w:val="0"/>
                <w:color w:val="auto"/>
                <w:u w:val="none"/>
              </w:rPr>
            </w:pPr>
          </w:p>
        </w:tc>
        <w:tc>
          <w:tcPr>
            <w:tcW w:w="1594" w:type="dxa"/>
            <w:vMerge w:val="continue"/>
            <w:noWrap w:val="0"/>
            <w:vAlign w:val="center"/>
          </w:tcPr>
          <w:p w14:paraId="22B34A6D">
            <w:pPr>
              <w:pStyle w:val="22"/>
              <w:rPr>
                <w:b w:val="0"/>
                <w:bCs w:val="0"/>
                <w:color w:val="auto"/>
                <w:u w:val="none"/>
              </w:rPr>
            </w:pPr>
          </w:p>
        </w:tc>
        <w:tc>
          <w:tcPr>
            <w:tcW w:w="2811" w:type="dxa"/>
            <w:gridSpan w:val="2"/>
            <w:noWrap w:val="0"/>
            <w:vAlign w:val="center"/>
          </w:tcPr>
          <w:p w14:paraId="7427AA87">
            <w:pPr>
              <w:pStyle w:val="22"/>
              <w:rPr>
                <w:rFonts w:hint="default" w:eastAsia="宋体"/>
                <w:b w:val="0"/>
                <w:bCs w:val="0"/>
                <w:color w:val="auto"/>
                <w:u w:val="none"/>
                <w:lang w:val="en-US" w:eastAsia="zh-CN"/>
              </w:rPr>
            </w:pPr>
            <w:r>
              <w:rPr>
                <w:rFonts w:hint="eastAsia"/>
                <w:b w:val="0"/>
                <w:bCs w:val="0"/>
                <w:color w:val="auto"/>
                <w:u w:val="none"/>
                <w:lang w:val="en-US" w:eastAsia="zh-CN"/>
              </w:rPr>
              <w:t>不合格品及边角料</w:t>
            </w:r>
          </w:p>
        </w:tc>
        <w:tc>
          <w:tcPr>
            <w:tcW w:w="1223" w:type="dxa"/>
            <w:gridSpan w:val="2"/>
            <w:noWrap w:val="0"/>
            <w:vAlign w:val="center"/>
          </w:tcPr>
          <w:p w14:paraId="0651C422">
            <w:pPr>
              <w:pStyle w:val="22"/>
              <w:rPr>
                <w:rFonts w:hint="default" w:eastAsia="宋体"/>
                <w:b w:val="0"/>
                <w:bCs w:val="0"/>
                <w:color w:val="auto"/>
                <w:u w:val="none"/>
                <w:lang w:val="en-US" w:eastAsia="zh-CN"/>
              </w:rPr>
            </w:pPr>
            <w:r>
              <w:rPr>
                <w:rFonts w:hint="eastAsia"/>
                <w:b w:val="0"/>
                <w:bCs w:val="0"/>
                <w:color w:val="auto"/>
                <w:u w:val="none"/>
                <w:lang w:val="en-US" w:eastAsia="zh-CN"/>
              </w:rPr>
              <w:t>1550</w:t>
            </w:r>
          </w:p>
        </w:tc>
        <w:tc>
          <w:tcPr>
            <w:tcW w:w="3014" w:type="dxa"/>
            <w:gridSpan w:val="3"/>
            <w:vMerge w:val="continue"/>
            <w:noWrap w:val="0"/>
            <w:vAlign w:val="center"/>
          </w:tcPr>
          <w:p w14:paraId="0064912D">
            <w:pPr>
              <w:pStyle w:val="22"/>
              <w:rPr>
                <w:rFonts w:hint="eastAsia"/>
                <w:b w:val="0"/>
                <w:bCs w:val="0"/>
                <w:color w:val="auto"/>
                <w:u w:val="none"/>
              </w:rPr>
            </w:pPr>
          </w:p>
        </w:tc>
        <w:tc>
          <w:tcPr>
            <w:tcW w:w="4754" w:type="dxa"/>
            <w:gridSpan w:val="3"/>
            <w:vMerge w:val="continue"/>
            <w:noWrap w:val="0"/>
            <w:vAlign w:val="center"/>
          </w:tcPr>
          <w:p w14:paraId="29B6CCDA">
            <w:pPr>
              <w:pStyle w:val="22"/>
              <w:rPr>
                <w:b w:val="0"/>
                <w:bCs w:val="0"/>
                <w:color w:val="auto"/>
                <w:u w:val="none"/>
              </w:rPr>
            </w:pPr>
          </w:p>
        </w:tc>
      </w:tr>
      <w:tr w14:paraId="18B27D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76322EB6">
            <w:pPr>
              <w:pStyle w:val="22"/>
              <w:rPr>
                <w:rFonts w:hint="eastAsia"/>
                <w:b w:val="0"/>
                <w:bCs w:val="0"/>
                <w:color w:val="auto"/>
                <w:u w:val="none"/>
              </w:rPr>
            </w:pPr>
          </w:p>
        </w:tc>
        <w:tc>
          <w:tcPr>
            <w:tcW w:w="1594" w:type="dxa"/>
            <w:vMerge w:val="continue"/>
            <w:noWrap w:val="0"/>
            <w:vAlign w:val="center"/>
          </w:tcPr>
          <w:p w14:paraId="10D22050">
            <w:pPr>
              <w:pStyle w:val="22"/>
              <w:rPr>
                <w:b w:val="0"/>
                <w:bCs w:val="0"/>
                <w:color w:val="auto"/>
                <w:u w:val="none"/>
              </w:rPr>
            </w:pPr>
          </w:p>
        </w:tc>
        <w:tc>
          <w:tcPr>
            <w:tcW w:w="2811" w:type="dxa"/>
            <w:gridSpan w:val="2"/>
            <w:noWrap w:val="0"/>
            <w:vAlign w:val="center"/>
          </w:tcPr>
          <w:p w14:paraId="76682B4C">
            <w:pPr>
              <w:pStyle w:val="22"/>
              <w:rPr>
                <w:rFonts w:hint="default" w:eastAsia="宋体"/>
                <w:b w:val="0"/>
                <w:bCs w:val="0"/>
                <w:color w:val="auto"/>
                <w:u w:val="none"/>
                <w:lang w:val="en-US" w:eastAsia="zh-CN"/>
              </w:rPr>
            </w:pPr>
            <w:r>
              <w:rPr>
                <w:rFonts w:hint="eastAsia"/>
                <w:b w:val="0"/>
                <w:bCs w:val="0"/>
                <w:color w:val="auto"/>
                <w:u w:val="none"/>
                <w:lang w:val="en-US" w:eastAsia="zh-CN"/>
              </w:rPr>
              <w:t>循环沉淀池沉渣</w:t>
            </w:r>
          </w:p>
        </w:tc>
        <w:tc>
          <w:tcPr>
            <w:tcW w:w="1223" w:type="dxa"/>
            <w:gridSpan w:val="2"/>
            <w:noWrap w:val="0"/>
            <w:vAlign w:val="center"/>
          </w:tcPr>
          <w:p w14:paraId="432B03EE">
            <w:pPr>
              <w:pStyle w:val="22"/>
              <w:rPr>
                <w:rFonts w:hint="default" w:eastAsia="宋体"/>
                <w:b w:val="0"/>
                <w:bCs w:val="0"/>
                <w:color w:val="auto"/>
                <w:u w:val="none"/>
                <w:lang w:val="en-US" w:eastAsia="zh-CN"/>
              </w:rPr>
            </w:pPr>
            <w:r>
              <w:rPr>
                <w:rFonts w:hint="eastAsia"/>
                <w:b w:val="0"/>
                <w:bCs w:val="0"/>
                <w:color w:val="auto"/>
                <w:u w:val="none"/>
                <w:lang w:val="en-US" w:eastAsia="zh-CN"/>
              </w:rPr>
              <w:t>0.05</w:t>
            </w:r>
          </w:p>
        </w:tc>
        <w:tc>
          <w:tcPr>
            <w:tcW w:w="3014" w:type="dxa"/>
            <w:gridSpan w:val="3"/>
            <w:noWrap w:val="0"/>
            <w:vAlign w:val="center"/>
          </w:tcPr>
          <w:p w14:paraId="084449F4">
            <w:pPr>
              <w:pStyle w:val="22"/>
              <w:rPr>
                <w:rFonts w:hint="default" w:eastAsia="宋体"/>
                <w:b w:val="0"/>
                <w:bCs w:val="0"/>
                <w:color w:val="auto"/>
                <w:u w:val="none"/>
                <w:lang w:val="en-US" w:eastAsia="zh-CN"/>
              </w:rPr>
            </w:pPr>
            <w:r>
              <w:rPr>
                <w:rFonts w:hint="eastAsia"/>
                <w:b w:val="0"/>
                <w:bCs w:val="0"/>
                <w:color w:val="auto"/>
                <w:u w:val="none"/>
                <w:lang w:val="en-US" w:eastAsia="zh-CN"/>
              </w:rPr>
              <w:t>外售综合利用</w:t>
            </w:r>
          </w:p>
        </w:tc>
        <w:tc>
          <w:tcPr>
            <w:tcW w:w="4754" w:type="dxa"/>
            <w:gridSpan w:val="3"/>
            <w:vMerge w:val="continue"/>
            <w:noWrap w:val="0"/>
            <w:vAlign w:val="center"/>
          </w:tcPr>
          <w:p w14:paraId="7353B584">
            <w:pPr>
              <w:pStyle w:val="22"/>
              <w:rPr>
                <w:b w:val="0"/>
                <w:bCs w:val="0"/>
                <w:color w:val="auto"/>
                <w:u w:val="none"/>
              </w:rPr>
            </w:pPr>
          </w:p>
        </w:tc>
      </w:tr>
      <w:tr w14:paraId="40B45D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1DA033CB">
            <w:pPr>
              <w:pStyle w:val="22"/>
              <w:rPr>
                <w:rFonts w:hint="eastAsia"/>
                <w:b w:val="0"/>
                <w:bCs w:val="0"/>
                <w:color w:val="auto"/>
                <w:u w:val="none"/>
              </w:rPr>
            </w:pPr>
          </w:p>
        </w:tc>
        <w:tc>
          <w:tcPr>
            <w:tcW w:w="1594" w:type="dxa"/>
            <w:vMerge w:val="continue"/>
            <w:noWrap w:val="0"/>
            <w:vAlign w:val="center"/>
          </w:tcPr>
          <w:p w14:paraId="145B9D2A">
            <w:pPr>
              <w:pStyle w:val="22"/>
              <w:rPr>
                <w:b w:val="0"/>
                <w:bCs w:val="0"/>
                <w:color w:val="auto"/>
                <w:u w:val="none"/>
              </w:rPr>
            </w:pPr>
          </w:p>
        </w:tc>
        <w:tc>
          <w:tcPr>
            <w:tcW w:w="2811" w:type="dxa"/>
            <w:gridSpan w:val="2"/>
            <w:noWrap w:val="0"/>
            <w:vAlign w:val="center"/>
          </w:tcPr>
          <w:p w14:paraId="3F260894">
            <w:pPr>
              <w:pStyle w:val="22"/>
              <w:rPr>
                <w:rFonts w:hint="default" w:eastAsia="宋体"/>
                <w:b w:val="0"/>
                <w:bCs w:val="0"/>
                <w:color w:val="auto"/>
                <w:u w:val="none"/>
                <w:lang w:val="en-US" w:eastAsia="zh-CN"/>
              </w:rPr>
            </w:pPr>
            <w:r>
              <w:rPr>
                <w:rFonts w:hint="eastAsia"/>
                <w:b w:val="0"/>
                <w:bCs w:val="0"/>
                <w:color w:val="auto"/>
                <w:u w:val="none"/>
                <w:lang w:val="en-US" w:eastAsia="zh-CN"/>
              </w:rPr>
              <w:t>一般性废包装材料</w:t>
            </w:r>
          </w:p>
        </w:tc>
        <w:tc>
          <w:tcPr>
            <w:tcW w:w="1223" w:type="dxa"/>
            <w:gridSpan w:val="2"/>
            <w:noWrap w:val="0"/>
            <w:vAlign w:val="center"/>
          </w:tcPr>
          <w:p w14:paraId="5BB14839">
            <w:pPr>
              <w:pStyle w:val="22"/>
              <w:rPr>
                <w:rFonts w:hint="eastAsia" w:eastAsia="宋体"/>
                <w:b w:val="0"/>
                <w:bCs w:val="0"/>
                <w:color w:val="auto"/>
                <w:u w:val="none"/>
                <w:lang w:val="en-US" w:eastAsia="zh-CN"/>
              </w:rPr>
            </w:pPr>
            <w:r>
              <w:rPr>
                <w:rFonts w:hint="eastAsia"/>
                <w:b w:val="0"/>
                <w:bCs w:val="0"/>
                <w:color w:val="auto"/>
                <w:u w:val="none"/>
                <w:lang w:val="en-US" w:eastAsia="zh-CN"/>
              </w:rPr>
              <w:t>5</w:t>
            </w:r>
          </w:p>
        </w:tc>
        <w:tc>
          <w:tcPr>
            <w:tcW w:w="3014" w:type="dxa"/>
            <w:gridSpan w:val="3"/>
            <w:noWrap w:val="0"/>
            <w:vAlign w:val="center"/>
          </w:tcPr>
          <w:p w14:paraId="1CEE131E">
            <w:pPr>
              <w:pStyle w:val="24"/>
              <w:bidi w:val="0"/>
              <w:rPr>
                <w:b w:val="0"/>
                <w:bCs w:val="0"/>
                <w:color w:val="auto"/>
                <w:u w:val="none"/>
              </w:rPr>
            </w:pPr>
            <w:r>
              <w:rPr>
                <w:rFonts w:hint="default" w:ascii="Times New Roman" w:hAnsi="Times New Roman" w:cs="Times New Roman"/>
                <w:color w:val="auto"/>
                <w:u w:val="none" w:color="auto"/>
                <w:lang w:val="en-US" w:eastAsia="zh-CN"/>
              </w:rPr>
              <w:t>其他包装材料收集后外售综合利用、水性胶粘剂包装桶收集后由</w:t>
            </w:r>
            <w:r>
              <w:rPr>
                <w:rFonts w:hint="eastAsia" w:ascii="Times New Roman" w:hAnsi="Times New Roman" w:cs="Times New Roman"/>
                <w:color w:val="auto"/>
                <w:u w:val="none" w:color="auto"/>
                <w:lang w:val="en-US" w:eastAsia="zh-CN"/>
              </w:rPr>
              <w:t>厂</w:t>
            </w:r>
            <w:r>
              <w:rPr>
                <w:rFonts w:hint="default" w:ascii="Times New Roman" w:hAnsi="Times New Roman" w:cs="Times New Roman"/>
                <w:color w:val="auto"/>
                <w:u w:val="none" w:color="auto"/>
                <w:lang w:val="en-US" w:eastAsia="zh-CN"/>
              </w:rPr>
              <w:t>家回收利用</w:t>
            </w:r>
          </w:p>
        </w:tc>
        <w:tc>
          <w:tcPr>
            <w:tcW w:w="4754" w:type="dxa"/>
            <w:gridSpan w:val="3"/>
            <w:vMerge w:val="continue"/>
            <w:noWrap w:val="0"/>
            <w:vAlign w:val="center"/>
          </w:tcPr>
          <w:p w14:paraId="21418884">
            <w:pPr>
              <w:pStyle w:val="22"/>
              <w:rPr>
                <w:b w:val="0"/>
                <w:bCs w:val="0"/>
                <w:color w:val="auto"/>
                <w:u w:val="none"/>
              </w:rPr>
            </w:pPr>
          </w:p>
        </w:tc>
      </w:tr>
      <w:tr w14:paraId="4DAB1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35F16922">
            <w:pPr>
              <w:pStyle w:val="22"/>
              <w:rPr>
                <w:rFonts w:hint="eastAsia"/>
                <w:b w:val="0"/>
                <w:bCs w:val="0"/>
                <w:color w:val="auto"/>
                <w:u w:val="none"/>
              </w:rPr>
            </w:pPr>
          </w:p>
        </w:tc>
        <w:tc>
          <w:tcPr>
            <w:tcW w:w="1594" w:type="dxa"/>
            <w:vMerge w:val="restart"/>
            <w:noWrap w:val="0"/>
            <w:vAlign w:val="center"/>
          </w:tcPr>
          <w:p w14:paraId="6AA5C186">
            <w:pPr>
              <w:pStyle w:val="22"/>
              <w:rPr>
                <w:rFonts w:hint="eastAsia" w:eastAsia="宋体"/>
                <w:b w:val="0"/>
                <w:bCs w:val="0"/>
                <w:color w:val="auto"/>
                <w:u w:val="none"/>
                <w:lang w:eastAsia="zh-CN"/>
              </w:rPr>
            </w:pPr>
            <w:r>
              <w:rPr>
                <w:rFonts w:hint="eastAsia"/>
                <w:b w:val="0"/>
                <w:bCs w:val="0"/>
                <w:color w:val="auto"/>
                <w:u w:val="none"/>
                <w:lang w:eastAsia="zh-CN"/>
              </w:rPr>
              <w:t>危险废物</w:t>
            </w:r>
          </w:p>
        </w:tc>
        <w:tc>
          <w:tcPr>
            <w:tcW w:w="2811" w:type="dxa"/>
            <w:gridSpan w:val="2"/>
            <w:noWrap w:val="0"/>
            <w:vAlign w:val="center"/>
          </w:tcPr>
          <w:p w14:paraId="652D4359">
            <w:pPr>
              <w:pStyle w:val="22"/>
              <w:rPr>
                <w:rFonts w:hint="default" w:eastAsia="宋体"/>
                <w:b w:val="0"/>
                <w:bCs w:val="0"/>
                <w:color w:val="auto"/>
                <w:u w:val="none"/>
                <w:lang w:val="en-US" w:eastAsia="zh-CN"/>
              </w:rPr>
            </w:pPr>
            <w:r>
              <w:rPr>
                <w:rFonts w:hint="eastAsia"/>
                <w:b w:val="0"/>
                <w:bCs w:val="0"/>
                <w:color w:val="auto"/>
                <w:u w:val="none"/>
                <w:lang w:val="en-US" w:eastAsia="zh-CN"/>
              </w:rPr>
              <w:t>废矿物油</w:t>
            </w:r>
          </w:p>
        </w:tc>
        <w:tc>
          <w:tcPr>
            <w:tcW w:w="1223" w:type="dxa"/>
            <w:gridSpan w:val="2"/>
            <w:noWrap w:val="0"/>
            <w:vAlign w:val="center"/>
          </w:tcPr>
          <w:p w14:paraId="27AEBE6C">
            <w:pPr>
              <w:pStyle w:val="22"/>
              <w:rPr>
                <w:rFonts w:hint="default" w:eastAsia="宋体"/>
                <w:b w:val="0"/>
                <w:bCs w:val="0"/>
                <w:color w:val="auto"/>
                <w:u w:val="none"/>
                <w:lang w:val="en-US" w:eastAsia="zh-CN"/>
              </w:rPr>
            </w:pPr>
            <w:r>
              <w:rPr>
                <w:rFonts w:hint="eastAsia"/>
                <w:b w:val="0"/>
                <w:bCs w:val="0"/>
                <w:color w:val="auto"/>
                <w:u w:val="none"/>
                <w:lang w:val="en-US" w:eastAsia="zh-CN"/>
              </w:rPr>
              <w:t>0.1</w:t>
            </w:r>
          </w:p>
        </w:tc>
        <w:tc>
          <w:tcPr>
            <w:tcW w:w="3014" w:type="dxa"/>
            <w:gridSpan w:val="3"/>
            <w:vMerge w:val="restart"/>
            <w:noWrap w:val="0"/>
            <w:vAlign w:val="center"/>
          </w:tcPr>
          <w:p w14:paraId="53CC3A16">
            <w:pPr>
              <w:pStyle w:val="22"/>
              <w:rPr>
                <w:b w:val="0"/>
                <w:bCs w:val="0"/>
                <w:color w:val="auto"/>
                <w:u w:val="none"/>
              </w:rPr>
            </w:pPr>
            <w:r>
              <w:rPr>
                <w:rFonts w:hint="eastAsia"/>
                <w:b w:val="0"/>
                <w:bCs w:val="0"/>
                <w:color w:val="auto"/>
                <w:u w:val="none"/>
              </w:rPr>
              <w:t>委托有资质单位进行处置</w:t>
            </w:r>
          </w:p>
        </w:tc>
        <w:tc>
          <w:tcPr>
            <w:tcW w:w="4754" w:type="dxa"/>
            <w:gridSpan w:val="3"/>
            <w:vMerge w:val="restart"/>
            <w:noWrap w:val="0"/>
            <w:vAlign w:val="center"/>
          </w:tcPr>
          <w:p w14:paraId="565FD069">
            <w:pPr>
              <w:pStyle w:val="22"/>
              <w:rPr>
                <w:b w:val="0"/>
                <w:bCs w:val="0"/>
                <w:color w:val="auto"/>
                <w:u w:val="none"/>
              </w:rPr>
            </w:pPr>
            <w:r>
              <w:rPr>
                <w:rFonts w:hint="eastAsia"/>
                <w:b w:val="0"/>
                <w:bCs w:val="0"/>
                <w:color w:val="auto"/>
                <w:u w:val="none"/>
              </w:rPr>
              <w:t>《危险废物贮存污染控制标准》（GB18597-2023）</w:t>
            </w:r>
          </w:p>
        </w:tc>
      </w:tr>
      <w:tr w14:paraId="104D3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270D2980">
            <w:pPr>
              <w:pStyle w:val="22"/>
              <w:rPr>
                <w:rFonts w:hint="eastAsia"/>
                <w:b w:val="0"/>
                <w:bCs w:val="0"/>
                <w:color w:val="auto"/>
                <w:u w:val="none"/>
              </w:rPr>
            </w:pPr>
          </w:p>
        </w:tc>
        <w:tc>
          <w:tcPr>
            <w:tcW w:w="1594" w:type="dxa"/>
            <w:vMerge w:val="continue"/>
            <w:noWrap w:val="0"/>
            <w:vAlign w:val="center"/>
          </w:tcPr>
          <w:p w14:paraId="6C82B329">
            <w:pPr>
              <w:pStyle w:val="22"/>
              <w:rPr>
                <w:rFonts w:hint="eastAsia"/>
                <w:b w:val="0"/>
                <w:bCs w:val="0"/>
                <w:color w:val="auto"/>
                <w:u w:val="none"/>
              </w:rPr>
            </w:pPr>
          </w:p>
        </w:tc>
        <w:tc>
          <w:tcPr>
            <w:tcW w:w="2811" w:type="dxa"/>
            <w:gridSpan w:val="2"/>
            <w:noWrap w:val="0"/>
            <w:vAlign w:val="center"/>
          </w:tcPr>
          <w:p w14:paraId="3EB6E8E7">
            <w:pPr>
              <w:pStyle w:val="22"/>
              <w:rPr>
                <w:rFonts w:hint="default" w:eastAsia="宋体"/>
                <w:b w:val="0"/>
                <w:bCs w:val="0"/>
                <w:color w:val="auto"/>
                <w:u w:val="none"/>
                <w:lang w:val="en-US" w:eastAsia="zh-CN"/>
              </w:rPr>
            </w:pPr>
            <w:r>
              <w:rPr>
                <w:rFonts w:hint="eastAsia"/>
                <w:b w:val="0"/>
                <w:bCs w:val="0"/>
                <w:color w:val="auto"/>
                <w:u w:val="none"/>
                <w:lang w:val="en-US" w:eastAsia="zh-CN"/>
              </w:rPr>
              <w:t>废活性炭</w:t>
            </w:r>
          </w:p>
        </w:tc>
        <w:tc>
          <w:tcPr>
            <w:tcW w:w="1223" w:type="dxa"/>
            <w:gridSpan w:val="2"/>
            <w:noWrap w:val="0"/>
            <w:vAlign w:val="center"/>
          </w:tcPr>
          <w:p w14:paraId="259EB0B7">
            <w:pPr>
              <w:pStyle w:val="22"/>
              <w:rPr>
                <w:rFonts w:hint="default" w:eastAsia="宋体"/>
                <w:b w:val="0"/>
                <w:bCs w:val="0"/>
                <w:color w:val="auto"/>
                <w:u w:val="none"/>
                <w:lang w:val="en-US" w:eastAsia="zh-CN"/>
              </w:rPr>
            </w:pPr>
            <w:r>
              <w:rPr>
                <w:rFonts w:hint="eastAsia"/>
                <w:b w:val="0"/>
                <w:bCs w:val="0"/>
                <w:color w:val="auto"/>
                <w:u w:val="none"/>
                <w:lang w:val="en-US" w:eastAsia="zh-CN"/>
              </w:rPr>
              <w:t>17.16</w:t>
            </w:r>
          </w:p>
        </w:tc>
        <w:tc>
          <w:tcPr>
            <w:tcW w:w="3014" w:type="dxa"/>
            <w:gridSpan w:val="3"/>
            <w:vMerge w:val="continue"/>
            <w:noWrap w:val="0"/>
            <w:vAlign w:val="center"/>
          </w:tcPr>
          <w:p w14:paraId="4DED8268">
            <w:pPr>
              <w:pStyle w:val="22"/>
              <w:rPr>
                <w:rFonts w:hint="eastAsia"/>
                <w:b w:val="0"/>
                <w:bCs w:val="0"/>
                <w:color w:val="auto"/>
                <w:u w:val="none"/>
              </w:rPr>
            </w:pPr>
          </w:p>
        </w:tc>
        <w:tc>
          <w:tcPr>
            <w:tcW w:w="4754" w:type="dxa"/>
            <w:gridSpan w:val="3"/>
            <w:vMerge w:val="continue"/>
            <w:noWrap w:val="0"/>
            <w:vAlign w:val="center"/>
          </w:tcPr>
          <w:p w14:paraId="6A864FAD">
            <w:pPr>
              <w:pStyle w:val="22"/>
              <w:rPr>
                <w:b w:val="0"/>
                <w:bCs w:val="0"/>
                <w:color w:val="auto"/>
                <w:u w:val="none"/>
              </w:rPr>
            </w:pPr>
          </w:p>
        </w:tc>
      </w:tr>
      <w:tr w14:paraId="0653B0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49DE10EA">
            <w:pPr>
              <w:pStyle w:val="22"/>
              <w:rPr>
                <w:rFonts w:hint="eastAsia"/>
                <w:b w:val="0"/>
                <w:bCs w:val="0"/>
                <w:color w:val="auto"/>
                <w:u w:val="none"/>
              </w:rPr>
            </w:pPr>
          </w:p>
        </w:tc>
        <w:tc>
          <w:tcPr>
            <w:tcW w:w="1594" w:type="dxa"/>
            <w:vMerge w:val="continue"/>
            <w:noWrap w:val="0"/>
            <w:vAlign w:val="center"/>
          </w:tcPr>
          <w:p w14:paraId="4CCF7173">
            <w:pPr>
              <w:pStyle w:val="22"/>
              <w:rPr>
                <w:rFonts w:hint="eastAsia"/>
                <w:b w:val="0"/>
                <w:bCs w:val="0"/>
                <w:color w:val="auto"/>
                <w:u w:val="none"/>
              </w:rPr>
            </w:pPr>
          </w:p>
        </w:tc>
        <w:tc>
          <w:tcPr>
            <w:tcW w:w="2811" w:type="dxa"/>
            <w:gridSpan w:val="2"/>
            <w:noWrap w:val="0"/>
            <w:vAlign w:val="center"/>
          </w:tcPr>
          <w:p w14:paraId="27C3D22B">
            <w:pPr>
              <w:pStyle w:val="22"/>
              <w:rPr>
                <w:rFonts w:hint="default" w:eastAsia="宋体"/>
                <w:b w:val="0"/>
                <w:bCs w:val="0"/>
                <w:color w:val="auto"/>
                <w:u w:val="none"/>
                <w:lang w:val="en-US" w:eastAsia="zh-CN"/>
              </w:rPr>
            </w:pPr>
            <w:r>
              <w:rPr>
                <w:rFonts w:hint="eastAsia" w:eastAsia="宋体"/>
                <w:b w:val="0"/>
                <w:bCs w:val="0"/>
                <w:color w:val="auto"/>
                <w:u w:val="none"/>
                <w:lang w:val="en-US" w:eastAsia="zh-CN"/>
              </w:rPr>
              <w:t>溶剂型胶粘剂包装桶</w:t>
            </w:r>
          </w:p>
        </w:tc>
        <w:tc>
          <w:tcPr>
            <w:tcW w:w="1223" w:type="dxa"/>
            <w:gridSpan w:val="2"/>
            <w:noWrap w:val="0"/>
            <w:vAlign w:val="center"/>
          </w:tcPr>
          <w:p w14:paraId="6EF4E430">
            <w:pPr>
              <w:pStyle w:val="22"/>
              <w:rPr>
                <w:rFonts w:hint="default" w:eastAsia="宋体"/>
                <w:b w:val="0"/>
                <w:bCs w:val="0"/>
                <w:color w:val="auto"/>
                <w:u w:val="none"/>
                <w:lang w:val="en-US" w:eastAsia="zh-CN"/>
              </w:rPr>
            </w:pPr>
            <w:r>
              <w:rPr>
                <w:rFonts w:hint="eastAsia" w:eastAsia="宋体"/>
                <w:b w:val="0"/>
                <w:bCs w:val="0"/>
                <w:color w:val="auto"/>
                <w:u w:val="none"/>
                <w:lang w:val="en-US" w:eastAsia="zh-CN"/>
              </w:rPr>
              <w:t>0.152</w:t>
            </w:r>
          </w:p>
        </w:tc>
        <w:tc>
          <w:tcPr>
            <w:tcW w:w="3014" w:type="dxa"/>
            <w:gridSpan w:val="3"/>
            <w:vMerge w:val="continue"/>
            <w:noWrap w:val="0"/>
            <w:vAlign w:val="center"/>
          </w:tcPr>
          <w:p w14:paraId="19C75803">
            <w:pPr>
              <w:pStyle w:val="22"/>
              <w:rPr>
                <w:rFonts w:hint="eastAsia"/>
                <w:b w:val="0"/>
                <w:bCs w:val="0"/>
                <w:color w:val="auto"/>
                <w:u w:val="none"/>
              </w:rPr>
            </w:pPr>
          </w:p>
        </w:tc>
        <w:tc>
          <w:tcPr>
            <w:tcW w:w="4754" w:type="dxa"/>
            <w:gridSpan w:val="3"/>
            <w:vMerge w:val="continue"/>
            <w:noWrap w:val="0"/>
            <w:vAlign w:val="center"/>
          </w:tcPr>
          <w:p w14:paraId="64ACDB9D">
            <w:pPr>
              <w:pStyle w:val="22"/>
              <w:rPr>
                <w:b w:val="0"/>
                <w:bCs w:val="0"/>
                <w:color w:val="auto"/>
                <w:u w:val="none"/>
              </w:rPr>
            </w:pPr>
          </w:p>
        </w:tc>
      </w:tr>
      <w:tr w14:paraId="257644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Merge w:val="continue"/>
            <w:noWrap w:val="0"/>
            <w:vAlign w:val="center"/>
          </w:tcPr>
          <w:p w14:paraId="09138FC2">
            <w:pPr>
              <w:pStyle w:val="22"/>
              <w:rPr>
                <w:rFonts w:hint="eastAsia"/>
                <w:b w:val="0"/>
                <w:bCs w:val="0"/>
                <w:color w:val="auto"/>
                <w:u w:val="none"/>
              </w:rPr>
            </w:pPr>
          </w:p>
        </w:tc>
        <w:tc>
          <w:tcPr>
            <w:tcW w:w="4405" w:type="dxa"/>
            <w:gridSpan w:val="3"/>
            <w:noWrap w:val="0"/>
            <w:vAlign w:val="center"/>
          </w:tcPr>
          <w:p w14:paraId="48DFB620">
            <w:pPr>
              <w:pStyle w:val="22"/>
              <w:rPr>
                <w:b w:val="0"/>
                <w:bCs w:val="0"/>
                <w:color w:val="auto"/>
                <w:u w:val="none"/>
              </w:rPr>
            </w:pPr>
            <w:r>
              <w:rPr>
                <w:rFonts w:hint="eastAsia"/>
                <w:b w:val="0"/>
                <w:bCs w:val="0"/>
                <w:color w:val="auto"/>
                <w:u w:val="none"/>
              </w:rPr>
              <w:t>生活垃圾</w:t>
            </w:r>
          </w:p>
        </w:tc>
        <w:tc>
          <w:tcPr>
            <w:tcW w:w="1223" w:type="dxa"/>
            <w:gridSpan w:val="2"/>
            <w:noWrap w:val="0"/>
            <w:vAlign w:val="center"/>
          </w:tcPr>
          <w:p w14:paraId="482C7A24">
            <w:pPr>
              <w:pStyle w:val="22"/>
              <w:rPr>
                <w:b w:val="0"/>
                <w:bCs w:val="0"/>
                <w:color w:val="auto"/>
                <w:u w:val="none"/>
              </w:rPr>
            </w:pPr>
            <w:r>
              <w:rPr>
                <w:rFonts w:hint="eastAsia"/>
                <w:b w:val="0"/>
                <w:bCs w:val="0"/>
                <w:color w:val="auto"/>
                <w:u w:val="none"/>
              </w:rPr>
              <w:t>6.68</w:t>
            </w:r>
          </w:p>
        </w:tc>
        <w:tc>
          <w:tcPr>
            <w:tcW w:w="3014" w:type="dxa"/>
            <w:gridSpan w:val="3"/>
            <w:noWrap w:val="0"/>
            <w:vAlign w:val="center"/>
          </w:tcPr>
          <w:p w14:paraId="04147F72">
            <w:pPr>
              <w:pStyle w:val="22"/>
              <w:rPr>
                <w:b w:val="0"/>
                <w:bCs w:val="0"/>
                <w:color w:val="auto"/>
                <w:u w:val="none"/>
              </w:rPr>
            </w:pPr>
            <w:r>
              <w:rPr>
                <w:rFonts w:hint="eastAsia"/>
                <w:b w:val="0"/>
                <w:bCs w:val="0"/>
                <w:color w:val="auto"/>
                <w:u w:val="none"/>
              </w:rPr>
              <w:t>交由当地环卫部门处理</w:t>
            </w:r>
          </w:p>
        </w:tc>
        <w:tc>
          <w:tcPr>
            <w:tcW w:w="4754" w:type="dxa"/>
            <w:gridSpan w:val="3"/>
            <w:noWrap w:val="0"/>
            <w:vAlign w:val="center"/>
          </w:tcPr>
          <w:p w14:paraId="61630B33">
            <w:pPr>
              <w:pStyle w:val="22"/>
              <w:rPr>
                <w:b w:val="0"/>
                <w:bCs w:val="0"/>
                <w:color w:val="auto"/>
                <w:u w:val="none"/>
              </w:rPr>
            </w:pPr>
          </w:p>
        </w:tc>
      </w:tr>
      <w:tr w14:paraId="67D2EB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73" w:type="dxa"/>
            <w:gridSpan w:val="12"/>
            <w:noWrap w:val="0"/>
            <w:vAlign w:val="center"/>
          </w:tcPr>
          <w:p w14:paraId="4F4A297D">
            <w:pPr>
              <w:pStyle w:val="22"/>
              <w:rPr>
                <w:b w:val="0"/>
                <w:bCs w:val="0"/>
                <w:color w:val="auto"/>
                <w:u w:val="none"/>
              </w:rPr>
            </w:pPr>
            <w:r>
              <w:rPr>
                <w:rFonts w:hint="eastAsia"/>
                <w:color w:val="auto"/>
                <w:u w:val="none"/>
              </w:rPr>
              <w:t>（5）其他</w:t>
            </w:r>
          </w:p>
        </w:tc>
      </w:tr>
      <w:tr w14:paraId="3BDAD9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71" w:type="dxa"/>
            <w:gridSpan w:val="2"/>
            <w:noWrap w:val="0"/>
            <w:vAlign w:val="center"/>
          </w:tcPr>
          <w:p w14:paraId="3DCC4E4B">
            <w:pPr>
              <w:pStyle w:val="22"/>
              <w:rPr>
                <w:b w:val="0"/>
                <w:bCs w:val="0"/>
                <w:color w:val="auto"/>
                <w:u w:val="none"/>
              </w:rPr>
            </w:pPr>
            <w:r>
              <w:rPr>
                <w:rFonts w:hint="eastAsia"/>
                <w:b w:val="0"/>
                <w:bCs w:val="0"/>
                <w:color w:val="auto"/>
                <w:u w:val="none"/>
              </w:rPr>
              <w:t>环境管理</w:t>
            </w:r>
          </w:p>
        </w:tc>
        <w:tc>
          <w:tcPr>
            <w:tcW w:w="11802" w:type="dxa"/>
            <w:gridSpan w:val="10"/>
            <w:noWrap w:val="0"/>
            <w:vAlign w:val="center"/>
          </w:tcPr>
          <w:p w14:paraId="780185C6">
            <w:pPr>
              <w:pStyle w:val="22"/>
              <w:rPr>
                <w:b w:val="0"/>
                <w:bCs w:val="0"/>
                <w:color w:val="auto"/>
                <w:u w:val="none"/>
              </w:rPr>
            </w:pPr>
            <w:r>
              <w:rPr>
                <w:rFonts w:hint="eastAsia"/>
                <w:b w:val="0"/>
                <w:bCs w:val="0"/>
                <w:color w:val="auto"/>
                <w:u w:val="none"/>
              </w:rPr>
              <w:t>1、设置环境管理机构；2、环境管理机构的人员配置；3、环境管理有关规章制度；4、环境管理计划；5、排污口规范化管理。</w:t>
            </w:r>
          </w:p>
        </w:tc>
      </w:tr>
    </w:tbl>
    <w:p w14:paraId="78F06B2D">
      <w:pPr>
        <w:pStyle w:val="3"/>
        <w:bidi w:val="0"/>
        <w:rPr>
          <w:rFonts w:hint="eastAsia"/>
          <w:color w:val="auto"/>
          <w:u w:val="none" w:color="auto"/>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720" w:num="1"/>
          <w:rtlGutter w:val="0"/>
          <w:docGrid w:type="lines" w:linePitch="319" w:charSpace="0"/>
        </w:sectPr>
      </w:pPr>
    </w:p>
    <w:p w14:paraId="33651C0F">
      <w:pPr>
        <w:pStyle w:val="3"/>
        <w:bidi w:val="0"/>
        <w:rPr>
          <w:rFonts w:hint="default"/>
          <w:color w:val="auto"/>
          <w:u w:val="none" w:color="auto"/>
        </w:rPr>
      </w:pPr>
      <w:bookmarkStart w:id="1570" w:name="_Toc31654"/>
      <w:r>
        <w:rPr>
          <w:rFonts w:hint="eastAsia"/>
          <w:color w:val="auto"/>
          <w:u w:val="none" w:color="auto"/>
          <w:lang w:val="en-US" w:eastAsia="zh-CN"/>
        </w:rPr>
        <w:t>9</w:t>
      </w:r>
      <w:r>
        <w:rPr>
          <w:rFonts w:hint="default"/>
          <w:color w:val="auto"/>
          <w:u w:val="none" w:color="auto"/>
        </w:rPr>
        <w:t>.</w:t>
      </w:r>
      <w:r>
        <w:rPr>
          <w:rFonts w:hint="eastAsia"/>
          <w:color w:val="auto"/>
          <w:u w:val="none" w:color="auto"/>
          <w:lang w:val="en-US" w:eastAsia="zh-CN"/>
        </w:rPr>
        <w:t>4</w:t>
      </w:r>
      <w:r>
        <w:rPr>
          <w:rFonts w:hint="default"/>
          <w:color w:val="auto"/>
          <w:u w:val="none" w:color="auto"/>
        </w:rPr>
        <w:t>环保设施竣工验收</w:t>
      </w:r>
      <w:bookmarkEnd w:id="1567"/>
      <w:bookmarkEnd w:id="1568"/>
      <w:bookmarkEnd w:id="1569"/>
      <w:bookmarkEnd w:id="1570"/>
    </w:p>
    <w:p w14:paraId="08C789A5">
      <w:pPr>
        <w:pStyle w:val="20"/>
        <w:ind w:firstLine="480"/>
        <w:rPr>
          <w:rFonts w:hint="default" w:ascii="Times New Roman" w:hAnsi="Times New Roman" w:cs="Times New Roman"/>
          <w:color w:val="auto"/>
          <w:spacing w:val="4"/>
          <w:u w:val="none" w:color="auto"/>
        </w:rPr>
      </w:pPr>
      <w:r>
        <w:rPr>
          <w:rFonts w:hint="default" w:ascii="Times New Roman" w:hAnsi="Times New Roman" w:cs="Times New Roman"/>
          <w:color w:val="auto"/>
          <w:szCs w:val="28"/>
          <w:u w:val="none" w:color="auto"/>
        </w:rPr>
        <w:t>本建设项目环境保护设施竣工验收项目内容见下表</w:t>
      </w:r>
      <w:r>
        <w:rPr>
          <w:rFonts w:hint="default" w:ascii="Times New Roman" w:hAnsi="Times New Roman" w:cs="Times New Roman"/>
          <w:color w:val="auto"/>
          <w:spacing w:val="4"/>
          <w:u w:val="none" w:color="auto"/>
        </w:rPr>
        <w:t>。</w:t>
      </w:r>
    </w:p>
    <w:p w14:paraId="0D0844E9">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9</w:t>
      </w:r>
      <w:r>
        <w:rPr>
          <w:rFonts w:hint="default"/>
          <w:color w:val="auto"/>
          <w:u w:val="none" w:color="auto"/>
          <w:lang w:val="en-US" w:eastAsia="zh-CN"/>
        </w:rPr>
        <w:t>.3</w:t>
      </w:r>
      <w:r>
        <w:rPr>
          <w:rFonts w:hint="default"/>
          <w:color w:val="auto"/>
          <w:u w:val="none" w:color="auto"/>
        </w:rPr>
        <w:t>-1项目环保竣工验收监测一览表</w:t>
      </w:r>
    </w:p>
    <w:tbl>
      <w:tblPr>
        <w:tblStyle w:val="16"/>
        <w:tblW w:w="850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93"/>
        <w:gridCol w:w="1098"/>
        <w:gridCol w:w="749"/>
        <w:gridCol w:w="1087"/>
        <w:gridCol w:w="1830"/>
        <w:gridCol w:w="2947"/>
      </w:tblGrid>
      <w:tr w14:paraId="7ED87A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tcBorders>
              <w:tl2br w:val="nil"/>
              <w:tr2bl w:val="nil"/>
            </w:tcBorders>
            <w:noWrap w:val="0"/>
            <w:vAlign w:val="center"/>
          </w:tcPr>
          <w:p w14:paraId="170678B8">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污染类型</w:t>
            </w:r>
          </w:p>
        </w:tc>
        <w:tc>
          <w:tcPr>
            <w:tcW w:w="1098" w:type="dxa"/>
            <w:tcBorders>
              <w:tl2br w:val="nil"/>
              <w:tr2bl w:val="nil"/>
            </w:tcBorders>
            <w:noWrap w:val="0"/>
            <w:vAlign w:val="center"/>
          </w:tcPr>
          <w:p w14:paraId="70CE848B">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排放源</w:t>
            </w:r>
          </w:p>
        </w:tc>
        <w:tc>
          <w:tcPr>
            <w:tcW w:w="1836" w:type="dxa"/>
            <w:gridSpan w:val="2"/>
            <w:tcBorders>
              <w:tl2br w:val="nil"/>
              <w:tr2bl w:val="nil"/>
            </w:tcBorders>
            <w:noWrap w:val="0"/>
            <w:vAlign w:val="center"/>
          </w:tcPr>
          <w:p w14:paraId="71F7FF0D">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监测因子</w:t>
            </w:r>
          </w:p>
        </w:tc>
        <w:tc>
          <w:tcPr>
            <w:tcW w:w="1830" w:type="dxa"/>
            <w:tcBorders>
              <w:tl2br w:val="nil"/>
              <w:tr2bl w:val="nil"/>
            </w:tcBorders>
            <w:noWrap w:val="0"/>
            <w:vAlign w:val="center"/>
          </w:tcPr>
          <w:p w14:paraId="35F82350">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防治措施</w:t>
            </w:r>
          </w:p>
        </w:tc>
        <w:tc>
          <w:tcPr>
            <w:tcW w:w="2947" w:type="dxa"/>
            <w:tcBorders>
              <w:tl2br w:val="nil"/>
              <w:tr2bl w:val="nil"/>
            </w:tcBorders>
            <w:noWrap w:val="0"/>
            <w:vAlign w:val="center"/>
          </w:tcPr>
          <w:p w14:paraId="7F41183F">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验收执行标准</w:t>
            </w:r>
          </w:p>
        </w:tc>
      </w:tr>
      <w:tr w14:paraId="21A866E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restart"/>
            <w:tcBorders>
              <w:tl2br w:val="nil"/>
              <w:tr2bl w:val="nil"/>
            </w:tcBorders>
            <w:noWrap w:val="0"/>
            <w:vAlign w:val="center"/>
          </w:tcPr>
          <w:p w14:paraId="108FE7BB">
            <w:pPr>
              <w:pStyle w:val="24"/>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大气</w:t>
            </w:r>
          </w:p>
        </w:tc>
        <w:tc>
          <w:tcPr>
            <w:tcW w:w="1098" w:type="dxa"/>
            <w:tcBorders>
              <w:tl2br w:val="nil"/>
              <w:tr2bl w:val="nil"/>
            </w:tcBorders>
            <w:noWrap w:val="0"/>
            <w:vAlign w:val="center"/>
          </w:tcPr>
          <w:p w14:paraId="2B10CFE2">
            <w:pPr>
              <w:pStyle w:val="24"/>
              <w:rPr>
                <w:rFonts w:hint="default" w:cs="Times New Roman"/>
                <w:color w:val="auto"/>
                <w:u w:val="none" w:color="auto"/>
                <w:lang w:val="en-US" w:eastAsia="zh-CN"/>
              </w:rPr>
            </w:pPr>
            <w:r>
              <w:rPr>
                <w:rFonts w:hint="eastAsia" w:cs="Times New Roman"/>
                <w:color w:val="auto"/>
                <w:u w:val="none" w:color="auto"/>
                <w:lang w:val="en-US" w:eastAsia="zh-CN"/>
              </w:rPr>
              <w:t>DA001排气筒</w:t>
            </w:r>
          </w:p>
        </w:tc>
        <w:tc>
          <w:tcPr>
            <w:tcW w:w="1836" w:type="dxa"/>
            <w:gridSpan w:val="2"/>
            <w:tcBorders>
              <w:tl2br w:val="nil"/>
              <w:tr2bl w:val="nil"/>
            </w:tcBorders>
            <w:noWrap w:val="0"/>
            <w:vAlign w:val="center"/>
          </w:tcPr>
          <w:p w14:paraId="1232C32D">
            <w:pPr>
              <w:pStyle w:val="24"/>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颗粒物</w:t>
            </w:r>
          </w:p>
        </w:tc>
        <w:tc>
          <w:tcPr>
            <w:tcW w:w="1830" w:type="dxa"/>
            <w:tcBorders>
              <w:tl2br w:val="nil"/>
              <w:tr2bl w:val="nil"/>
            </w:tcBorders>
            <w:noWrap w:val="0"/>
            <w:vAlign w:val="center"/>
          </w:tcPr>
          <w:p w14:paraId="7E824486">
            <w:pPr>
              <w:pStyle w:val="24"/>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集气罩+垂帘+布袋除尘器+15m排气筒</w:t>
            </w:r>
          </w:p>
        </w:tc>
        <w:tc>
          <w:tcPr>
            <w:tcW w:w="2947" w:type="dxa"/>
            <w:tcBorders>
              <w:tl2br w:val="nil"/>
              <w:tr2bl w:val="nil"/>
            </w:tcBorders>
            <w:noWrap w:val="0"/>
            <w:vAlign w:val="center"/>
          </w:tcPr>
          <w:p w14:paraId="7FA55755">
            <w:pPr>
              <w:pStyle w:val="24"/>
              <w:bidi w:val="0"/>
              <w:rPr>
                <w:rFonts w:hint="eastAsia" w:eastAsia="宋体"/>
                <w:color w:val="auto"/>
                <w:u w:val="none" w:color="auto"/>
                <w:lang w:val="en-US" w:eastAsia="zh-CN"/>
              </w:rPr>
            </w:pPr>
            <w:r>
              <w:rPr>
                <w:rFonts w:hint="eastAsia" w:eastAsia="宋体"/>
                <w:color w:val="auto"/>
                <w:u w:val="none" w:color="auto"/>
                <w:lang w:val="en-US" w:eastAsia="zh-CN"/>
              </w:rPr>
              <w:t>《大气污染物综合排放标准》（GB16297-1996）中表2中的二级标准限值</w:t>
            </w:r>
          </w:p>
        </w:tc>
      </w:tr>
      <w:tr w14:paraId="48F744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37B68DD3">
            <w:pPr>
              <w:pStyle w:val="24"/>
              <w:rPr>
                <w:rFonts w:hint="default" w:ascii="Times New Roman" w:hAnsi="Times New Roman" w:cs="Times New Roman"/>
                <w:color w:val="auto"/>
                <w:u w:val="none" w:color="auto"/>
                <w:lang w:val="en-US" w:eastAsia="zh-CN"/>
              </w:rPr>
            </w:pPr>
          </w:p>
        </w:tc>
        <w:tc>
          <w:tcPr>
            <w:tcW w:w="1098" w:type="dxa"/>
            <w:tcBorders>
              <w:tl2br w:val="nil"/>
              <w:tr2bl w:val="nil"/>
            </w:tcBorders>
            <w:noWrap w:val="0"/>
            <w:vAlign w:val="center"/>
          </w:tcPr>
          <w:p w14:paraId="63FBB21F">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DA002排气筒</w:t>
            </w:r>
          </w:p>
        </w:tc>
        <w:tc>
          <w:tcPr>
            <w:tcW w:w="1836" w:type="dxa"/>
            <w:gridSpan w:val="2"/>
            <w:tcBorders>
              <w:tl2br w:val="nil"/>
              <w:tr2bl w:val="nil"/>
            </w:tcBorders>
            <w:noWrap w:val="0"/>
            <w:vAlign w:val="center"/>
          </w:tcPr>
          <w:p w14:paraId="120D6179">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非甲烷总烃、氯化氢、臭气浓度</w:t>
            </w:r>
          </w:p>
        </w:tc>
        <w:tc>
          <w:tcPr>
            <w:tcW w:w="1830" w:type="dxa"/>
            <w:tcBorders>
              <w:tl2br w:val="nil"/>
              <w:tr2bl w:val="nil"/>
            </w:tcBorders>
            <w:noWrap w:val="0"/>
            <w:vAlign w:val="center"/>
          </w:tcPr>
          <w:p w14:paraId="0808ED34">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集气罩</w:t>
            </w:r>
            <w:r>
              <w:rPr>
                <w:rFonts w:hint="default" w:ascii="Times New Roman" w:hAnsi="Times New Roman" w:cs="Times New Roman"/>
                <w:color w:val="auto"/>
                <w:u w:val="none" w:color="auto"/>
                <w:lang w:val="en-US" w:eastAsia="zh-CN"/>
              </w:rPr>
              <w:t>+</w:t>
            </w:r>
            <w:r>
              <w:rPr>
                <w:rFonts w:hint="eastAsia" w:cs="Times New Roman"/>
                <w:color w:val="auto"/>
                <w:u w:val="none" w:color="auto"/>
                <w:lang w:val="en-US" w:eastAsia="zh-CN"/>
              </w:rPr>
              <w:t>垂帘+二级活性炭+15m排气筒</w:t>
            </w:r>
          </w:p>
        </w:tc>
        <w:tc>
          <w:tcPr>
            <w:tcW w:w="2947" w:type="dxa"/>
            <w:tcBorders>
              <w:tl2br w:val="nil"/>
              <w:tr2bl w:val="nil"/>
            </w:tcBorders>
            <w:noWrap w:val="0"/>
            <w:vAlign w:val="center"/>
          </w:tcPr>
          <w:p w14:paraId="10D619ED">
            <w:pPr>
              <w:pStyle w:val="24"/>
              <w:bidi w:val="0"/>
              <w:rPr>
                <w:rFonts w:hint="eastAsia" w:eastAsia="宋体"/>
                <w:color w:val="auto"/>
                <w:u w:val="none" w:color="auto"/>
                <w:lang w:val="en-US" w:eastAsia="zh-CN"/>
              </w:rPr>
            </w:pPr>
            <w:r>
              <w:rPr>
                <w:rFonts w:hint="eastAsia" w:eastAsia="宋体"/>
                <w:color w:val="auto"/>
                <w:u w:val="none" w:color="auto"/>
                <w:lang w:val="en-US" w:eastAsia="zh-CN"/>
              </w:rPr>
              <w:t>《大气污染物综合排放标准》（GB16297-1996）中表2中的二级标准限值、《恶臭污染物排放标准》（GB14554-93）表2标准</w:t>
            </w:r>
          </w:p>
        </w:tc>
      </w:tr>
      <w:tr w14:paraId="70990F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793" w:type="dxa"/>
            <w:vMerge w:val="continue"/>
            <w:tcBorders>
              <w:tl2br w:val="nil"/>
              <w:tr2bl w:val="nil"/>
            </w:tcBorders>
            <w:noWrap w:val="0"/>
            <w:vAlign w:val="center"/>
          </w:tcPr>
          <w:p w14:paraId="5FDBE632">
            <w:pPr>
              <w:pStyle w:val="24"/>
              <w:rPr>
                <w:rFonts w:hint="default" w:ascii="Times New Roman" w:hAnsi="Times New Roman" w:cs="Times New Roman"/>
                <w:color w:val="auto"/>
                <w:u w:val="none" w:color="auto"/>
                <w:lang w:val="en-US" w:eastAsia="zh-CN"/>
              </w:rPr>
            </w:pPr>
          </w:p>
        </w:tc>
        <w:tc>
          <w:tcPr>
            <w:tcW w:w="1098" w:type="dxa"/>
            <w:tcBorders>
              <w:tl2br w:val="nil"/>
              <w:tr2bl w:val="nil"/>
            </w:tcBorders>
            <w:noWrap w:val="0"/>
            <w:vAlign w:val="center"/>
          </w:tcPr>
          <w:p w14:paraId="6A42FBC9">
            <w:pPr>
              <w:pStyle w:val="24"/>
              <w:rPr>
                <w:rFonts w:hint="eastAsia"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DA003排气筒</w:t>
            </w:r>
          </w:p>
        </w:tc>
        <w:tc>
          <w:tcPr>
            <w:tcW w:w="1836" w:type="dxa"/>
            <w:gridSpan w:val="2"/>
            <w:tcBorders>
              <w:tl2br w:val="nil"/>
              <w:tr2bl w:val="nil"/>
            </w:tcBorders>
            <w:noWrap w:val="0"/>
            <w:vAlign w:val="center"/>
          </w:tcPr>
          <w:p w14:paraId="34AB2F40">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非甲烷总烃、二甲苯、臭气浓度</w:t>
            </w:r>
          </w:p>
        </w:tc>
        <w:tc>
          <w:tcPr>
            <w:tcW w:w="1830" w:type="dxa"/>
            <w:tcBorders>
              <w:tl2br w:val="nil"/>
              <w:tr2bl w:val="nil"/>
            </w:tcBorders>
            <w:noWrap w:val="0"/>
            <w:vAlign w:val="center"/>
          </w:tcPr>
          <w:p w14:paraId="161DF6DB">
            <w:pPr>
              <w:pStyle w:val="24"/>
              <w:rPr>
                <w:rFonts w:hint="default"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集气罩+垂帘（溶剂型胶粘剂覆膜机加装设置为区域半封闭）+两级活性炭吸附+15m高排气筒</w:t>
            </w:r>
            <w:r>
              <w:rPr>
                <w:rFonts w:hint="eastAsia" w:cs="Times New Roman"/>
                <w:color w:val="auto"/>
                <w:u w:val="none" w:color="auto"/>
                <w:lang w:val="en-US" w:eastAsia="zh-CN"/>
              </w:rPr>
              <w:t>，加强无组织废气收集</w:t>
            </w:r>
          </w:p>
        </w:tc>
        <w:tc>
          <w:tcPr>
            <w:tcW w:w="2947" w:type="dxa"/>
            <w:tcBorders>
              <w:tl2br w:val="nil"/>
              <w:tr2bl w:val="nil"/>
            </w:tcBorders>
            <w:noWrap w:val="0"/>
            <w:vAlign w:val="center"/>
          </w:tcPr>
          <w:p w14:paraId="4F67FFA0">
            <w:pPr>
              <w:pStyle w:val="24"/>
              <w:rPr>
                <w:rFonts w:hint="default" w:ascii="Times New Roman" w:hAnsi="Times New Roman" w:cs="Times New Roman"/>
                <w:color w:val="auto"/>
                <w:u w:val="none" w:color="auto"/>
                <w:lang w:val="en-US" w:eastAsia="zh-CN"/>
              </w:rPr>
            </w:pPr>
            <w:r>
              <w:rPr>
                <w:rFonts w:hint="eastAsia" w:eastAsia="宋体"/>
                <w:color w:val="auto"/>
                <w:u w:val="none" w:color="auto"/>
                <w:lang w:val="en-US" w:eastAsia="zh-CN"/>
              </w:rPr>
              <w:t>《大气污染物综合排放标准》（GB16297-1996）中表2中的二级标准限值、《恶臭污染物排放标准》（GB14554-93）表2标准</w:t>
            </w:r>
          </w:p>
        </w:tc>
      </w:tr>
      <w:tr w14:paraId="788531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793" w:type="dxa"/>
            <w:vMerge w:val="continue"/>
            <w:tcBorders>
              <w:tl2br w:val="nil"/>
              <w:tr2bl w:val="nil"/>
            </w:tcBorders>
            <w:noWrap w:val="0"/>
            <w:vAlign w:val="center"/>
          </w:tcPr>
          <w:p w14:paraId="2F8308D4">
            <w:pPr>
              <w:pStyle w:val="24"/>
              <w:rPr>
                <w:rFonts w:hint="default" w:ascii="Times New Roman" w:hAnsi="Times New Roman" w:cs="Times New Roman"/>
                <w:color w:val="auto"/>
                <w:u w:val="none" w:color="auto"/>
                <w:lang w:val="en-US" w:eastAsia="zh-CN"/>
              </w:rPr>
            </w:pPr>
          </w:p>
        </w:tc>
        <w:tc>
          <w:tcPr>
            <w:tcW w:w="1098" w:type="dxa"/>
            <w:tcBorders>
              <w:tl2br w:val="nil"/>
              <w:tr2bl w:val="nil"/>
            </w:tcBorders>
            <w:noWrap w:val="0"/>
            <w:vAlign w:val="center"/>
          </w:tcPr>
          <w:p w14:paraId="3B1F7E45">
            <w:pPr>
              <w:pStyle w:val="24"/>
              <w:rPr>
                <w:rFonts w:hint="default" w:cs="Times New Roman"/>
                <w:color w:val="auto"/>
                <w:u w:val="none" w:color="auto"/>
                <w:lang w:val="en-US" w:eastAsia="zh-CN"/>
              </w:rPr>
            </w:pPr>
            <w:r>
              <w:rPr>
                <w:rFonts w:hint="eastAsia" w:cs="Times New Roman"/>
                <w:color w:val="auto"/>
                <w:u w:val="none" w:color="auto"/>
                <w:lang w:val="en-US" w:eastAsia="zh-CN"/>
              </w:rPr>
              <w:t>厂界无组织</w:t>
            </w:r>
          </w:p>
        </w:tc>
        <w:tc>
          <w:tcPr>
            <w:tcW w:w="1836" w:type="dxa"/>
            <w:gridSpan w:val="2"/>
            <w:tcBorders>
              <w:tl2br w:val="nil"/>
              <w:tr2bl w:val="nil"/>
            </w:tcBorders>
            <w:noWrap w:val="0"/>
            <w:vAlign w:val="center"/>
          </w:tcPr>
          <w:p w14:paraId="5A8B252C">
            <w:pPr>
              <w:pStyle w:val="24"/>
              <w:rPr>
                <w:rFonts w:hint="eastAsia"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颗粒物、非甲烷总烃、氯化氢、二甲苯、臭气浓度</w:t>
            </w:r>
          </w:p>
        </w:tc>
        <w:tc>
          <w:tcPr>
            <w:tcW w:w="1830" w:type="dxa"/>
            <w:tcBorders>
              <w:tl2br w:val="nil"/>
              <w:tr2bl w:val="nil"/>
            </w:tcBorders>
            <w:noWrap w:val="0"/>
            <w:vAlign w:val="center"/>
          </w:tcPr>
          <w:p w14:paraId="43DCCE7B">
            <w:pPr>
              <w:pStyle w:val="24"/>
              <w:rPr>
                <w:rFonts w:hint="default" w:cs="Times New Roman"/>
                <w:color w:val="auto"/>
                <w:u w:val="none" w:color="auto"/>
                <w:lang w:val="en-US" w:eastAsia="zh-CN"/>
              </w:rPr>
            </w:pPr>
            <w:r>
              <w:rPr>
                <w:rFonts w:hint="eastAsia" w:cs="Times New Roman"/>
                <w:color w:val="auto"/>
                <w:u w:val="none" w:color="auto"/>
                <w:lang w:val="en-US" w:eastAsia="zh-CN"/>
              </w:rPr>
              <w:t>设备自带布袋除尘器，加强集气罩收集效率，减少无组织排放</w:t>
            </w:r>
          </w:p>
        </w:tc>
        <w:tc>
          <w:tcPr>
            <w:tcW w:w="2947" w:type="dxa"/>
            <w:tcBorders>
              <w:tl2br w:val="nil"/>
              <w:tr2bl w:val="nil"/>
            </w:tcBorders>
            <w:noWrap w:val="0"/>
            <w:vAlign w:val="center"/>
          </w:tcPr>
          <w:p w14:paraId="6E918DA8">
            <w:pPr>
              <w:pStyle w:val="24"/>
              <w:rPr>
                <w:rFonts w:hint="default" w:ascii="Times New Roman" w:hAnsi="Times New Roman" w:cs="Times New Roman"/>
                <w:color w:val="auto"/>
                <w:u w:val="none" w:color="auto"/>
                <w:lang w:val="en-US" w:eastAsia="zh-CN"/>
              </w:rPr>
            </w:pPr>
            <w:r>
              <w:rPr>
                <w:rFonts w:hint="eastAsia" w:eastAsia="宋体"/>
                <w:color w:val="auto"/>
                <w:u w:val="none" w:color="auto"/>
                <w:lang w:val="en-US" w:eastAsia="zh-CN"/>
              </w:rPr>
              <w:t>《大气污染物综合排放标准》（GB16297-1996）中表2中的无组织排放监控浓度限值、《恶臭污染物排放标准》（GB14554-93）表1恶臭污染物厂界标准值二级新扩改建</w:t>
            </w:r>
          </w:p>
        </w:tc>
      </w:tr>
      <w:tr w14:paraId="1EA523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7" w:hRule="atLeast"/>
          <w:jc w:val="center"/>
        </w:trPr>
        <w:tc>
          <w:tcPr>
            <w:tcW w:w="793" w:type="dxa"/>
            <w:vMerge w:val="continue"/>
            <w:tcBorders>
              <w:tl2br w:val="nil"/>
              <w:tr2bl w:val="nil"/>
            </w:tcBorders>
            <w:noWrap w:val="0"/>
            <w:vAlign w:val="center"/>
          </w:tcPr>
          <w:p w14:paraId="28538E4B">
            <w:pPr>
              <w:pStyle w:val="24"/>
              <w:rPr>
                <w:color w:val="auto"/>
                <w:u w:val="none" w:color="auto"/>
              </w:rPr>
            </w:pPr>
          </w:p>
        </w:tc>
        <w:tc>
          <w:tcPr>
            <w:tcW w:w="1098" w:type="dxa"/>
            <w:tcBorders>
              <w:tl2br w:val="nil"/>
              <w:tr2bl w:val="nil"/>
            </w:tcBorders>
            <w:noWrap w:val="0"/>
            <w:vAlign w:val="center"/>
          </w:tcPr>
          <w:p w14:paraId="451AA4B4">
            <w:pPr>
              <w:pStyle w:val="24"/>
              <w:rPr>
                <w:rFonts w:hint="default" w:cs="Times New Roman"/>
                <w:color w:val="auto"/>
                <w:u w:val="none" w:color="auto"/>
                <w:lang w:val="en-US" w:eastAsia="zh-CN"/>
              </w:rPr>
            </w:pPr>
            <w:r>
              <w:rPr>
                <w:rFonts w:hint="eastAsia" w:cs="Times New Roman"/>
                <w:color w:val="auto"/>
                <w:u w:val="none" w:color="auto"/>
                <w:lang w:val="en-US" w:eastAsia="zh-CN"/>
              </w:rPr>
              <w:t>厂区内无组织</w:t>
            </w:r>
          </w:p>
        </w:tc>
        <w:tc>
          <w:tcPr>
            <w:tcW w:w="1836" w:type="dxa"/>
            <w:gridSpan w:val="2"/>
            <w:tcBorders>
              <w:tl2br w:val="nil"/>
              <w:tr2bl w:val="nil"/>
            </w:tcBorders>
            <w:noWrap w:val="0"/>
            <w:vAlign w:val="center"/>
          </w:tcPr>
          <w:p w14:paraId="71D047CF">
            <w:pPr>
              <w:pStyle w:val="24"/>
              <w:rPr>
                <w:rFonts w:hint="default" w:cs="Times New Roman"/>
                <w:color w:val="auto"/>
                <w:u w:val="none" w:color="auto"/>
                <w:lang w:val="en-US" w:eastAsia="zh-CN"/>
              </w:rPr>
            </w:pPr>
            <w:r>
              <w:rPr>
                <w:rFonts w:hint="eastAsia" w:cs="Times New Roman"/>
                <w:color w:val="auto"/>
                <w:u w:val="none" w:color="auto"/>
                <w:lang w:val="en-US" w:eastAsia="zh-CN"/>
              </w:rPr>
              <w:t>非甲烷总烃</w:t>
            </w:r>
          </w:p>
        </w:tc>
        <w:tc>
          <w:tcPr>
            <w:tcW w:w="1830" w:type="dxa"/>
            <w:tcBorders>
              <w:tl2br w:val="nil"/>
              <w:tr2bl w:val="nil"/>
            </w:tcBorders>
            <w:noWrap w:val="0"/>
            <w:vAlign w:val="center"/>
          </w:tcPr>
          <w:p w14:paraId="59311953">
            <w:pPr>
              <w:pStyle w:val="24"/>
              <w:rPr>
                <w:rFonts w:hint="eastAsia" w:cs="Times New Roman"/>
                <w:color w:val="auto"/>
                <w:u w:val="none" w:color="auto"/>
                <w:lang w:val="en-US" w:eastAsia="zh-CN"/>
              </w:rPr>
            </w:pPr>
            <w:r>
              <w:rPr>
                <w:rFonts w:hint="eastAsia" w:cs="Times New Roman"/>
                <w:color w:val="auto"/>
                <w:u w:val="none" w:color="auto"/>
                <w:lang w:val="en-US" w:eastAsia="zh-CN"/>
              </w:rPr>
              <w:t>加强集气罩收集效率，减少无组织排放</w:t>
            </w:r>
          </w:p>
        </w:tc>
        <w:tc>
          <w:tcPr>
            <w:tcW w:w="2947" w:type="dxa"/>
            <w:tcBorders>
              <w:tl2br w:val="nil"/>
              <w:tr2bl w:val="nil"/>
            </w:tcBorders>
            <w:noWrap w:val="0"/>
            <w:vAlign w:val="center"/>
          </w:tcPr>
          <w:p w14:paraId="68DBB83C">
            <w:pPr>
              <w:pStyle w:val="24"/>
              <w:rPr>
                <w:rFonts w:hint="eastAsia" w:cs="Times New Roman"/>
                <w:color w:val="auto"/>
                <w:u w:val="none" w:color="auto"/>
                <w:lang w:val="en-US" w:eastAsia="zh-CN"/>
              </w:rPr>
            </w:pPr>
            <w:r>
              <w:rPr>
                <w:rFonts w:hint="eastAsia" w:eastAsia="宋体"/>
                <w:color w:val="auto"/>
                <w:u w:val="none" w:color="auto"/>
                <w:lang w:val="en-US" w:eastAsia="zh-CN"/>
              </w:rPr>
              <w:t>《挥发性有机物无组织排放控制标准》（GB37822-2019）表A.1厂区内非甲烷总烃无组织排放限值</w:t>
            </w:r>
          </w:p>
        </w:tc>
      </w:tr>
      <w:tr w14:paraId="4C7182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restart"/>
            <w:tcBorders>
              <w:tl2br w:val="nil"/>
              <w:tr2bl w:val="nil"/>
            </w:tcBorders>
            <w:noWrap w:val="0"/>
            <w:vAlign w:val="center"/>
          </w:tcPr>
          <w:p w14:paraId="244E9414">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废水</w:t>
            </w:r>
          </w:p>
        </w:tc>
        <w:tc>
          <w:tcPr>
            <w:tcW w:w="1098" w:type="dxa"/>
            <w:tcBorders>
              <w:tl2br w:val="nil"/>
              <w:tr2bl w:val="nil"/>
            </w:tcBorders>
            <w:noWrap w:val="0"/>
            <w:vAlign w:val="center"/>
          </w:tcPr>
          <w:p w14:paraId="468F8B5F">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生活污水</w:t>
            </w:r>
          </w:p>
        </w:tc>
        <w:tc>
          <w:tcPr>
            <w:tcW w:w="1836" w:type="dxa"/>
            <w:gridSpan w:val="2"/>
            <w:tcBorders>
              <w:tl2br w:val="nil"/>
              <w:tr2bl w:val="nil"/>
            </w:tcBorders>
            <w:noWrap w:val="0"/>
            <w:vAlign w:val="center"/>
          </w:tcPr>
          <w:p w14:paraId="5F9BFD0F">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s-ES" w:eastAsia="zh-CN"/>
              </w:rPr>
              <w:t>COD</w:t>
            </w:r>
            <w:r>
              <w:rPr>
                <w:rFonts w:hint="default" w:ascii="Times New Roman" w:hAnsi="Times New Roman" w:cs="Times New Roman"/>
                <w:color w:val="auto"/>
                <w:u w:val="none" w:color="auto"/>
                <w:lang w:val="en-US" w:eastAsia="zh-CN"/>
              </w:rPr>
              <w:t>cr</w:t>
            </w:r>
            <w:r>
              <w:rPr>
                <w:rFonts w:hint="default" w:ascii="Times New Roman" w:hAnsi="Times New Roman" w:cs="Times New Roman"/>
                <w:color w:val="auto"/>
                <w:u w:val="none" w:color="auto"/>
                <w:lang w:val="es-ES" w:eastAsia="zh-CN"/>
              </w:rPr>
              <w:t>、氨氮</w:t>
            </w:r>
            <w:r>
              <w:rPr>
                <w:rFonts w:hint="eastAsia" w:ascii="Times New Roman" w:hAnsi="Times New Roman" w:cs="Times New Roman"/>
                <w:color w:val="auto"/>
                <w:u w:val="none" w:color="auto"/>
                <w:lang w:val="es-ES" w:eastAsia="zh-CN"/>
              </w:rPr>
              <w:t>、</w:t>
            </w:r>
            <w:r>
              <w:rPr>
                <w:rFonts w:hint="eastAsia" w:ascii="Times New Roman" w:hAnsi="Times New Roman" w:cs="Times New Roman"/>
                <w:color w:val="auto"/>
                <w:u w:val="none" w:color="auto"/>
                <w:lang w:val="en-US" w:eastAsia="zh-CN"/>
              </w:rPr>
              <w:t>SS、BOD</w:t>
            </w:r>
            <w:r>
              <w:rPr>
                <w:rFonts w:hint="eastAsia" w:ascii="Times New Roman" w:hAnsi="Times New Roman" w:cs="Times New Roman"/>
                <w:color w:val="auto"/>
                <w:u w:val="none" w:color="auto"/>
                <w:vertAlign w:val="subscript"/>
                <w:lang w:val="en-US" w:eastAsia="zh-CN"/>
              </w:rPr>
              <w:t>5</w:t>
            </w:r>
            <w:r>
              <w:rPr>
                <w:rFonts w:hint="eastAsia" w:ascii="Times New Roman" w:hAnsi="Times New Roman" w:cs="Times New Roman"/>
                <w:color w:val="auto"/>
                <w:u w:val="none" w:color="auto"/>
                <w:lang w:val="en-US" w:eastAsia="zh-CN"/>
              </w:rPr>
              <w:t>、动植物油</w:t>
            </w:r>
          </w:p>
        </w:tc>
        <w:tc>
          <w:tcPr>
            <w:tcW w:w="1830" w:type="dxa"/>
            <w:tcBorders>
              <w:tl2br w:val="nil"/>
              <w:tr2bl w:val="nil"/>
            </w:tcBorders>
            <w:noWrap w:val="0"/>
            <w:vAlign w:val="center"/>
          </w:tcPr>
          <w:p w14:paraId="5004D477">
            <w:pPr>
              <w:pStyle w:val="24"/>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化粪池</w:t>
            </w:r>
          </w:p>
        </w:tc>
        <w:tc>
          <w:tcPr>
            <w:tcW w:w="2947" w:type="dxa"/>
            <w:tcBorders>
              <w:tl2br w:val="nil"/>
              <w:tr2bl w:val="nil"/>
            </w:tcBorders>
            <w:noWrap w:val="0"/>
            <w:vAlign w:val="center"/>
          </w:tcPr>
          <w:p w14:paraId="2E52A731">
            <w:pPr>
              <w:pStyle w:val="24"/>
              <w:bidi w:val="0"/>
              <w:rPr>
                <w:rFonts w:hint="eastAsia" w:ascii="Times New Roman" w:hAnsi="Times New Roman" w:eastAsia="宋体" w:cs="Times New Roman"/>
                <w:color w:val="auto"/>
                <w:u w:val="none" w:color="auto"/>
                <w:lang w:val="en-US" w:eastAsia="zh-CN"/>
              </w:rPr>
            </w:pPr>
            <w:r>
              <w:rPr>
                <w:rFonts w:hint="eastAsia"/>
                <w:color w:val="auto"/>
                <w:u w:val="none" w:color="auto"/>
              </w:rPr>
              <w:t>湖南汨罗高新技术产业开发区（循环园区）污水处理厂进水水质标准</w:t>
            </w:r>
          </w:p>
        </w:tc>
      </w:tr>
      <w:tr w14:paraId="1ACB22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60B66E4D">
            <w:pPr>
              <w:pStyle w:val="24"/>
              <w:bidi w:val="0"/>
              <w:rPr>
                <w:rFonts w:hint="default" w:ascii="Times New Roman" w:hAnsi="Times New Roman" w:cs="Times New Roman"/>
                <w:color w:val="auto"/>
                <w:u w:val="none" w:color="auto"/>
                <w:lang w:val="en-US" w:eastAsia="zh-CN"/>
              </w:rPr>
            </w:pPr>
          </w:p>
        </w:tc>
        <w:tc>
          <w:tcPr>
            <w:tcW w:w="1098" w:type="dxa"/>
            <w:tcBorders>
              <w:tl2br w:val="nil"/>
              <w:tr2bl w:val="nil"/>
            </w:tcBorders>
            <w:noWrap w:val="0"/>
            <w:vAlign w:val="center"/>
          </w:tcPr>
          <w:p w14:paraId="625C0511">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冷却水</w:t>
            </w:r>
          </w:p>
        </w:tc>
        <w:tc>
          <w:tcPr>
            <w:tcW w:w="1836" w:type="dxa"/>
            <w:gridSpan w:val="2"/>
            <w:tcBorders>
              <w:tl2br w:val="nil"/>
              <w:tr2bl w:val="nil"/>
            </w:tcBorders>
            <w:noWrap w:val="0"/>
            <w:vAlign w:val="center"/>
          </w:tcPr>
          <w:p w14:paraId="3F07B130">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SS</w:t>
            </w:r>
          </w:p>
        </w:tc>
        <w:tc>
          <w:tcPr>
            <w:tcW w:w="1830" w:type="dxa"/>
            <w:tcBorders>
              <w:tl2br w:val="nil"/>
              <w:tr2bl w:val="nil"/>
            </w:tcBorders>
            <w:noWrap w:val="0"/>
            <w:vAlign w:val="center"/>
          </w:tcPr>
          <w:p w14:paraId="6121A3D7">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u w:val="none" w:color="auto"/>
                <w:lang w:val="en-US" w:eastAsia="zh-CN"/>
              </w:rPr>
              <w:t>循环水池+冷却塔</w:t>
            </w:r>
          </w:p>
        </w:tc>
        <w:tc>
          <w:tcPr>
            <w:tcW w:w="2947" w:type="dxa"/>
            <w:tcBorders>
              <w:tl2br w:val="nil"/>
              <w:tr2bl w:val="nil"/>
            </w:tcBorders>
            <w:noWrap w:val="0"/>
            <w:vAlign w:val="center"/>
          </w:tcPr>
          <w:p w14:paraId="768E08EA">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cs="Times New Roman"/>
                <w:color w:val="auto"/>
                <w:u w:val="none" w:color="auto"/>
                <w:lang w:val="en-US" w:eastAsia="zh-CN"/>
              </w:rPr>
              <w:t>经冷却后循环使用，不外排</w:t>
            </w:r>
          </w:p>
        </w:tc>
      </w:tr>
      <w:tr w14:paraId="40595B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restart"/>
            <w:tcBorders>
              <w:tl2br w:val="nil"/>
              <w:tr2bl w:val="nil"/>
            </w:tcBorders>
            <w:noWrap w:val="0"/>
            <w:vAlign w:val="center"/>
          </w:tcPr>
          <w:p w14:paraId="5D60D1F5">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固体废物</w:t>
            </w:r>
          </w:p>
        </w:tc>
        <w:tc>
          <w:tcPr>
            <w:tcW w:w="1098" w:type="dxa"/>
            <w:tcBorders>
              <w:tl2br w:val="nil"/>
              <w:tr2bl w:val="nil"/>
            </w:tcBorders>
            <w:noWrap w:val="0"/>
            <w:vAlign w:val="center"/>
          </w:tcPr>
          <w:p w14:paraId="08D507A6">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办公生活</w:t>
            </w:r>
          </w:p>
        </w:tc>
        <w:tc>
          <w:tcPr>
            <w:tcW w:w="1836" w:type="dxa"/>
            <w:gridSpan w:val="2"/>
            <w:tcBorders>
              <w:tl2br w:val="nil"/>
              <w:tr2bl w:val="nil"/>
            </w:tcBorders>
            <w:noWrap w:val="0"/>
            <w:vAlign w:val="center"/>
          </w:tcPr>
          <w:p w14:paraId="2729B3C0">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生活垃圾</w:t>
            </w:r>
          </w:p>
        </w:tc>
        <w:tc>
          <w:tcPr>
            <w:tcW w:w="1830" w:type="dxa"/>
            <w:tcBorders>
              <w:tl2br w:val="nil"/>
              <w:tr2bl w:val="nil"/>
            </w:tcBorders>
            <w:noWrap w:val="0"/>
            <w:vAlign w:val="center"/>
          </w:tcPr>
          <w:p w14:paraId="03C61ABE">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垃圾收集桶、环卫定期清运</w:t>
            </w:r>
          </w:p>
        </w:tc>
        <w:tc>
          <w:tcPr>
            <w:tcW w:w="2947" w:type="dxa"/>
            <w:vMerge w:val="restart"/>
            <w:tcBorders>
              <w:tl2br w:val="nil"/>
              <w:tr2bl w:val="nil"/>
            </w:tcBorders>
            <w:noWrap w:val="0"/>
            <w:vAlign w:val="center"/>
          </w:tcPr>
          <w:p w14:paraId="19A82893">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综合利用，合理处置、达到环保要求</w:t>
            </w:r>
          </w:p>
        </w:tc>
      </w:tr>
      <w:tr w14:paraId="6F2B6C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76F846CF">
            <w:pPr>
              <w:pStyle w:val="24"/>
              <w:rPr>
                <w:rFonts w:hint="default" w:ascii="Times New Roman" w:hAnsi="Times New Roman" w:cs="Times New Roman"/>
                <w:color w:val="auto"/>
                <w:u w:val="none" w:color="auto"/>
                <w:lang w:val="en-US" w:eastAsia="zh-CN"/>
              </w:rPr>
            </w:pPr>
          </w:p>
        </w:tc>
        <w:tc>
          <w:tcPr>
            <w:tcW w:w="1098" w:type="dxa"/>
            <w:vMerge w:val="restart"/>
            <w:tcBorders>
              <w:tl2br w:val="nil"/>
              <w:tr2bl w:val="nil"/>
            </w:tcBorders>
            <w:noWrap w:val="0"/>
            <w:vAlign w:val="center"/>
          </w:tcPr>
          <w:p w14:paraId="1E851234">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生产区域</w:t>
            </w:r>
          </w:p>
        </w:tc>
        <w:tc>
          <w:tcPr>
            <w:tcW w:w="749" w:type="dxa"/>
            <w:vMerge w:val="restart"/>
            <w:tcBorders>
              <w:tl2br w:val="nil"/>
              <w:tr2bl w:val="nil"/>
            </w:tcBorders>
            <w:noWrap w:val="0"/>
            <w:vAlign w:val="center"/>
          </w:tcPr>
          <w:p w14:paraId="7E941565">
            <w:pPr>
              <w:pStyle w:val="24"/>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一般固废</w:t>
            </w:r>
          </w:p>
        </w:tc>
        <w:tc>
          <w:tcPr>
            <w:tcW w:w="1087" w:type="dxa"/>
            <w:tcBorders>
              <w:tl2br w:val="nil"/>
              <w:tr2bl w:val="nil"/>
            </w:tcBorders>
            <w:noWrap w:val="0"/>
            <w:vAlign w:val="center"/>
          </w:tcPr>
          <w:p w14:paraId="317AB288">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u w:val="none" w:color="auto"/>
                <w:lang w:val="en-US" w:eastAsia="zh-CN"/>
              </w:rPr>
              <w:t>除尘系统收集的粉尘</w:t>
            </w:r>
          </w:p>
        </w:tc>
        <w:tc>
          <w:tcPr>
            <w:tcW w:w="1830" w:type="dxa"/>
            <w:vMerge w:val="restart"/>
            <w:tcBorders>
              <w:tl2br w:val="nil"/>
              <w:tr2bl w:val="nil"/>
            </w:tcBorders>
            <w:noWrap w:val="0"/>
            <w:vAlign w:val="center"/>
          </w:tcPr>
          <w:p w14:paraId="711CA664">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cs="Times New Roman"/>
                <w:color w:val="auto"/>
                <w:u w:val="none" w:color="auto"/>
                <w:lang w:val="en-US" w:eastAsia="zh-CN"/>
              </w:rPr>
              <w:t>收集后回用</w:t>
            </w:r>
          </w:p>
        </w:tc>
        <w:tc>
          <w:tcPr>
            <w:tcW w:w="2947" w:type="dxa"/>
            <w:vMerge w:val="continue"/>
            <w:tcBorders>
              <w:tl2br w:val="nil"/>
              <w:tr2bl w:val="nil"/>
            </w:tcBorders>
            <w:noWrap w:val="0"/>
            <w:vAlign w:val="center"/>
          </w:tcPr>
          <w:p w14:paraId="6DBD2FAF">
            <w:pPr>
              <w:pStyle w:val="24"/>
              <w:rPr>
                <w:rFonts w:hint="default" w:ascii="Times New Roman" w:hAnsi="Times New Roman" w:cs="Times New Roman"/>
                <w:color w:val="auto"/>
                <w:u w:val="none" w:color="auto"/>
                <w:lang w:val="en-US" w:eastAsia="zh-CN"/>
              </w:rPr>
            </w:pPr>
          </w:p>
        </w:tc>
      </w:tr>
      <w:tr w14:paraId="1054BF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00EB48D4">
            <w:pPr>
              <w:pStyle w:val="24"/>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5C22EE5C">
            <w:pPr>
              <w:pStyle w:val="24"/>
              <w:bidi w:val="0"/>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63EEF716">
            <w:pPr>
              <w:pStyle w:val="24"/>
              <w:bidi w:val="0"/>
              <w:rPr>
                <w:rFonts w:hint="eastAsia" w:cs="Times New Roman"/>
                <w:color w:val="auto"/>
                <w:u w:val="none" w:color="auto"/>
                <w:lang w:val="en-US" w:eastAsia="zh-CN"/>
              </w:rPr>
            </w:pPr>
          </w:p>
        </w:tc>
        <w:tc>
          <w:tcPr>
            <w:tcW w:w="1087" w:type="dxa"/>
            <w:tcBorders>
              <w:tl2br w:val="nil"/>
              <w:tr2bl w:val="nil"/>
            </w:tcBorders>
            <w:noWrap w:val="0"/>
            <w:vAlign w:val="center"/>
          </w:tcPr>
          <w:p w14:paraId="57968FF9">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废膜</w:t>
            </w:r>
          </w:p>
        </w:tc>
        <w:tc>
          <w:tcPr>
            <w:tcW w:w="1830" w:type="dxa"/>
            <w:vMerge w:val="continue"/>
            <w:tcBorders>
              <w:tl2br w:val="nil"/>
              <w:tr2bl w:val="nil"/>
            </w:tcBorders>
            <w:noWrap w:val="0"/>
            <w:vAlign w:val="center"/>
          </w:tcPr>
          <w:p w14:paraId="4950044B">
            <w:pPr>
              <w:pStyle w:val="24"/>
              <w:bidi w:val="0"/>
              <w:rPr>
                <w:rFonts w:hint="eastAsia" w:ascii="Times New Roman" w:hAnsi="Times New Roman" w:cs="Times New Roman"/>
                <w:color w:val="auto"/>
                <w:u w:val="none" w:color="auto"/>
                <w:lang w:val="en-US" w:eastAsia="zh-CN"/>
              </w:rPr>
            </w:pPr>
          </w:p>
        </w:tc>
        <w:tc>
          <w:tcPr>
            <w:tcW w:w="2947" w:type="dxa"/>
            <w:vMerge w:val="continue"/>
            <w:tcBorders>
              <w:tl2br w:val="nil"/>
              <w:tr2bl w:val="nil"/>
            </w:tcBorders>
            <w:noWrap w:val="0"/>
            <w:vAlign w:val="center"/>
          </w:tcPr>
          <w:p w14:paraId="11C98FC0">
            <w:pPr>
              <w:pStyle w:val="24"/>
              <w:rPr>
                <w:rFonts w:hint="default" w:ascii="Times New Roman" w:hAnsi="Times New Roman" w:cs="Times New Roman"/>
                <w:color w:val="auto"/>
                <w:u w:val="none" w:color="auto"/>
                <w:lang w:val="en-US" w:eastAsia="zh-CN"/>
              </w:rPr>
            </w:pPr>
          </w:p>
        </w:tc>
      </w:tr>
      <w:tr w14:paraId="70A4C8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2FFE84CF">
            <w:pPr>
              <w:pStyle w:val="24"/>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202816A9">
            <w:pPr>
              <w:pStyle w:val="24"/>
              <w:bidi w:val="0"/>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6713C177">
            <w:pPr>
              <w:pStyle w:val="24"/>
              <w:bidi w:val="0"/>
              <w:rPr>
                <w:rFonts w:hint="eastAsia" w:cs="Times New Roman"/>
                <w:color w:val="auto"/>
                <w:u w:val="none" w:color="auto"/>
                <w:lang w:val="en-US" w:eastAsia="zh-CN"/>
              </w:rPr>
            </w:pPr>
          </w:p>
        </w:tc>
        <w:tc>
          <w:tcPr>
            <w:tcW w:w="1087" w:type="dxa"/>
            <w:tcBorders>
              <w:tl2br w:val="nil"/>
              <w:tr2bl w:val="nil"/>
            </w:tcBorders>
            <w:noWrap w:val="0"/>
            <w:vAlign w:val="center"/>
          </w:tcPr>
          <w:p w14:paraId="53F8C677">
            <w:pPr>
              <w:pStyle w:val="24"/>
              <w:bidi w:val="0"/>
              <w:rPr>
                <w:rFonts w:hint="default" w:ascii="Times New Roman" w:hAnsi="Times New Roman" w:eastAsia="宋体" w:cs="Times New Roman"/>
                <w:color w:val="auto"/>
                <w:u w:val="none" w:color="auto"/>
                <w:lang w:val="en-US" w:eastAsia="zh-CN"/>
              </w:rPr>
            </w:pPr>
            <w:r>
              <w:rPr>
                <w:rFonts w:hint="eastAsia" w:ascii="Times New Roman" w:hAnsi="Times New Roman" w:eastAsia="宋体" w:cs="Times New Roman"/>
                <w:color w:val="auto"/>
                <w:u w:val="none" w:color="auto"/>
                <w:lang w:val="en-US" w:eastAsia="zh-CN"/>
              </w:rPr>
              <w:t>不合格品及边角料</w:t>
            </w:r>
          </w:p>
        </w:tc>
        <w:tc>
          <w:tcPr>
            <w:tcW w:w="1830" w:type="dxa"/>
            <w:vMerge w:val="continue"/>
            <w:tcBorders>
              <w:tl2br w:val="nil"/>
              <w:tr2bl w:val="nil"/>
            </w:tcBorders>
            <w:noWrap w:val="0"/>
            <w:vAlign w:val="center"/>
          </w:tcPr>
          <w:p w14:paraId="77C532C3">
            <w:pPr>
              <w:pStyle w:val="24"/>
              <w:bidi w:val="0"/>
              <w:rPr>
                <w:rFonts w:hint="eastAsia" w:ascii="Times New Roman" w:hAnsi="Times New Roman" w:cs="Times New Roman"/>
                <w:color w:val="auto"/>
                <w:u w:val="none" w:color="auto"/>
                <w:lang w:val="en-US" w:eastAsia="zh-CN"/>
              </w:rPr>
            </w:pPr>
          </w:p>
        </w:tc>
        <w:tc>
          <w:tcPr>
            <w:tcW w:w="2947" w:type="dxa"/>
            <w:vMerge w:val="continue"/>
            <w:tcBorders>
              <w:tl2br w:val="nil"/>
              <w:tr2bl w:val="nil"/>
            </w:tcBorders>
            <w:noWrap w:val="0"/>
            <w:vAlign w:val="center"/>
          </w:tcPr>
          <w:p w14:paraId="199C6F93">
            <w:pPr>
              <w:pStyle w:val="24"/>
              <w:rPr>
                <w:rFonts w:hint="default" w:ascii="Times New Roman" w:hAnsi="Times New Roman" w:cs="Times New Roman"/>
                <w:color w:val="auto"/>
                <w:u w:val="none" w:color="auto"/>
                <w:lang w:val="en-US" w:eastAsia="zh-CN"/>
              </w:rPr>
            </w:pPr>
          </w:p>
        </w:tc>
      </w:tr>
      <w:tr w14:paraId="23172F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7826A167">
            <w:pPr>
              <w:pStyle w:val="24"/>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701CF5AE">
            <w:pPr>
              <w:pStyle w:val="24"/>
              <w:bidi w:val="0"/>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4566D9FB">
            <w:pPr>
              <w:pStyle w:val="24"/>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4811119A">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循环沉淀池沉渣</w:t>
            </w:r>
          </w:p>
        </w:tc>
        <w:tc>
          <w:tcPr>
            <w:tcW w:w="1830" w:type="dxa"/>
            <w:tcBorders>
              <w:tl2br w:val="nil"/>
              <w:tr2bl w:val="nil"/>
            </w:tcBorders>
            <w:noWrap w:val="0"/>
            <w:vAlign w:val="center"/>
          </w:tcPr>
          <w:p w14:paraId="020BC65F">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外售</w:t>
            </w:r>
            <w:r>
              <w:rPr>
                <w:rFonts w:hint="eastAsia" w:ascii="Times New Roman" w:hAnsi="Times New Roman" w:cs="Times New Roman"/>
                <w:color w:val="auto"/>
                <w:u w:val="none" w:color="auto"/>
                <w:lang w:val="en-US" w:eastAsia="zh-CN"/>
              </w:rPr>
              <w:t>综合利用</w:t>
            </w:r>
          </w:p>
        </w:tc>
        <w:tc>
          <w:tcPr>
            <w:tcW w:w="2947" w:type="dxa"/>
            <w:vMerge w:val="continue"/>
            <w:tcBorders>
              <w:tl2br w:val="nil"/>
              <w:tr2bl w:val="nil"/>
            </w:tcBorders>
            <w:noWrap w:val="0"/>
            <w:vAlign w:val="center"/>
          </w:tcPr>
          <w:p w14:paraId="6D67404C">
            <w:pPr>
              <w:pStyle w:val="24"/>
              <w:rPr>
                <w:rFonts w:hint="default" w:ascii="Times New Roman" w:hAnsi="Times New Roman" w:cs="Times New Roman"/>
                <w:color w:val="auto"/>
                <w:u w:val="none" w:color="auto"/>
                <w:lang w:val="en-US" w:eastAsia="zh-CN"/>
              </w:rPr>
            </w:pPr>
          </w:p>
        </w:tc>
      </w:tr>
      <w:tr w14:paraId="4B87F9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2998004E">
            <w:pPr>
              <w:pStyle w:val="24"/>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421D80F1">
            <w:pPr>
              <w:pStyle w:val="24"/>
              <w:bidi w:val="0"/>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090867DF">
            <w:pPr>
              <w:pStyle w:val="24"/>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6CE2978A">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一般性废包装材料</w:t>
            </w:r>
          </w:p>
        </w:tc>
        <w:tc>
          <w:tcPr>
            <w:tcW w:w="1830" w:type="dxa"/>
            <w:tcBorders>
              <w:tl2br w:val="nil"/>
              <w:tr2bl w:val="nil"/>
            </w:tcBorders>
            <w:noWrap w:val="0"/>
            <w:vAlign w:val="center"/>
          </w:tcPr>
          <w:p w14:paraId="233770AB">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其他包装材料收集后外售综合利用、水性胶粘剂包装桶收集后由广</w:t>
            </w:r>
          </w:p>
          <w:p w14:paraId="747A013E">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家回收利用</w:t>
            </w:r>
          </w:p>
        </w:tc>
        <w:tc>
          <w:tcPr>
            <w:tcW w:w="2947" w:type="dxa"/>
            <w:vMerge w:val="continue"/>
            <w:tcBorders>
              <w:tl2br w:val="nil"/>
              <w:tr2bl w:val="nil"/>
            </w:tcBorders>
            <w:noWrap w:val="0"/>
            <w:vAlign w:val="center"/>
          </w:tcPr>
          <w:p w14:paraId="0C4D38D5">
            <w:pPr>
              <w:pStyle w:val="24"/>
              <w:rPr>
                <w:rFonts w:hint="default" w:ascii="Times New Roman" w:hAnsi="Times New Roman" w:cs="Times New Roman"/>
                <w:color w:val="auto"/>
                <w:u w:val="none" w:color="auto"/>
                <w:lang w:val="en-US" w:eastAsia="zh-CN"/>
              </w:rPr>
            </w:pPr>
          </w:p>
        </w:tc>
      </w:tr>
      <w:tr w14:paraId="5BE4EE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4205CAC0">
            <w:pPr>
              <w:pStyle w:val="24"/>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27AD18EE">
            <w:pPr>
              <w:pStyle w:val="24"/>
              <w:rPr>
                <w:rFonts w:hint="default" w:ascii="Times New Roman" w:hAnsi="Times New Roman" w:cs="Times New Roman"/>
                <w:color w:val="auto"/>
                <w:u w:val="none" w:color="auto"/>
                <w:lang w:val="en-US" w:eastAsia="zh-CN"/>
              </w:rPr>
            </w:pPr>
          </w:p>
        </w:tc>
        <w:tc>
          <w:tcPr>
            <w:tcW w:w="749" w:type="dxa"/>
            <w:vMerge w:val="restart"/>
            <w:tcBorders>
              <w:tl2br w:val="nil"/>
              <w:tr2bl w:val="nil"/>
            </w:tcBorders>
            <w:noWrap w:val="0"/>
            <w:vAlign w:val="center"/>
          </w:tcPr>
          <w:p w14:paraId="166566E4">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危险废物</w:t>
            </w:r>
          </w:p>
        </w:tc>
        <w:tc>
          <w:tcPr>
            <w:tcW w:w="1087" w:type="dxa"/>
            <w:tcBorders>
              <w:tl2br w:val="nil"/>
              <w:tr2bl w:val="nil"/>
            </w:tcBorders>
            <w:noWrap w:val="0"/>
            <w:vAlign w:val="center"/>
          </w:tcPr>
          <w:p w14:paraId="4DDB4E2C">
            <w:pPr>
              <w:pStyle w:val="24"/>
              <w:bidi w:val="0"/>
              <w:rPr>
                <w:rFonts w:hint="default" w:ascii="Times New Roman" w:hAnsi="Times New Roman" w:cs="Times New Roman"/>
                <w:color w:val="auto"/>
                <w:u w:val="none" w:color="auto"/>
                <w:lang w:val="en-US" w:eastAsia="zh-CN"/>
              </w:rPr>
            </w:pPr>
            <w:r>
              <w:rPr>
                <w:rFonts w:hint="eastAsia" w:ascii="Times New Roman" w:hAnsi="Times New Roman" w:cs="Times New Roman"/>
                <w:color w:val="auto"/>
                <w:u w:val="none" w:color="auto"/>
                <w:lang w:val="en-US" w:eastAsia="zh-CN"/>
              </w:rPr>
              <w:t>废矿物油</w:t>
            </w:r>
          </w:p>
        </w:tc>
        <w:tc>
          <w:tcPr>
            <w:tcW w:w="1830" w:type="dxa"/>
            <w:vMerge w:val="restart"/>
            <w:tcBorders>
              <w:tl2br w:val="nil"/>
              <w:tr2bl w:val="nil"/>
            </w:tcBorders>
            <w:noWrap w:val="0"/>
            <w:vAlign w:val="center"/>
          </w:tcPr>
          <w:p w14:paraId="5F7748C3">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暂存于危废暂存间后交由资质单位处理</w:t>
            </w:r>
          </w:p>
        </w:tc>
        <w:tc>
          <w:tcPr>
            <w:tcW w:w="2947" w:type="dxa"/>
            <w:vMerge w:val="continue"/>
            <w:tcBorders>
              <w:tl2br w:val="nil"/>
              <w:tr2bl w:val="nil"/>
            </w:tcBorders>
            <w:noWrap w:val="0"/>
            <w:vAlign w:val="center"/>
          </w:tcPr>
          <w:p w14:paraId="13AC901A">
            <w:pPr>
              <w:pStyle w:val="24"/>
              <w:rPr>
                <w:rFonts w:hint="default" w:ascii="Times New Roman" w:hAnsi="Times New Roman" w:cs="Times New Roman"/>
                <w:color w:val="auto"/>
                <w:u w:val="none" w:color="auto"/>
                <w:lang w:val="en-US" w:eastAsia="zh-CN"/>
              </w:rPr>
            </w:pPr>
          </w:p>
        </w:tc>
      </w:tr>
      <w:tr w14:paraId="3E4B103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18383BBE">
            <w:pPr>
              <w:pStyle w:val="24"/>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42BCC6C7">
            <w:pPr>
              <w:pStyle w:val="24"/>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76B1FEA1">
            <w:pPr>
              <w:pStyle w:val="24"/>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55FBC265">
            <w:pPr>
              <w:pStyle w:val="24"/>
              <w:bidi w:val="0"/>
              <w:rPr>
                <w:rFonts w:hint="default" w:cs="Times New Roman"/>
                <w:color w:val="auto"/>
                <w:u w:val="none" w:color="auto"/>
                <w:lang w:val="en-US" w:eastAsia="zh-CN"/>
              </w:rPr>
            </w:pPr>
            <w:r>
              <w:rPr>
                <w:rFonts w:hint="eastAsia" w:cs="Times New Roman"/>
                <w:color w:val="auto"/>
                <w:u w:val="none" w:color="auto"/>
                <w:lang w:val="en-US" w:eastAsia="zh-CN"/>
              </w:rPr>
              <w:t>废活性炭</w:t>
            </w:r>
          </w:p>
        </w:tc>
        <w:tc>
          <w:tcPr>
            <w:tcW w:w="1830" w:type="dxa"/>
            <w:vMerge w:val="continue"/>
            <w:tcBorders>
              <w:tl2br w:val="nil"/>
              <w:tr2bl w:val="nil"/>
            </w:tcBorders>
            <w:noWrap w:val="0"/>
            <w:vAlign w:val="center"/>
          </w:tcPr>
          <w:p w14:paraId="3EA9A662">
            <w:pPr>
              <w:pStyle w:val="24"/>
              <w:bidi w:val="0"/>
              <w:rPr>
                <w:rFonts w:hint="default" w:ascii="Times New Roman" w:hAnsi="Times New Roman" w:cs="Times New Roman"/>
                <w:color w:val="auto"/>
                <w:u w:val="none" w:color="auto"/>
                <w:lang w:val="en-US" w:eastAsia="zh-CN"/>
              </w:rPr>
            </w:pPr>
          </w:p>
        </w:tc>
        <w:tc>
          <w:tcPr>
            <w:tcW w:w="2947" w:type="dxa"/>
            <w:vMerge w:val="continue"/>
            <w:tcBorders>
              <w:tl2br w:val="nil"/>
              <w:tr2bl w:val="nil"/>
            </w:tcBorders>
            <w:noWrap w:val="0"/>
            <w:vAlign w:val="center"/>
          </w:tcPr>
          <w:p w14:paraId="74296E25">
            <w:pPr>
              <w:pStyle w:val="24"/>
              <w:rPr>
                <w:rFonts w:hint="default" w:ascii="Times New Roman" w:hAnsi="Times New Roman" w:cs="Times New Roman"/>
                <w:color w:val="auto"/>
                <w:u w:val="none" w:color="auto"/>
                <w:lang w:val="en-US" w:eastAsia="zh-CN"/>
              </w:rPr>
            </w:pPr>
          </w:p>
        </w:tc>
      </w:tr>
      <w:tr w14:paraId="68E187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74FBB401">
            <w:pPr>
              <w:pStyle w:val="24"/>
              <w:rPr>
                <w:rFonts w:hint="default" w:ascii="Times New Roman" w:hAnsi="Times New Roman" w:cs="Times New Roman"/>
                <w:color w:val="auto"/>
                <w:u w:val="none" w:color="auto"/>
                <w:lang w:val="en-US" w:eastAsia="zh-CN"/>
              </w:rPr>
            </w:pPr>
          </w:p>
        </w:tc>
        <w:tc>
          <w:tcPr>
            <w:tcW w:w="1098" w:type="dxa"/>
            <w:vMerge w:val="continue"/>
            <w:tcBorders>
              <w:tl2br w:val="nil"/>
              <w:tr2bl w:val="nil"/>
            </w:tcBorders>
            <w:noWrap w:val="0"/>
            <w:vAlign w:val="center"/>
          </w:tcPr>
          <w:p w14:paraId="6049FC0F">
            <w:pPr>
              <w:pStyle w:val="24"/>
              <w:rPr>
                <w:rFonts w:hint="default" w:ascii="Times New Roman" w:hAnsi="Times New Roman" w:cs="Times New Roman"/>
                <w:color w:val="auto"/>
                <w:u w:val="none" w:color="auto"/>
                <w:lang w:val="en-US" w:eastAsia="zh-CN"/>
              </w:rPr>
            </w:pPr>
          </w:p>
        </w:tc>
        <w:tc>
          <w:tcPr>
            <w:tcW w:w="749" w:type="dxa"/>
            <w:vMerge w:val="continue"/>
            <w:tcBorders>
              <w:tl2br w:val="nil"/>
              <w:tr2bl w:val="nil"/>
            </w:tcBorders>
            <w:noWrap w:val="0"/>
            <w:vAlign w:val="center"/>
          </w:tcPr>
          <w:p w14:paraId="26991E3D">
            <w:pPr>
              <w:pStyle w:val="24"/>
              <w:bidi w:val="0"/>
              <w:rPr>
                <w:rFonts w:hint="default" w:ascii="Times New Roman" w:hAnsi="Times New Roman" w:cs="Times New Roman"/>
                <w:color w:val="auto"/>
                <w:u w:val="none" w:color="auto"/>
                <w:lang w:val="en-US" w:eastAsia="zh-CN"/>
              </w:rPr>
            </w:pPr>
          </w:p>
        </w:tc>
        <w:tc>
          <w:tcPr>
            <w:tcW w:w="1087" w:type="dxa"/>
            <w:tcBorders>
              <w:tl2br w:val="nil"/>
              <w:tr2bl w:val="nil"/>
            </w:tcBorders>
            <w:noWrap w:val="0"/>
            <w:vAlign w:val="center"/>
          </w:tcPr>
          <w:p w14:paraId="356C8771">
            <w:pPr>
              <w:pStyle w:val="24"/>
              <w:bidi w:val="0"/>
              <w:rPr>
                <w:rFonts w:hint="default" w:cs="Times New Roman"/>
                <w:color w:val="auto"/>
                <w:u w:val="none" w:color="auto"/>
                <w:lang w:val="en-US" w:eastAsia="zh-CN"/>
              </w:rPr>
            </w:pPr>
            <w:r>
              <w:rPr>
                <w:rFonts w:hint="eastAsia" w:ascii="Times New Roman" w:hAnsi="Times New Roman" w:cs="Times New Roman"/>
                <w:color w:val="auto"/>
                <w:u w:val="none" w:color="auto"/>
                <w:lang w:val="en-US" w:eastAsia="zh-CN"/>
              </w:rPr>
              <w:t>溶剂型胶粘剂包装桶</w:t>
            </w:r>
          </w:p>
        </w:tc>
        <w:tc>
          <w:tcPr>
            <w:tcW w:w="1830" w:type="dxa"/>
            <w:vMerge w:val="continue"/>
            <w:tcBorders>
              <w:tl2br w:val="nil"/>
              <w:tr2bl w:val="nil"/>
            </w:tcBorders>
            <w:noWrap w:val="0"/>
            <w:vAlign w:val="center"/>
          </w:tcPr>
          <w:p w14:paraId="3A244085">
            <w:pPr>
              <w:pStyle w:val="24"/>
              <w:bidi w:val="0"/>
              <w:rPr>
                <w:rFonts w:hint="default" w:ascii="Times New Roman" w:hAnsi="Times New Roman" w:cs="Times New Roman"/>
                <w:color w:val="auto"/>
                <w:u w:val="none" w:color="auto"/>
                <w:lang w:val="en-US" w:eastAsia="zh-CN"/>
              </w:rPr>
            </w:pPr>
          </w:p>
        </w:tc>
        <w:tc>
          <w:tcPr>
            <w:tcW w:w="2947" w:type="dxa"/>
            <w:vMerge w:val="continue"/>
            <w:tcBorders>
              <w:tl2br w:val="nil"/>
              <w:tr2bl w:val="nil"/>
            </w:tcBorders>
            <w:noWrap w:val="0"/>
            <w:vAlign w:val="center"/>
          </w:tcPr>
          <w:p w14:paraId="0CF5EDED">
            <w:pPr>
              <w:pStyle w:val="24"/>
              <w:rPr>
                <w:rFonts w:hint="default" w:ascii="Times New Roman" w:hAnsi="Times New Roman" w:cs="Times New Roman"/>
                <w:color w:val="auto"/>
                <w:u w:val="none" w:color="auto"/>
                <w:lang w:val="en-US" w:eastAsia="zh-CN"/>
              </w:rPr>
            </w:pPr>
          </w:p>
        </w:tc>
      </w:tr>
      <w:tr w14:paraId="71FB28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tcBorders>
              <w:tl2br w:val="nil"/>
              <w:tr2bl w:val="nil"/>
            </w:tcBorders>
            <w:noWrap w:val="0"/>
            <w:vAlign w:val="center"/>
          </w:tcPr>
          <w:p w14:paraId="68C77EE2">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噪声</w:t>
            </w:r>
          </w:p>
        </w:tc>
        <w:tc>
          <w:tcPr>
            <w:tcW w:w="1098" w:type="dxa"/>
            <w:tcBorders>
              <w:tl2br w:val="nil"/>
              <w:tr2bl w:val="nil"/>
            </w:tcBorders>
            <w:noWrap w:val="0"/>
            <w:vAlign w:val="center"/>
          </w:tcPr>
          <w:p w14:paraId="08F8B5B0">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生产区域</w:t>
            </w:r>
          </w:p>
        </w:tc>
        <w:tc>
          <w:tcPr>
            <w:tcW w:w="1836" w:type="dxa"/>
            <w:gridSpan w:val="2"/>
            <w:tcBorders>
              <w:tl2br w:val="nil"/>
              <w:tr2bl w:val="nil"/>
            </w:tcBorders>
            <w:noWrap w:val="0"/>
            <w:vAlign w:val="center"/>
          </w:tcPr>
          <w:p w14:paraId="455EAEBD">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LeqA</w:t>
            </w:r>
          </w:p>
        </w:tc>
        <w:tc>
          <w:tcPr>
            <w:tcW w:w="1830" w:type="dxa"/>
            <w:tcBorders>
              <w:tl2br w:val="nil"/>
              <w:tr2bl w:val="nil"/>
            </w:tcBorders>
            <w:noWrap w:val="0"/>
            <w:vAlign w:val="center"/>
          </w:tcPr>
          <w:p w14:paraId="5AEECE00">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设备减振底座、加强绿化</w:t>
            </w:r>
          </w:p>
        </w:tc>
        <w:tc>
          <w:tcPr>
            <w:tcW w:w="2947" w:type="dxa"/>
            <w:tcBorders>
              <w:tl2br w:val="nil"/>
              <w:tr2bl w:val="nil"/>
            </w:tcBorders>
            <w:noWrap w:val="0"/>
            <w:vAlign w:val="center"/>
          </w:tcPr>
          <w:p w14:paraId="76DDCEAA">
            <w:pPr>
              <w:pStyle w:val="24"/>
              <w:bidi w:val="0"/>
              <w:rPr>
                <w:rFonts w:hint="default" w:ascii="Times New Roman" w:hAnsi="Times New Roman" w:cs="Times New Roman"/>
                <w:color w:val="auto"/>
                <w:u w:val="none" w:color="auto"/>
                <w:lang w:val="en-US" w:eastAsia="zh-CN"/>
              </w:rPr>
            </w:pPr>
            <w:r>
              <w:rPr>
                <w:rFonts w:hint="default" w:ascii="Times New Roman" w:hAnsi="Times New Roman" w:cs="Times New Roman"/>
                <w:color w:val="auto"/>
                <w:u w:val="none" w:color="auto"/>
                <w:lang w:val="en-US" w:eastAsia="zh-CN"/>
              </w:rPr>
              <w:t>《工业企业厂界环境噪声排放标准》（GB12348-2008）</w:t>
            </w:r>
            <w:r>
              <w:rPr>
                <w:rFonts w:hint="eastAsia" w:cs="Times New Roman"/>
                <w:color w:val="auto"/>
                <w:u w:val="none" w:color="auto"/>
                <w:lang w:val="en-US" w:eastAsia="zh-CN"/>
              </w:rPr>
              <w:t>3</w:t>
            </w:r>
            <w:r>
              <w:rPr>
                <w:rFonts w:hint="default" w:ascii="Times New Roman" w:hAnsi="Times New Roman" w:cs="Times New Roman"/>
                <w:color w:val="auto"/>
                <w:u w:val="none" w:color="auto"/>
                <w:lang w:val="en-US" w:eastAsia="zh-CN"/>
              </w:rPr>
              <w:t>类标准</w:t>
            </w:r>
          </w:p>
        </w:tc>
      </w:tr>
      <w:tr w14:paraId="468A81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restart"/>
            <w:tcBorders>
              <w:tl2br w:val="nil"/>
              <w:tr2bl w:val="nil"/>
            </w:tcBorders>
            <w:noWrap w:val="0"/>
            <w:vAlign w:val="center"/>
          </w:tcPr>
          <w:p w14:paraId="7438C51F">
            <w:pPr>
              <w:pStyle w:val="24"/>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地下水</w:t>
            </w:r>
          </w:p>
        </w:tc>
        <w:tc>
          <w:tcPr>
            <w:tcW w:w="1098" w:type="dxa"/>
            <w:vMerge w:val="restart"/>
            <w:tcBorders>
              <w:tl2br w:val="nil"/>
              <w:tr2bl w:val="nil"/>
            </w:tcBorders>
            <w:noWrap w:val="0"/>
            <w:vAlign w:val="center"/>
          </w:tcPr>
          <w:p w14:paraId="14AEFABD">
            <w:pPr>
              <w:pStyle w:val="24"/>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分区防渗</w:t>
            </w:r>
          </w:p>
        </w:tc>
        <w:tc>
          <w:tcPr>
            <w:tcW w:w="1836" w:type="dxa"/>
            <w:gridSpan w:val="2"/>
            <w:tcBorders>
              <w:tl2br w:val="nil"/>
              <w:tr2bl w:val="nil"/>
            </w:tcBorders>
            <w:noWrap w:val="0"/>
            <w:vAlign w:val="center"/>
          </w:tcPr>
          <w:p w14:paraId="2DD17933">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循环水池、危废暂存间、仓库区域胶粘剂暂存区地面</w:t>
            </w:r>
          </w:p>
        </w:tc>
        <w:tc>
          <w:tcPr>
            <w:tcW w:w="1830" w:type="dxa"/>
            <w:tcBorders>
              <w:tl2br w:val="nil"/>
              <w:tr2bl w:val="nil"/>
            </w:tcBorders>
            <w:noWrap w:val="0"/>
            <w:vAlign w:val="center"/>
          </w:tcPr>
          <w:p w14:paraId="67951D59">
            <w:pPr>
              <w:pStyle w:val="24"/>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重点防渗区</w:t>
            </w:r>
          </w:p>
        </w:tc>
        <w:tc>
          <w:tcPr>
            <w:tcW w:w="2947" w:type="dxa"/>
            <w:tcBorders>
              <w:tl2br w:val="nil"/>
              <w:tr2bl w:val="nil"/>
            </w:tcBorders>
            <w:noWrap w:val="0"/>
            <w:vAlign w:val="center"/>
          </w:tcPr>
          <w:p w14:paraId="60C82E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参照</w:t>
            </w:r>
            <w:r>
              <w:rPr>
                <w:rFonts w:hint="default" w:ascii="Times New Roman" w:hAnsi="Times New Roman" w:cs="Times New Roman"/>
                <w:color w:val="auto"/>
                <w:u w:val="none" w:color="auto"/>
              </w:rPr>
              <w:t>《危险废物贮存污染控制标准》（GB18597</w:t>
            </w:r>
            <w:r>
              <w:rPr>
                <w:rFonts w:hint="eastAsia" w:ascii="Times New Roman" w:hAnsi="Times New Roman" w:cs="Times New Roman"/>
                <w:color w:val="auto"/>
                <w:u w:val="none" w:color="auto"/>
                <w:lang w:val="en-US" w:eastAsia="zh-CN"/>
              </w:rPr>
              <w:t>-2023</w:t>
            </w:r>
            <w:r>
              <w:rPr>
                <w:rFonts w:hint="default" w:ascii="Times New Roman" w:hAnsi="Times New Roman" w:cs="Times New Roman"/>
                <w:color w:val="auto"/>
                <w:u w:val="none" w:color="auto"/>
              </w:rPr>
              <w:t>）</w:t>
            </w:r>
          </w:p>
        </w:tc>
      </w:tr>
      <w:tr w14:paraId="3DC96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38D9E873">
            <w:pPr>
              <w:pStyle w:val="24"/>
              <w:bidi w:val="0"/>
              <w:rPr>
                <w:rFonts w:hint="eastAsia" w:cs="Times New Roman"/>
                <w:color w:val="auto"/>
                <w:u w:val="none" w:color="auto"/>
                <w:lang w:val="en-US" w:eastAsia="zh-CN"/>
              </w:rPr>
            </w:pPr>
          </w:p>
        </w:tc>
        <w:tc>
          <w:tcPr>
            <w:tcW w:w="1098" w:type="dxa"/>
            <w:vMerge w:val="continue"/>
            <w:tcBorders>
              <w:tl2br w:val="nil"/>
              <w:tr2bl w:val="nil"/>
            </w:tcBorders>
            <w:noWrap w:val="0"/>
            <w:vAlign w:val="center"/>
          </w:tcPr>
          <w:p w14:paraId="1EBC4933">
            <w:pPr>
              <w:pStyle w:val="24"/>
              <w:bidi w:val="0"/>
              <w:rPr>
                <w:rFonts w:hint="eastAsia" w:cs="Times New Roman"/>
                <w:color w:val="auto"/>
                <w:u w:val="none" w:color="auto"/>
                <w:lang w:val="en-US" w:eastAsia="zh-CN"/>
              </w:rPr>
            </w:pPr>
          </w:p>
        </w:tc>
        <w:tc>
          <w:tcPr>
            <w:tcW w:w="1836" w:type="dxa"/>
            <w:gridSpan w:val="2"/>
            <w:tcBorders>
              <w:tl2br w:val="nil"/>
              <w:tr2bl w:val="nil"/>
            </w:tcBorders>
            <w:noWrap w:val="0"/>
            <w:vAlign w:val="center"/>
          </w:tcPr>
          <w:p w14:paraId="704976F1">
            <w:pPr>
              <w:pStyle w:val="24"/>
              <w:bidi w:val="0"/>
              <w:rPr>
                <w:rFonts w:hint="eastAsia" w:ascii="Times New Roman" w:hAnsi="Times New Roman" w:eastAsia="宋体" w:cs="Times New Roman"/>
                <w:color w:val="auto"/>
                <w:kern w:val="2"/>
                <w:sz w:val="21"/>
                <w:szCs w:val="21"/>
                <w:u w:val="none" w:color="auto"/>
                <w:lang w:val="en-US" w:eastAsia="zh-CN" w:bidi="ar-SA"/>
              </w:rPr>
            </w:pPr>
            <w:r>
              <w:rPr>
                <w:rFonts w:hint="eastAsia"/>
                <w:color w:val="auto"/>
                <w:u w:val="none" w:color="auto"/>
                <w:lang w:val="en-US" w:eastAsia="zh-CN"/>
              </w:rPr>
              <w:t>生产车间地面、仓库其他区域、半成品及</w:t>
            </w:r>
            <w:r>
              <w:rPr>
                <w:rFonts w:hint="default"/>
                <w:color w:val="auto"/>
                <w:u w:val="none" w:color="auto"/>
                <w:lang w:eastAsia="zh-CN"/>
              </w:rPr>
              <w:t>成品</w:t>
            </w:r>
            <w:r>
              <w:rPr>
                <w:rFonts w:hint="eastAsia"/>
                <w:color w:val="auto"/>
                <w:u w:val="none" w:color="auto"/>
                <w:lang w:eastAsia="zh-CN"/>
              </w:rPr>
              <w:t>区</w:t>
            </w:r>
            <w:r>
              <w:rPr>
                <w:rFonts w:hint="default"/>
                <w:color w:val="auto"/>
                <w:u w:val="none" w:color="auto"/>
                <w:lang w:eastAsia="zh-CN"/>
              </w:rPr>
              <w:t>、</w:t>
            </w:r>
            <w:r>
              <w:rPr>
                <w:rFonts w:hint="eastAsia"/>
                <w:color w:val="auto"/>
                <w:u w:val="none" w:color="auto"/>
                <w:lang w:val="en-US" w:eastAsia="zh-CN"/>
              </w:rPr>
              <w:t>一般固废暂存间、</w:t>
            </w:r>
            <w:r>
              <w:rPr>
                <w:rFonts w:hint="default"/>
                <w:color w:val="auto"/>
                <w:u w:val="none" w:color="auto"/>
                <w:lang w:val="en-US" w:eastAsia="zh-CN"/>
              </w:rPr>
              <w:t>其他公用单元</w:t>
            </w:r>
            <w:r>
              <w:rPr>
                <w:rFonts w:hint="default"/>
                <w:color w:val="auto"/>
                <w:u w:val="none" w:color="auto"/>
                <w:lang w:eastAsia="zh-CN"/>
              </w:rPr>
              <w:t>等</w:t>
            </w:r>
          </w:p>
        </w:tc>
        <w:tc>
          <w:tcPr>
            <w:tcW w:w="1830" w:type="dxa"/>
            <w:tcBorders>
              <w:tl2br w:val="nil"/>
              <w:tr2bl w:val="nil"/>
            </w:tcBorders>
            <w:noWrap w:val="0"/>
            <w:vAlign w:val="center"/>
          </w:tcPr>
          <w:p w14:paraId="026F0ABA">
            <w:pPr>
              <w:pStyle w:val="24"/>
              <w:bidi w:val="0"/>
              <w:rPr>
                <w:rFonts w:hint="default" w:cs="Times New Roman"/>
                <w:color w:val="auto"/>
                <w:u w:val="none" w:color="auto"/>
                <w:lang w:val="en-US" w:eastAsia="zh-CN"/>
              </w:rPr>
            </w:pPr>
            <w:r>
              <w:rPr>
                <w:rFonts w:hint="eastAsia" w:cs="Times New Roman"/>
                <w:color w:val="auto"/>
                <w:u w:val="none" w:color="auto"/>
                <w:lang w:val="en-US" w:eastAsia="zh-CN"/>
              </w:rPr>
              <w:t>一般防渗区</w:t>
            </w:r>
          </w:p>
        </w:tc>
        <w:tc>
          <w:tcPr>
            <w:tcW w:w="2947" w:type="dxa"/>
            <w:tcBorders>
              <w:tl2br w:val="nil"/>
              <w:tr2bl w:val="nil"/>
            </w:tcBorders>
            <w:noWrap w:val="0"/>
            <w:vAlign w:val="center"/>
          </w:tcPr>
          <w:p w14:paraId="2DC9242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eastAsia="zh-CN"/>
              </w:rPr>
              <w:t>参照</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fldChar w:fldCharType="begin"/>
            </w:r>
            <w:r>
              <w:rPr>
                <w:rFonts w:hint="default" w:ascii="Times New Roman" w:hAnsi="Times New Roman" w:eastAsia="宋体" w:cs="Times New Roman"/>
                <w:color w:val="auto"/>
                <w:sz w:val="21"/>
                <w:szCs w:val="21"/>
                <w:highlight w:val="none"/>
                <w:u w:val="none" w:color="auto"/>
              </w:rPr>
              <w:instrText xml:space="preserve"> HYPERLINK "https://www.so.com/link?m=bSEGDpAPKbIJO16jN16WzmXrPE8T0D/T9B/xlJQZDUW3yrvVDlFZroRd6YmlQY+LMMBUFx/35JHk2dlyYG13EjkW0rUvPMMMwhfpRRJLhWwyR+oEUgq+kmnuKQi30YbB4BT+t6g==" \t "https://www.so.com/_blank" </w:instrText>
            </w:r>
            <w:r>
              <w:rPr>
                <w:rFonts w:hint="default" w:ascii="Times New Roman" w:hAnsi="Times New Roman" w:eastAsia="宋体" w:cs="Times New Roman"/>
                <w:color w:val="auto"/>
                <w:sz w:val="21"/>
                <w:szCs w:val="21"/>
                <w:highlight w:val="none"/>
                <w:u w:val="none" w:color="auto"/>
              </w:rPr>
              <w:fldChar w:fldCharType="separate"/>
            </w:r>
            <w:r>
              <w:rPr>
                <w:rFonts w:hint="default" w:ascii="Times New Roman" w:hAnsi="Times New Roman" w:eastAsia="宋体" w:cs="Times New Roman"/>
                <w:color w:val="auto"/>
                <w:sz w:val="21"/>
                <w:szCs w:val="21"/>
                <w:highlight w:val="none"/>
                <w:u w:val="none" w:color="auto"/>
              </w:rPr>
              <w:t>一般工业固体废物贮存和填埋污染控制标准</w:t>
            </w:r>
            <w:r>
              <w:rPr>
                <w:rFonts w:hint="default" w:ascii="Times New Roman" w:hAnsi="Times New Roman" w:eastAsia="宋体" w:cs="Times New Roman"/>
                <w:color w:val="auto"/>
                <w:sz w:val="21"/>
                <w:szCs w:val="21"/>
                <w:highlight w:val="none"/>
                <w:u w:val="none" w:color="auto"/>
              </w:rPr>
              <w:fldChar w:fldCharType="end"/>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GB 18599-2020</w:t>
            </w:r>
            <w:r>
              <w:rPr>
                <w:rFonts w:hint="default" w:ascii="Times New Roman" w:hAnsi="Times New Roman" w:eastAsia="宋体" w:cs="Times New Roman"/>
                <w:color w:val="auto"/>
                <w:sz w:val="21"/>
                <w:szCs w:val="21"/>
                <w:highlight w:val="none"/>
                <w:u w:val="none" w:color="auto"/>
                <w:lang w:eastAsia="zh-CN"/>
              </w:rPr>
              <w:t>）</w:t>
            </w:r>
          </w:p>
        </w:tc>
      </w:tr>
      <w:tr w14:paraId="39A662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93" w:type="dxa"/>
            <w:vMerge w:val="continue"/>
            <w:tcBorders>
              <w:tl2br w:val="nil"/>
              <w:tr2bl w:val="nil"/>
            </w:tcBorders>
            <w:noWrap w:val="0"/>
            <w:vAlign w:val="center"/>
          </w:tcPr>
          <w:p w14:paraId="49506FA9">
            <w:pPr>
              <w:pStyle w:val="24"/>
              <w:bidi w:val="0"/>
              <w:rPr>
                <w:rFonts w:hint="eastAsia" w:cs="Times New Roman"/>
                <w:color w:val="auto"/>
                <w:u w:val="none" w:color="auto"/>
                <w:lang w:val="en-US" w:eastAsia="zh-CN"/>
              </w:rPr>
            </w:pPr>
          </w:p>
        </w:tc>
        <w:tc>
          <w:tcPr>
            <w:tcW w:w="1098" w:type="dxa"/>
            <w:vMerge w:val="continue"/>
            <w:tcBorders>
              <w:tl2br w:val="nil"/>
              <w:tr2bl w:val="nil"/>
            </w:tcBorders>
            <w:noWrap w:val="0"/>
            <w:vAlign w:val="center"/>
          </w:tcPr>
          <w:p w14:paraId="3BD0FAB6">
            <w:pPr>
              <w:pStyle w:val="24"/>
              <w:bidi w:val="0"/>
              <w:rPr>
                <w:rFonts w:hint="eastAsia" w:cs="Times New Roman"/>
                <w:color w:val="auto"/>
                <w:u w:val="none" w:color="auto"/>
                <w:lang w:val="en-US" w:eastAsia="zh-CN"/>
              </w:rPr>
            </w:pPr>
          </w:p>
        </w:tc>
        <w:tc>
          <w:tcPr>
            <w:tcW w:w="1836" w:type="dxa"/>
            <w:gridSpan w:val="2"/>
            <w:tcBorders>
              <w:tl2br w:val="nil"/>
              <w:tr2bl w:val="nil"/>
            </w:tcBorders>
            <w:noWrap w:val="0"/>
            <w:vAlign w:val="center"/>
          </w:tcPr>
          <w:p w14:paraId="47872057">
            <w:pPr>
              <w:pStyle w:val="24"/>
              <w:bidi w:val="0"/>
              <w:rPr>
                <w:rFonts w:hint="default" w:ascii="Times New Roman" w:hAnsi="Times New Roman" w:eastAsia="宋体" w:cs="Times New Roman"/>
                <w:color w:val="auto"/>
                <w:kern w:val="2"/>
                <w:sz w:val="21"/>
                <w:szCs w:val="21"/>
                <w:u w:val="none" w:color="auto"/>
                <w:lang w:val="en-US" w:eastAsia="zh-CN" w:bidi="ar-SA"/>
              </w:rPr>
            </w:pPr>
            <w:r>
              <w:rPr>
                <w:rFonts w:hint="default"/>
                <w:color w:val="auto"/>
                <w:u w:val="none" w:color="auto"/>
                <w:lang w:val="en-US" w:eastAsia="zh-CN"/>
              </w:rPr>
              <w:t>厂区道路、空闲场地、办公区域</w:t>
            </w:r>
          </w:p>
        </w:tc>
        <w:tc>
          <w:tcPr>
            <w:tcW w:w="1830" w:type="dxa"/>
            <w:tcBorders>
              <w:tl2br w:val="nil"/>
              <w:tr2bl w:val="nil"/>
            </w:tcBorders>
            <w:noWrap w:val="0"/>
            <w:vAlign w:val="center"/>
          </w:tcPr>
          <w:p w14:paraId="7C9272FE">
            <w:pPr>
              <w:pStyle w:val="24"/>
              <w:bidi w:val="0"/>
              <w:rPr>
                <w:rFonts w:hint="default" w:cs="Times New Roman"/>
                <w:color w:val="auto"/>
                <w:u w:val="none" w:color="auto"/>
                <w:lang w:val="en-US" w:eastAsia="zh-CN"/>
              </w:rPr>
            </w:pPr>
            <w:r>
              <w:rPr>
                <w:rFonts w:hint="eastAsia" w:cs="Times New Roman"/>
                <w:color w:val="auto"/>
                <w:u w:val="none" w:color="auto"/>
                <w:lang w:val="en-US" w:eastAsia="zh-CN"/>
              </w:rPr>
              <w:t>简单防渗区</w:t>
            </w:r>
          </w:p>
        </w:tc>
        <w:tc>
          <w:tcPr>
            <w:tcW w:w="2947" w:type="dxa"/>
            <w:tcBorders>
              <w:tl2br w:val="nil"/>
              <w:tr2bl w:val="nil"/>
            </w:tcBorders>
            <w:noWrap w:val="0"/>
            <w:vAlign w:val="center"/>
          </w:tcPr>
          <w:p w14:paraId="4955A658">
            <w:pPr>
              <w:pStyle w:val="24"/>
              <w:bidi w:val="0"/>
              <w:rPr>
                <w:rFonts w:hint="default" w:ascii="Times New Roman" w:hAnsi="Times New Roman" w:cs="Times New Roman"/>
                <w:color w:val="auto"/>
                <w:u w:val="none" w:color="auto"/>
                <w:lang w:val="en-US" w:eastAsia="zh-CN"/>
              </w:rPr>
            </w:pPr>
            <w:r>
              <w:rPr>
                <w:rFonts w:hint="eastAsia" w:cs="Times New Roman"/>
                <w:color w:val="auto"/>
                <w:u w:val="none" w:color="auto"/>
                <w:lang w:val="en-US" w:eastAsia="zh-CN"/>
              </w:rPr>
              <w:t>/</w:t>
            </w:r>
          </w:p>
        </w:tc>
      </w:tr>
    </w:tbl>
    <w:p w14:paraId="399B464D">
      <w:pPr>
        <w:pStyle w:val="3"/>
        <w:bidi w:val="0"/>
        <w:rPr>
          <w:rFonts w:hint="default"/>
          <w:color w:val="auto"/>
          <w:u w:val="none" w:color="auto"/>
        </w:rPr>
      </w:pPr>
      <w:bookmarkStart w:id="1571" w:name="_Toc26128"/>
      <w:bookmarkStart w:id="1572" w:name="_Toc3875"/>
      <w:bookmarkStart w:id="1573" w:name="_Toc2711"/>
      <w:bookmarkStart w:id="1574" w:name="_Toc15985"/>
      <w:r>
        <w:rPr>
          <w:rFonts w:hint="eastAsia"/>
          <w:color w:val="auto"/>
          <w:u w:val="none" w:color="auto"/>
          <w:lang w:val="en-US" w:eastAsia="zh-CN"/>
        </w:rPr>
        <w:t>9</w:t>
      </w:r>
      <w:r>
        <w:rPr>
          <w:rFonts w:hint="default"/>
          <w:color w:val="auto"/>
          <w:u w:val="none" w:color="auto"/>
          <w:lang w:val="en-US" w:eastAsia="zh-CN"/>
        </w:rPr>
        <w:t>.</w:t>
      </w:r>
      <w:r>
        <w:rPr>
          <w:rFonts w:hint="eastAsia"/>
          <w:color w:val="auto"/>
          <w:u w:val="none" w:color="auto"/>
          <w:lang w:val="en-US" w:eastAsia="zh-CN"/>
        </w:rPr>
        <w:t>5</w:t>
      </w:r>
      <w:r>
        <w:rPr>
          <w:rFonts w:hint="default"/>
          <w:color w:val="auto"/>
          <w:u w:val="none" w:color="auto"/>
        </w:rPr>
        <w:t>总量控制</w:t>
      </w:r>
      <w:bookmarkEnd w:id="1571"/>
      <w:bookmarkEnd w:id="1572"/>
      <w:bookmarkEnd w:id="1573"/>
      <w:bookmarkEnd w:id="1574"/>
    </w:p>
    <w:p w14:paraId="728311C3">
      <w:pPr>
        <w:pStyle w:val="4"/>
        <w:bidi w:val="0"/>
        <w:rPr>
          <w:rFonts w:hint="default" w:ascii="Times New Roman" w:hAnsi="Times New Roman" w:cs="Times New Roman"/>
          <w:color w:val="auto"/>
          <w:u w:val="none" w:color="auto"/>
        </w:rPr>
      </w:pPr>
      <w:bookmarkStart w:id="1575" w:name="_Toc14375"/>
      <w:bookmarkStart w:id="1576" w:name="_Toc46736876"/>
      <w:bookmarkStart w:id="1577" w:name="_Toc13296"/>
      <w:bookmarkStart w:id="1578" w:name="_Toc307236482"/>
      <w:bookmarkStart w:id="1579" w:name="_Toc11825_WPSOffice_Level2"/>
      <w:bookmarkStart w:id="1580" w:name="_Toc232225583"/>
      <w:bookmarkStart w:id="1581" w:name="_Toc305826785"/>
      <w:bookmarkStart w:id="1582" w:name="_Toc38377275"/>
      <w:bookmarkStart w:id="1583" w:name="_Toc232414623"/>
      <w:bookmarkStart w:id="1584" w:name="_Toc12540"/>
      <w:bookmarkStart w:id="1585" w:name="_Toc305826962"/>
      <w:bookmarkStart w:id="1586" w:name="_Toc18958"/>
      <w:bookmarkStart w:id="1587" w:name="_Toc305827799"/>
      <w:bookmarkStart w:id="1588" w:name="_Toc305827568"/>
      <w:bookmarkStart w:id="1589" w:name="_Toc27093_WPSOffice_Level2"/>
      <w:bookmarkStart w:id="1590" w:name="_Toc305827704"/>
      <w:bookmarkStart w:id="1591" w:name="_Toc26017"/>
      <w:bookmarkStart w:id="1592" w:name="_Toc305828067"/>
      <w:bookmarkStart w:id="1593" w:name="_Toc29348_WPSOffice_Level2"/>
      <w:bookmarkStart w:id="1594" w:name="_Toc4726_WPSOffice_Level2"/>
      <w:bookmarkStart w:id="1595" w:name="_Toc15937_WPSOffice_Level2"/>
      <w:bookmarkStart w:id="1596" w:name="_Toc305828164"/>
      <w:bookmarkStart w:id="1597" w:name="_Toc18886"/>
      <w:bookmarkStart w:id="1598" w:name="_Toc3462"/>
      <w:bookmarkStart w:id="1599" w:name="_Toc305827399"/>
      <w:bookmarkStart w:id="1600" w:name="_Toc304349321"/>
      <w:bookmarkStart w:id="1601" w:name="_Toc232414517"/>
      <w:bookmarkStart w:id="1602" w:name="_Toc243124331"/>
      <w:bookmarkStart w:id="1603" w:name="_Toc307293893"/>
      <w:bookmarkStart w:id="1604" w:name="_Toc305827057"/>
      <w:bookmarkStart w:id="1605" w:name="_Toc15605"/>
      <w:bookmarkStart w:id="1606" w:name="_Toc54491315"/>
      <w:bookmarkStart w:id="1607" w:name="_Toc2241"/>
      <w:bookmarkStart w:id="1608" w:name="_Toc4306"/>
      <w:bookmarkStart w:id="1609" w:name="_Toc31677"/>
      <w:bookmarkStart w:id="1610" w:name="_Toc8453"/>
      <w:r>
        <w:rPr>
          <w:rFonts w:hint="eastAsia" w:ascii="Times New Roman" w:hAnsi="Times New Roman" w:cs="Times New Roman"/>
          <w:color w:val="auto"/>
          <w:u w:val="none" w:color="auto"/>
          <w:lang w:val="en-US" w:eastAsia="zh-CN"/>
        </w:rPr>
        <w:t>9</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.1</w:t>
      </w:r>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r>
        <w:rPr>
          <w:rFonts w:hint="default" w:ascii="Times New Roman" w:hAnsi="Times New Roman" w:cs="Times New Roman"/>
          <w:color w:val="auto"/>
          <w:u w:val="none" w:color="auto"/>
        </w:rPr>
        <w:t>总量控制指标的确定</w:t>
      </w:r>
      <w:bookmarkEnd w:id="1607"/>
      <w:bookmarkEnd w:id="1608"/>
      <w:bookmarkEnd w:id="1609"/>
      <w:bookmarkEnd w:id="1610"/>
    </w:p>
    <w:p w14:paraId="34C6CAD8">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val="en-US" w:eastAsia="zh-CN"/>
        </w:rPr>
        <w:t>在一定的区域内，环境对污染物的自净能力（即环境容量）是有限度的。在经济发展期间，排污单位增加，向大气和水体排放的污染物即使是达标排放，污染物的数量仍是增加的。如这个数量超过环境容量，所造成的污染导致生态破坏，难以恢复。要使这一区域的环境不被污染，达到所处功能区环境质量标准，就必须控制污染物的排放总量在环境容量的限度以下，从而从根本上消除污染的发生。因此对主要污染物排放实施总量控制是改善环境质量的必然之路，是我国环境保护工作的一项重大举措。</w:t>
      </w:r>
    </w:p>
    <w:p w14:paraId="22056F78">
      <w:pPr>
        <w:pStyle w:val="4"/>
        <w:bidi w:val="0"/>
        <w:rPr>
          <w:rFonts w:hint="default" w:ascii="Times New Roman" w:hAnsi="Times New Roman" w:cs="Times New Roman"/>
          <w:color w:val="auto"/>
          <w:u w:val="none" w:color="auto"/>
          <w:lang w:val="en-US" w:eastAsia="zh-CN"/>
        </w:rPr>
      </w:pPr>
      <w:bookmarkStart w:id="1611" w:name="_Toc2380"/>
      <w:bookmarkStart w:id="1612" w:name="_Toc83"/>
      <w:bookmarkStart w:id="1613" w:name="_Toc18767"/>
      <w:bookmarkStart w:id="1614" w:name="_Toc22860"/>
      <w:r>
        <w:rPr>
          <w:rFonts w:hint="eastAsia" w:ascii="Times New Roman" w:hAnsi="Times New Roman" w:cs="Times New Roman"/>
          <w:color w:val="auto"/>
          <w:u w:val="none" w:color="auto"/>
          <w:lang w:val="en-US" w:eastAsia="zh-CN"/>
        </w:rPr>
        <w:t>9</w:t>
      </w:r>
      <w:r>
        <w:rPr>
          <w:rFonts w:hint="default" w:ascii="Times New Roman" w:hAnsi="Times New Roman" w:cs="Times New Roman"/>
          <w:color w:val="auto"/>
          <w:u w:val="none" w:color="auto"/>
          <w:lang w:val="en-US" w:eastAsia="zh-CN"/>
        </w:rPr>
        <w:t>.</w:t>
      </w:r>
      <w:r>
        <w:rPr>
          <w:rFonts w:hint="eastAsia" w:ascii="Times New Roman" w:hAnsi="Times New Roman" w:cs="Times New Roman"/>
          <w:color w:val="auto"/>
          <w:u w:val="none" w:color="auto"/>
          <w:lang w:val="en-US" w:eastAsia="zh-CN"/>
        </w:rPr>
        <w:t>5</w:t>
      </w:r>
      <w:r>
        <w:rPr>
          <w:rFonts w:hint="default" w:ascii="Times New Roman" w:hAnsi="Times New Roman" w:cs="Times New Roman"/>
          <w:color w:val="auto"/>
          <w:u w:val="none" w:color="auto"/>
          <w:lang w:val="en-US" w:eastAsia="zh-CN"/>
        </w:rPr>
        <w:t>.2总量控制因子筛选</w:t>
      </w:r>
      <w:bookmarkEnd w:id="1611"/>
      <w:bookmarkEnd w:id="1612"/>
      <w:bookmarkEnd w:id="1613"/>
      <w:bookmarkEnd w:id="1614"/>
    </w:p>
    <w:p w14:paraId="32F6EED7">
      <w:pPr>
        <w:pStyle w:val="20"/>
        <w:bidi w:val="0"/>
        <w:rPr>
          <w:rFonts w:hint="default" w:ascii="Times New Roman" w:hAnsi="Times New Roman" w:cs="Times New Roman"/>
          <w:color w:val="auto"/>
          <w:u w:val="none" w:color="auto"/>
          <w:lang w:eastAsia="zh-CN"/>
        </w:rPr>
      </w:pPr>
      <w:r>
        <w:rPr>
          <w:rFonts w:hint="default" w:ascii="Times New Roman" w:hAnsi="Times New Roman" w:eastAsia="宋体" w:cs="Times New Roman"/>
          <w:color w:val="auto"/>
          <w:kern w:val="2"/>
          <w:sz w:val="24"/>
          <w:szCs w:val="24"/>
          <w:highlight w:val="none"/>
          <w:u w:val="none" w:color="auto"/>
          <w:lang w:val="en-US" w:eastAsia="zh-CN" w:bidi="ar-SA"/>
        </w:rPr>
        <w:t>根据国家环境保护部对实施污染物排放总量控制的要求、《中华人民共和国国民经济和社会发展第十四个五年规划纲要》环保规划要求和《湖南省“十四五”节能减排综合工作实施方案》，根据国家总量控制有关规定，结合公司生产实际情况</w:t>
      </w:r>
      <w:r>
        <w:rPr>
          <w:rFonts w:hint="eastAsia" w:ascii="Times New Roman" w:hAnsi="Times New Roman" w:eastAsia="宋体" w:cs="Times New Roman"/>
          <w:color w:val="auto"/>
          <w:kern w:val="2"/>
          <w:sz w:val="24"/>
          <w:szCs w:val="24"/>
          <w:highlight w:val="none"/>
          <w:u w:val="none" w:color="auto"/>
          <w:lang w:val="en-US" w:eastAsia="zh-CN" w:bidi="ar-SA"/>
        </w:rPr>
        <w:t>。项目主要外排废水为生活污水</w:t>
      </w:r>
      <w:r>
        <w:rPr>
          <w:rFonts w:hint="default" w:ascii="Times New Roman" w:hAnsi="Times New Roman" w:eastAsia="宋体" w:cs="Times New Roman"/>
          <w:color w:val="auto"/>
          <w:kern w:val="2"/>
          <w:sz w:val="24"/>
          <w:szCs w:val="24"/>
          <w:highlight w:val="none"/>
          <w:u w:val="none" w:color="auto"/>
          <w:lang w:val="en-US" w:eastAsia="zh-CN" w:bidi="ar-SA"/>
        </w:rPr>
        <w:t>，</w:t>
      </w:r>
      <w:r>
        <w:rPr>
          <w:rFonts w:hint="eastAsia" w:ascii="Times New Roman" w:hAnsi="Times New Roman" w:eastAsia="宋体" w:cs="Times New Roman"/>
          <w:color w:val="auto"/>
          <w:kern w:val="2"/>
          <w:sz w:val="24"/>
          <w:szCs w:val="24"/>
          <w:highlight w:val="none"/>
          <w:u w:val="none" w:color="auto"/>
          <w:lang w:val="en-US" w:eastAsia="zh-CN" w:bidi="ar-SA"/>
        </w:rPr>
        <w:t>生活污水经化粪池预处理</w:t>
      </w:r>
      <w:r>
        <w:rPr>
          <w:rFonts w:hint="default" w:ascii="Times New Roman" w:hAnsi="Times New Roman" w:eastAsia="宋体" w:cs="Times New Roman"/>
          <w:color w:val="auto"/>
          <w:kern w:val="2"/>
          <w:sz w:val="24"/>
          <w:szCs w:val="24"/>
          <w:highlight w:val="none"/>
          <w:u w:val="none" w:color="auto"/>
          <w:lang w:val="en-US" w:eastAsia="zh-CN" w:bidi="ar-SA"/>
        </w:rPr>
        <w:t>后进入</w:t>
      </w:r>
      <w:r>
        <w:rPr>
          <w:rFonts w:hint="eastAsia" w:ascii="Times New Roman" w:hAnsi="Times New Roman" w:eastAsia="宋体" w:cs="Times New Roman"/>
          <w:color w:val="auto"/>
          <w:kern w:val="2"/>
          <w:sz w:val="24"/>
          <w:szCs w:val="24"/>
          <w:highlight w:val="none"/>
          <w:u w:val="none" w:color="auto"/>
          <w:lang w:val="en-US" w:eastAsia="zh-CN" w:bidi="ar-SA"/>
        </w:rPr>
        <w:t>湖南汨罗高新技术产业开发区（循环园区）污水处理厂</w:t>
      </w:r>
      <w:r>
        <w:rPr>
          <w:rFonts w:hint="default" w:ascii="Times New Roman" w:hAnsi="Times New Roman" w:eastAsia="宋体" w:cs="Times New Roman"/>
          <w:color w:val="auto"/>
          <w:kern w:val="2"/>
          <w:sz w:val="24"/>
          <w:szCs w:val="24"/>
          <w:highlight w:val="none"/>
          <w:u w:val="none" w:color="auto"/>
          <w:lang w:val="en-US" w:eastAsia="zh-CN" w:bidi="ar-SA"/>
        </w:rPr>
        <w:t>进一步处理，</w:t>
      </w:r>
      <w:r>
        <w:rPr>
          <w:rFonts w:hint="eastAsia" w:ascii="Times New Roman" w:hAnsi="Times New Roman" w:eastAsia="宋体" w:cs="Times New Roman"/>
          <w:color w:val="auto"/>
          <w:kern w:val="2"/>
          <w:sz w:val="24"/>
          <w:szCs w:val="24"/>
          <w:highlight w:val="none"/>
          <w:u w:val="none" w:color="auto"/>
          <w:lang w:val="en-US" w:eastAsia="zh-CN" w:bidi="ar-SA"/>
        </w:rPr>
        <w:t>废水</w:t>
      </w:r>
      <w:r>
        <w:rPr>
          <w:rFonts w:hint="default" w:ascii="Times New Roman" w:hAnsi="Times New Roman" w:eastAsia="宋体" w:cs="Times New Roman"/>
          <w:color w:val="auto"/>
          <w:kern w:val="2"/>
          <w:sz w:val="24"/>
          <w:szCs w:val="24"/>
          <w:highlight w:val="none"/>
          <w:u w:val="none" w:color="auto"/>
          <w:lang w:val="en-US" w:eastAsia="zh-CN" w:bidi="ar-SA"/>
        </w:rPr>
        <w:t>污染物排放总量控制纳入</w:t>
      </w:r>
      <w:r>
        <w:rPr>
          <w:rFonts w:hint="eastAsia" w:ascii="Times New Roman" w:hAnsi="Times New Roman" w:eastAsia="宋体" w:cs="Times New Roman"/>
          <w:color w:val="auto"/>
          <w:kern w:val="2"/>
          <w:sz w:val="24"/>
          <w:szCs w:val="24"/>
          <w:highlight w:val="none"/>
          <w:u w:val="none" w:color="auto"/>
          <w:lang w:val="en-US" w:eastAsia="zh-CN" w:bidi="ar-SA"/>
        </w:rPr>
        <w:t>湖南汨罗高新技术产业开发区（循环园区）污水处理厂</w:t>
      </w:r>
      <w:r>
        <w:rPr>
          <w:rFonts w:hint="default" w:ascii="Times New Roman" w:hAnsi="Times New Roman" w:eastAsia="宋体" w:cs="Times New Roman"/>
          <w:color w:val="auto"/>
          <w:kern w:val="2"/>
          <w:sz w:val="24"/>
          <w:szCs w:val="24"/>
          <w:highlight w:val="none"/>
          <w:u w:val="none" w:color="auto"/>
          <w:lang w:val="en-US" w:eastAsia="zh-CN" w:bidi="ar-SA"/>
        </w:rPr>
        <w:t>管理，无需另行单独申请污染物总量控制指标。项目主要废气污染物为颗粒物、VOCs</w:t>
      </w:r>
      <w:r>
        <w:rPr>
          <w:rFonts w:hint="eastAsia" w:ascii="Times New Roman" w:hAnsi="Times New Roman" w:eastAsia="宋体" w:cs="Times New Roman"/>
          <w:color w:val="auto"/>
          <w:kern w:val="2"/>
          <w:sz w:val="24"/>
          <w:szCs w:val="24"/>
          <w:highlight w:val="none"/>
          <w:u w:val="none" w:color="auto"/>
          <w:lang w:val="en-US" w:eastAsia="zh-CN" w:bidi="ar-SA"/>
        </w:rPr>
        <w:t>、氯化氢、二甲苯</w:t>
      </w:r>
      <w:r>
        <w:rPr>
          <w:rFonts w:hint="default" w:ascii="Times New Roman" w:hAnsi="Times New Roman" w:eastAsia="宋体" w:cs="Times New Roman"/>
          <w:color w:val="auto"/>
          <w:kern w:val="2"/>
          <w:sz w:val="24"/>
          <w:szCs w:val="24"/>
          <w:highlight w:val="none"/>
          <w:u w:val="none" w:color="auto"/>
          <w:lang w:val="en-US" w:eastAsia="zh-CN" w:bidi="ar-SA"/>
        </w:rPr>
        <w:t>，需要进行总量控制的污染物为VOCs。综上所述，确定本工程总量控制因子为：废气污染物总量控制因子：VOCs。</w:t>
      </w:r>
    </w:p>
    <w:p w14:paraId="4ACD5824">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lang w:eastAsia="zh-CN"/>
        </w:rPr>
        <w:t>本项目</w:t>
      </w:r>
      <w:r>
        <w:rPr>
          <w:rFonts w:hint="default" w:ascii="Times New Roman" w:hAnsi="Times New Roman" w:cs="Times New Roman"/>
          <w:color w:val="auto"/>
          <w:u w:val="none" w:color="auto"/>
        </w:rPr>
        <w:t>总量控制指标如下：</w:t>
      </w:r>
    </w:p>
    <w:p w14:paraId="17441582">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9</w:t>
      </w:r>
      <w:r>
        <w:rPr>
          <w:rFonts w:hint="default"/>
          <w:color w:val="auto"/>
          <w:u w:val="none" w:color="auto"/>
        </w:rPr>
        <w:t>.</w:t>
      </w:r>
      <w:r>
        <w:rPr>
          <w:rFonts w:hint="eastAsia"/>
          <w:color w:val="auto"/>
          <w:u w:val="none" w:color="auto"/>
          <w:lang w:val="en-US" w:eastAsia="zh-CN"/>
        </w:rPr>
        <w:t>5</w:t>
      </w:r>
      <w:r>
        <w:rPr>
          <w:rFonts w:hint="default"/>
          <w:color w:val="auto"/>
          <w:u w:val="none" w:color="auto"/>
        </w:rPr>
        <w:t>-1污染物排放总量指标 单位：t/a</w:t>
      </w:r>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99"/>
        <w:gridCol w:w="3087"/>
        <w:gridCol w:w="3036"/>
      </w:tblGrid>
      <w:tr w14:paraId="741992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1" w:type="dxa"/>
            <w:noWrap w:val="0"/>
            <w:vAlign w:val="center"/>
          </w:tcPr>
          <w:p w14:paraId="15B600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污染物</w:t>
            </w:r>
          </w:p>
        </w:tc>
        <w:tc>
          <w:tcPr>
            <w:tcW w:w="1815" w:type="dxa"/>
            <w:noWrap w:val="0"/>
            <w:vAlign w:val="center"/>
          </w:tcPr>
          <w:p w14:paraId="2B55B1A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总</w:t>
            </w:r>
            <w:r>
              <w:rPr>
                <w:rFonts w:hint="default" w:ascii="Times New Roman" w:hAnsi="Times New Roman" w:cs="Times New Roman"/>
                <w:color w:val="auto"/>
                <w:sz w:val="21"/>
                <w:szCs w:val="21"/>
                <w:u w:val="none" w:color="auto"/>
              </w:rPr>
              <w:t>排放量（t/a）</w:t>
            </w:r>
          </w:p>
        </w:tc>
        <w:tc>
          <w:tcPr>
            <w:tcW w:w="1785" w:type="dxa"/>
            <w:noWrap w:val="0"/>
            <w:vAlign w:val="center"/>
          </w:tcPr>
          <w:p w14:paraId="260ACF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建议总量控制指标（t）</w:t>
            </w:r>
          </w:p>
        </w:tc>
      </w:tr>
      <w:tr w14:paraId="3480A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1" w:type="dxa"/>
            <w:noWrap w:val="0"/>
            <w:vAlign w:val="center"/>
          </w:tcPr>
          <w:p w14:paraId="1E41BD3B">
            <w:pPr>
              <w:pStyle w:val="24"/>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Cs w:val="21"/>
                <w:u w:val="none" w:color="auto"/>
              </w:rPr>
            </w:pPr>
            <w:r>
              <w:rPr>
                <w:rFonts w:hint="default" w:ascii="Times New Roman" w:hAnsi="Times New Roman" w:cs="Times New Roman"/>
                <w:color w:val="auto"/>
                <w:u w:val="none" w:color="auto"/>
              </w:rPr>
              <w:t>VOCs</w:t>
            </w:r>
          </w:p>
        </w:tc>
        <w:tc>
          <w:tcPr>
            <w:tcW w:w="1815" w:type="dxa"/>
            <w:noWrap w:val="0"/>
            <w:vAlign w:val="center"/>
          </w:tcPr>
          <w:p w14:paraId="6DCF3B2A">
            <w:pPr>
              <w:pStyle w:val="24"/>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2.146</w:t>
            </w:r>
          </w:p>
        </w:tc>
        <w:tc>
          <w:tcPr>
            <w:tcW w:w="1785" w:type="dxa"/>
            <w:noWrap w:val="0"/>
            <w:vAlign w:val="center"/>
          </w:tcPr>
          <w:p w14:paraId="6D487A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2.2</w:t>
            </w:r>
          </w:p>
        </w:tc>
      </w:tr>
    </w:tbl>
    <w:p w14:paraId="20AB30C2">
      <w:pPr>
        <w:pStyle w:val="28"/>
        <w:rPr>
          <w:rFonts w:hint="default" w:ascii="Times New Roman" w:hAnsi="Times New Roman" w:cs="Times New Roman"/>
          <w:color w:val="auto"/>
          <w:u w:val="none" w:color="auto"/>
        </w:rPr>
      </w:pPr>
    </w:p>
    <w:p w14:paraId="0D51C701">
      <w:pPr>
        <w:rPr>
          <w:rFonts w:hint="default" w:ascii="Times New Roman" w:hAnsi="Times New Roman" w:cs="Times New Roman"/>
          <w:color w:val="auto"/>
          <w:u w:val="none" w:color="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38AD41CF">
      <w:pPr>
        <w:pStyle w:val="2"/>
        <w:bidi w:val="0"/>
        <w:rPr>
          <w:rFonts w:hint="default" w:eastAsia="宋体"/>
          <w:color w:val="auto"/>
          <w:u w:val="none" w:color="auto"/>
          <w:lang w:val="en-US" w:eastAsia="zh-CN"/>
        </w:rPr>
      </w:pPr>
      <w:bookmarkStart w:id="1615" w:name="_Toc31080_WPSOffice_Level1"/>
      <w:bookmarkStart w:id="1616" w:name="_Toc23563_WPSOffice_Level1"/>
      <w:bookmarkStart w:id="1617" w:name="_Toc29078_WPSOffice_Level1"/>
      <w:bookmarkStart w:id="1618" w:name="_Toc32651_WPSOffice_Level1"/>
      <w:bookmarkStart w:id="1619" w:name="_Toc18260"/>
      <w:bookmarkStart w:id="1620" w:name="_Toc10169"/>
      <w:bookmarkStart w:id="1621" w:name="_Toc3855"/>
      <w:bookmarkStart w:id="1622" w:name="_Toc25219"/>
      <w:r>
        <w:rPr>
          <w:rFonts w:hint="eastAsia"/>
          <w:color w:val="auto"/>
          <w:u w:val="none" w:color="auto"/>
          <w:lang w:val="en-US" w:eastAsia="zh-CN"/>
        </w:rPr>
        <w:t>10</w:t>
      </w:r>
      <w:r>
        <w:rPr>
          <w:rFonts w:hint="default"/>
          <w:color w:val="auto"/>
          <w:u w:val="none" w:color="auto"/>
        </w:rPr>
        <w:t>、结论</w:t>
      </w:r>
      <w:bookmarkEnd w:id="1543"/>
      <w:bookmarkEnd w:id="1544"/>
      <w:bookmarkEnd w:id="1545"/>
      <w:bookmarkEnd w:id="1615"/>
      <w:bookmarkEnd w:id="1616"/>
      <w:bookmarkEnd w:id="1617"/>
      <w:bookmarkEnd w:id="1618"/>
      <w:bookmarkEnd w:id="1619"/>
      <w:bookmarkEnd w:id="1620"/>
      <w:bookmarkEnd w:id="1621"/>
      <w:r>
        <w:rPr>
          <w:rFonts w:hint="eastAsia"/>
          <w:color w:val="auto"/>
          <w:u w:val="none" w:color="auto"/>
          <w:lang w:val="en-US" w:eastAsia="zh-CN"/>
        </w:rPr>
        <w:t>及建议</w:t>
      </w:r>
      <w:bookmarkEnd w:id="1622"/>
    </w:p>
    <w:p w14:paraId="10823AB2">
      <w:pPr>
        <w:pStyle w:val="3"/>
        <w:bidi w:val="0"/>
        <w:rPr>
          <w:rFonts w:hint="default"/>
          <w:color w:val="auto"/>
          <w:u w:val="none" w:color="auto"/>
        </w:rPr>
      </w:pPr>
      <w:bookmarkStart w:id="1623" w:name="_Toc393721005"/>
      <w:bookmarkStart w:id="1624" w:name="_Toc30380_WPSOffice_Level2"/>
      <w:bookmarkStart w:id="1625" w:name="_Toc25235"/>
      <w:bookmarkStart w:id="1626" w:name="_Toc32253_WPSOffice_Level2"/>
      <w:bookmarkStart w:id="1627" w:name="_Toc30856"/>
      <w:bookmarkStart w:id="1628" w:name="_Toc27536_WPSOffice_Level2"/>
      <w:bookmarkStart w:id="1629" w:name="_Toc27173_WPSOffice_Level2"/>
      <w:bookmarkStart w:id="1630" w:name="_Toc18503"/>
      <w:bookmarkStart w:id="1631" w:name="_Toc11835_WPSOffice_Level2"/>
      <w:bookmarkStart w:id="1632" w:name="_Toc15529"/>
      <w:bookmarkStart w:id="1633" w:name="_Toc5490"/>
      <w:bookmarkStart w:id="1634" w:name="_Toc23457"/>
      <w:r>
        <w:rPr>
          <w:rFonts w:hint="eastAsia"/>
          <w:color w:val="auto"/>
          <w:u w:val="none" w:color="auto"/>
          <w:lang w:val="en-US" w:eastAsia="zh-CN"/>
        </w:rPr>
        <w:t>10</w:t>
      </w:r>
      <w:r>
        <w:rPr>
          <w:rFonts w:hint="default"/>
          <w:color w:val="auto"/>
          <w:u w:val="none" w:color="auto"/>
        </w:rPr>
        <w:t>.1项目概况</w:t>
      </w:r>
      <w:bookmarkEnd w:id="1623"/>
      <w:bookmarkEnd w:id="1624"/>
      <w:bookmarkEnd w:id="1625"/>
      <w:bookmarkEnd w:id="1626"/>
      <w:bookmarkEnd w:id="1627"/>
      <w:bookmarkEnd w:id="1628"/>
      <w:bookmarkEnd w:id="1629"/>
      <w:bookmarkEnd w:id="1630"/>
      <w:bookmarkEnd w:id="1631"/>
      <w:bookmarkEnd w:id="1632"/>
      <w:bookmarkEnd w:id="1633"/>
      <w:bookmarkEnd w:id="1634"/>
    </w:p>
    <w:p w14:paraId="1315135A">
      <w:pPr>
        <w:widowControl/>
        <w:spacing w:line="360" w:lineRule="auto"/>
        <w:ind w:firstLine="480"/>
        <w:rPr>
          <w:rFonts w:hint="default" w:ascii="Times New Roman" w:hAnsi="Times New Roman" w:cs="Times New Roman"/>
          <w:bCs/>
          <w:color w:val="auto"/>
          <w:sz w:val="24"/>
          <w:u w:val="none" w:color="auto"/>
        </w:rPr>
      </w:pPr>
      <w:bookmarkStart w:id="1635" w:name="_Toc5096"/>
      <w:bookmarkStart w:id="1636" w:name="_Toc18091"/>
      <w:bookmarkStart w:id="1637" w:name="_Toc20680"/>
      <w:bookmarkStart w:id="1638" w:name="_Toc14347"/>
      <w:bookmarkStart w:id="1639" w:name="_Toc5285_WPSOffice_Level2"/>
      <w:bookmarkStart w:id="1640" w:name="_Toc1985_WPSOffice_Level2"/>
      <w:bookmarkStart w:id="1641" w:name="_Toc19630_WPSOffice_Level2"/>
      <w:bookmarkStart w:id="1642" w:name="_Toc3233_WPSOffice_Level2"/>
      <w:bookmarkStart w:id="1643" w:name="_Toc5883_WPSOffice_Level2"/>
      <w:r>
        <w:rPr>
          <w:rFonts w:hint="default" w:ascii="Times New Roman" w:hAnsi="Times New Roman" w:cs="Times New Roman"/>
          <w:bCs/>
          <w:color w:val="auto"/>
          <w:sz w:val="24"/>
          <w:u w:val="none" w:color="auto"/>
        </w:rPr>
        <w:t>项目名称：</w:t>
      </w:r>
      <w:r>
        <w:rPr>
          <w:rFonts w:hint="eastAsia" w:cs="Times New Roman"/>
          <w:color w:val="auto"/>
          <w:sz w:val="24"/>
          <w:u w:val="none" w:color="auto"/>
          <w:lang w:eastAsia="zh-CN"/>
        </w:rPr>
        <w:t>铭腾高分子制品年产 30000吨塑料板材、5000 吨装饰线条建设项目</w:t>
      </w:r>
      <w:r>
        <w:rPr>
          <w:rFonts w:hint="default" w:ascii="Times New Roman" w:hAnsi="Times New Roman" w:cs="Times New Roman"/>
          <w:color w:val="auto"/>
          <w:sz w:val="24"/>
          <w:u w:val="none" w:color="auto"/>
        </w:rPr>
        <w:t>；</w:t>
      </w:r>
    </w:p>
    <w:p w14:paraId="0190F124">
      <w:pPr>
        <w:widowControl/>
        <w:spacing w:line="360" w:lineRule="auto"/>
        <w:ind w:firstLine="480"/>
        <w:rPr>
          <w:rFonts w:hint="default" w:ascii="Times New Roman" w:hAnsi="Times New Roman" w:cs="Times New Roman"/>
          <w:bCs/>
          <w:color w:val="auto"/>
          <w:sz w:val="24"/>
          <w:u w:val="none" w:color="auto"/>
        </w:rPr>
      </w:pPr>
      <w:r>
        <w:rPr>
          <w:rFonts w:hint="default" w:ascii="Times New Roman" w:hAnsi="Times New Roman" w:cs="Times New Roman"/>
          <w:bCs/>
          <w:color w:val="auto"/>
          <w:sz w:val="24"/>
          <w:u w:val="none" w:color="auto"/>
        </w:rPr>
        <w:t>建设单位</w:t>
      </w:r>
      <w:r>
        <w:rPr>
          <w:rFonts w:hint="default" w:ascii="Times New Roman" w:hAnsi="Times New Roman" w:cs="Times New Roman"/>
          <w:bCs/>
          <w:color w:val="auto"/>
          <w:sz w:val="24"/>
          <w:u w:val="none" w:color="auto"/>
          <w:lang w:eastAsia="zh-CN"/>
        </w:rPr>
        <w:t>：</w:t>
      </w:r>
      <w:r>
        <w:rPr>
          <w:rFonts w:hint="eastAsia" w:cs="Times New Roman"/>
          <w:color w:val="auto"/>
          <w:sz w:val="24"/>
          <w:u w:val="none" w:color="auto"/>
          <w:lang w:val="en-US" w:eastAsia="zh-CN"/>
        </w:rPr>
        <w:t>湖南铭腾新材料有限公司</w:t>
      </w:r>
      <w:r>
        <w:rPr>
          <w:rFonts w:hint="default" w:ascii="Times New Roman" w:hAnsi="Times New Roman" w:cs="Times New Roman"/>
          <w:color w:val="auto"/>
          <w:sz w:val="24"/>
          <w:u w:val="none" w:color="auto"/>
        </w:rPr>
        <w:t>；</w:t>
      </w:r>
    </w:p>
    <w:p w14:paraId="28F6A3D3">
      <w:pPr>
        <w:widowControl/>
        <w:spacing w:line="360" w:lineRule="auto"/>
        <w:ind w:firstLine="480"/>
        <w:rPr>
          <w:rFonts w:hint="default" w:ascii="Times New Roman" w:hAnsi="Times New Roman" w:cs="Times New Roman"/>
          <w:bCs/>
          <w:color w:val="auto"/>
          <w:sz w:val="24"/>
          <w:u w:val="none" w:color="auto"/>
          <w:lang w:eastAsia="zh-CN"/>
        </w:rPr>
      </w:pPr>
      <w:r>
        <w:rPr>
          <w:rFonts w:hint="default" w:ascii="Times New Roman" w:hAnsi="Times New Roman" w:cs="Times New Roman"/>
          <w:bCs/>
          <w:color w:val="auto"/>
          <w:sz w:val="24"/>
          <w:u w:val="none" w:color="auto"/>
        </w:rPr>
        <w:t>拟建地</w:t>
      </w:r>
      <w:r>
        <w:rPr>
          <w:rFonts w:hint="default" w:ascii="Times New Roman" w:hAnsi="Times New Roman" w:cs="Times New Roman"/>
          <w:bCs/>
          <w:color w:val="auto"/>
          <w:sz w:val="24"/>
          <w:u w:val="none" w:color="auto"/>
          <w:lang w:eastAsia="zh-CN"/>
        </w:rPr>
        <w:t>点：</w:t>
      </w:r>
      <w:r>
        <w:rPr>
          <w:rFonts w:hint="eastAsia" w:cs="Times New Roman"/>
          <w:bCs/>
          <w:color w:val="auto"/>
          <w:sz w:val="24"/>
          <w:highlight w:val="none"/>
          <w:u w:val="none" w:color="auto"/>
          <w:lang w:val="en-US" w:eastAsia="zh-CN"/>
        </w:rPr>
        <w:t>湖南省岳阳市汨罗市汨罗高新技术产业开发区新市片区西片区龙舟路东侧合心路北侧（</w:t>
      </w:r>
      <w:r>
        <w:rPr>
          <w:rFonts w:hint="eastAsia" w:hAnsi="宋体"/>
          <w:color w:val="auto"/>
          <w:sz w:val="24"/>
          <w:u w:val="none" w:color="auto"/>
        </w:rPr>
        <w:t>东经 113.142796、北纬 28.766586</w:t>
      </w:r>
      <w:r>
        <w:rPr>
          <w:rFonts w:hint="eastAsia" w:cs="Times New Roman"/>
          <w:bCs/>
          <w:color w:val="auto"/>
          <w:sz w:val="24"/>
          <w:highlight w:val="none"/>
          <w:u w:val="none" w:color="auto"/>
          <w:lang w:val="en-US" w:eastAsia="zh-CN"/>
        </w:rPr>
        <w:t>）</w:t>
      </w:r>
      <w:r>
        <w:rPr>
          <w:rFonts w:hint="eastAsia"/>
          <w:color w:val="auto"/>
          <w:u w:val="none" w:color="auto"/>
          <w:lang w:val="en-US" w:eastAsia="zh-CN"/>
        </w:rPr>
        <w:t>；</w:t>
      </w:r>
    </w:p>
    <w:p w14:paraId="534A3BFD">
      <w:pPr>
        <w:spacing w:line="360" w:lineRule="auto"/>
        <w:ind w:firstLine="480" w:firstLineChars="200"/>
        <w:rPr>
          <w:rFonts w:hint="default" w:ascii="Times New Roman" w:hAnsi="Times New Roman" w:cs="Times New Roman"/>
          <w:color w:val="auto"/>
          <w:sz w:val="24"/>
          <w:u w:val="none" w:color="auto"/>
          <w:lang w:bidi="ar"/>
        </w:rPr>
      </w:pPr>
      <w:r>
        <w:rPr>
          <w:rFonts w:hint="default" w:ascii="Times New Roman" w:hAnsi="Times New Roman" w:cs="Times New Roman"/>
          <w:color w:val="auto"/>
          <w:sz w:val="24"/>
          <w:u w:val="none" w:color="auto"/>
          <w:lang w:bidi="ar"/>
        </w:rPr>
        <w:t>建设性质：</w:t>
      </w:r>
      <w:r>
        <w:rPr>
          <w:rFonts w:hint="eastAsia"/>
          <w:b w:val="0"/>
          <w:bCs w:val="0"/>
          <w:color w:val="auto"/>
          <w:sz w:val="24"/>
          <w:szCs w:val="24"/>
          <w:u w:val="none" w:color="auto"/>
          <w:lang w:val="en-US" w:eastAsia="zh-CN"/>
        </w:rPr>
        <w:t>搬迁、扩建</w:t>
      </w:r>
      <w:r>
        <w:rPr>
          <w:rFonts w:hint="default" w:ascii="Times New Roman" w:hAnsi="Times New Roman" w:cs="Times New Roman"/>
          <w:color w:val="auto"/>
          <w:sz w:val="24"/>
          <w:u w:val="none" w:color="auto"/>
          <w:lang w:bidi="ar"/>
        </w:rPr>
        <w:t>；</w:t>
      </w:r>
    </w:p>
    <w:p w14:paraId="698E78D1">
      <w:pPr>
        <w:spacing w:line="360" w:lineRule="auto"/>
        <w:ind w:firstLine="480" w:firstLineChars="200"/>
        <w:rPr>
          <w:rFonts w:hint="default" w:ascii="Times New Roman" w:hAnsi="Times New Roman" w:cs="Times New Roman"/>
          <w:color w:val="auto"/>
          <w:sz w:val="24"/>
          <w:u w:val="none" w:color="auto"/>
        </w:rPr>
      </w:pPr>
      <w:r>
        <w:rPr>
          <w:rFonts w:hint="default" w:ascii="Times New Roman" w:hAnsi="Times New Roman" w:cs="Times New Roman"/>
          <w:color w:val="auto"/>
          <w:sz w:val="24"/>
          <w:u w:val="none" w:color="auto"/>
          <w:lang w:bidi="ar"/>
        </w:rPr>
        <w:t>用地面积：</w:t>
      </w:r>
      <w:r>
        <w:rPr>
          <w:rStyle w:val="50"/>
          <w:rFonts w:hint="eastAsia" w:cs="Times New Roman"/>
          <w:color w:val="auto"/>
          <w:u w:val="none" w:color="auto"/>
          <w:lang w:val="en-US" w:eastAsia="zh-CN"/>
        </w:rPr>
        <w:t>37749.6</w:t>
      </w:r>
      <w:r>
        <w:rPr>
          <w:rStyle w:val="50"/>
          <w:rFonts w:hint="default" w:ascii="Times New Roman" w:hAnsi="Times New Roman" w:cs="Times New Roman"/>
          <w:color w:val="auto"/>
          <w:u w:val="none" w:color="auto"/>
        </w:rPr>
        <w:t>m</w:t>
      </w:r>
      <w:r>
        <w:rPr>
          <w:rStyle w:val="50"/>
          <w:rFonts w:hint="default" w:ascii="Times New Roman" w:hAnsi="Times New Roman" w:cs="Times New Roman"/>
          <w:color w:val="auto"/>
          <w:u w:val="none" w:color="auto"/>
          <w:vertAlign w:val="superscript"/>
          <w:lang w:val="en-US" w:eastAsia="zh-CN"/>
        </w:rPr>
        <w:t>2</w:t>
      </w:r>
      <w:r>
        <w:rPr>
          <w:rFonts w:hint="default" w:ascii="Times New Roman" w:hAnsi="Times New Roman" w:cs="Times New Roman"/>
          <w:color w:val="auto"/>
          <w:sz w:val="24"/>
          <w:u w:val="none" w:color="auto"/>
        </w:rPr>
        <w:t>。</w:t>
      </w:r>
    </w:p>
    <w:p w14:paraId="6C69BB34">
      <w:pPr>
        <w:widowControl/>
        <w:spacing w:line="360" w:lineRule="auto"/>
        <w:ind w:firstLine="480" w:firstLineChars="200"/>
        <w:rPr>
          <w:rFonts w:hint="default" w:ascii="Times New Roman" w:hAnsi="Times New Roman" w:cs="Times New Roman"/>
          <w:bCs/>
          <w:color w:val="auto"/>
          <w:sz w:val="24"/>
          <w:u w:val="none" w:color="auto"/>
        </w:rPr>
      </w:pPr>
      <w:r>
        <w:rPr>
          <w:rFonts w:hint="default" w:ascii="Times New Roman" w:hAnsi="Times New Roman" w:cs="Times New Roman"/>
          <w:bCs/>
          <w:color w:val="auto"/>
          <w:sz w:val="24"/>
          <w:u w:val="none" w:color="auto"/>
        </w:rPr>
        <w:t>生产规模：</w:t>
      </w:r>
      <w:r>
        <w:rPr>
          <w:rFonts w:hint="eastAsia" w:cs="Times New Roman"/>
          <w:color w:val="auto"/>
          <w:sz w:val="24"/>
          <w:u w:val="none" w:color="auto"/>
          <w:lang w:eastAsia="zh-CN"/>
        </w:rPr>
        <w:t>建设20条PVC大板生产线、6条PVC大板加工线、20 条PVC装饰线条加工线及相关配套环保设施，年产3万吨PVC板材、5000吨PVC装饰线条</w:t>
      </w:r>
      <w:r>
        <w:rPr>
          <w:rFonts w:hint="default" w:ascii="Times New Roman" w:hAnsi="Times New Roman" w:cs="Times New Roman"/>
          <w:color w:val="auto"/>
          <w:sz w:val="24"/>
          <w:u w:val="none" w:color="auto"/>
        </w:rPr>
        <w:t>；</w:t>
      </w:r>
    </w:p>
    <w:p w14:paraId="6EB8F036">
      <w:pPr>
        <w:widowControl/>
        <w:spacing w:line="360" w:lineRule="auto"/>
        <w:ind w:firstLine="480" w:firstLineChars="200"/>
        <w:rPr>
          <w:rFonts w:hint="default" w:ascii="Times New Roman" w:hAnsi="Times New Roman" w:cs="Times New Roman"/>
          <w:color w:val="auto"/>
          <w:sz w:val="24"/>
          <w:u w:val="none" w:color="auto"/>
          <w:lang w:eastAsia="zh-CN"/>
        </w:rPr>
      </w:pPr>
      <w:r>
        <w:rPr>
          <w:rFonts w:hint="default" w:ascii="Times New Roman" w:hAnsi="Times New Roman" w:cs="Times New Roman"/>
          <w:bCs/>
          <w:color w:val="auto"/>
          <w:sz w:val="24"/>
          <w:u w:val="none" w:color="auto"/>
        </w:rPr>
        <w:t>投资情况：本项目建</w:t>
      </w:r>
      <w:r>
        <w:rPr>
          <w:rFonts w:hint="default" w:ascii="Times New Roman" w:hAnsi="Times New Roman" w:cs="Times New Roman"/>
          <w:color w:val="auto"/>
          <w:sz w:val="24"/>
          <w:u w:val="none" w:color="auto"/>
          <w:lang w:eastAsia="zh-CN"/>
        </w:rPr>
        <w:t>设投资</w:t>
      </w:r>
      <w:r>
        <w:rPr>
          <w:rFonts w:hint="eastAsia" w:cs="Times New Roman"/>
          <w:color w:val="auto"/>
          <w:sz w:val="24"/>
          <w:u w:val="none" w:color="auto"/>
          <w:lang w:val="en-US" w:eastAsia="zh-CN"/>
        </w:rPr>
        <w:t>300</w:t>
      </w:r>
      <w:r>
        <w:rPr>
          <w:rFonts w:hint="default" w:ascii="Times New Roman" w:hAnsi="Times New Roman" w:cs="Times New Roman"/>
          <w:color w:val="auto"/>
          <w:sz w:val="24"/>
          <w:u w:val="none" w:color="auto"/>
          <w:lang w:val="en-US" w:eastAsia="zh-CN"/>
        </w:rPr>
        <w:t>0</w:t>
      </w:r>
      <w:r>
        <w:rPr>
          <w:rFonts w:hint="default" w:ascii="Times New Roman" w:hAnsi="Times New Roman" w:cs="Times New Roman"/>
          <w:color w:val="auto"/>
          <w:sz w:val="24"/>
          <w:u w:val="none" w:color="auto"/>
          <w:lang w:eastAsia="zh-CN"/>
        </w:rPr>
        <w:t>万元，资金来源全部为企业自筹；</w:t>
      </w:r>
    </w:p>
    <w:p w14:paraId="28702275">
      <w:pPr>
        <w:widowControl/>
        <w:spacing w:line="360" w:lineRule="auto"/>
        <w:ind w:firstLine="480" w:firstLineChars="200"/>
        <w:rPr>
          <w:rFonts w:hint="default" w:ascii="Times New Roman" w:hAnsi="Times New Roman" w:cs="Times New Roman"/>
          <w:color w:val="auto"/>
          <w:sz w:val="24"/>
          <w:u w:val="none" w:color="auto"/>
          <w:lang w:eastAsia="zh-CN"/>
        </w:rPr>
      </w:pPr>
      <w:r>
        <w:rPr>
          <w:rFonts w:hint="default" w:ascii="Times New Roman" w:hAnsi="Times New Roman" w:cs="Times New Roman"/>
          <w:color w:val="auto"/>
          <w:sz w:val="24"/>
          <w:u w:val="none" w:color="auto"/>
          <w:lang w:eastAsia="zh-CN"/>
        </w:rPr>
        <w:t>项目建设周期：本项目计划总工期</w:t>
      </w:r>
      <w:r>
        <w:rPr>
          <w:rFonts w:hint="eastAsia" w:ascii="Times New Roman" w:hAnsi="Times New Roman" w:cs="Times New Roman"/>
          <w:color w:val="auto"/>
          <w:sz w:val="24"/>
          <w:u w:val="none" w:color="auto"/>
          <w:lang w:val="en-US" w:eastAsia="zh-CN"/>
        </w:rPr>
        <w:t>6</w:t>
      </w:r>
      <w:r>
        <w:rPr>
          <w:rFonts w:hint="default" w:ascii="Times New Roman" w:hAnsi="Times New Roman" w:cs="Times New Roman"/>
          <w:color w:val="auto"/>
          <w:sz w:val="24"/>
          <w:u w:val="none" w:color="auto"/>
          <w:lang w:eastAsia="zh-CN"/>
        </w:rPr>
        <w:t>个月</w:t>
      </w:r>
      <w:r>
        <w:rPr>
          <w:rFonts w:hint="eastAsia" w:ascii="Times New Roman" w:hAnsi="Times New Roman" w:cs="Times New Roman"/>
          <w:color w:val="auto"/>
          <w:sz w:val="24"/>
          <w:u w:val="none" w:color="auto"/>
          <w:lang w:eastAsia="zh-CN"/>
        </w:rPr>
        <w:t>。</w:t>
      </w:r>
    </w:p>
    <w:p w14:paraId="7C645572">
      <w:pPr>
        <w:pStyle w:val="3"/>
        <w:bidi w:val="0"/>
        <w:rPr>
          <w:rFonts w:hint="default"/>
          <w:color w:val="auto"/>
          <w:u w:val="none" w:color="auto"/>
        </w:rPr>
      </w:pPr>
      <w:bookmarkStart w:id="1644" w:name="_Toc22183"/>
      <w:bookmarkStart w:id="1645" w:name="_Toc31984"/>
      <w:bookmarkStart w:id="1646" w:name="_Toc15785"/>
      <w:r>
        <w:rPr>
          <w:rFonts w:hint="eastAsia"/>
          <w:color w:val="auto"/>
          <w:u w:val="none" w:color="auto"/>
          <w:lang w:val="en-US" w:eastAsia="zh-CN"/>
        </w:rPr>
        <w:t>10</w:t>
      </w:r>
      <w:r>
        <w:rPr>
          <w:rFonts w:hint="default"/>
          <w:color w:val="auto"/>
          <w:u w:val="none" w:color="auto"/>
        </w:rPr>
        <w:t>.</w:t>
      </w:r>
      <w:r>
        <w:rPr>
          <w:rFonts w:hint="default"/>
          <w:color w:val="auto"/>
          <w:u w:val="none" w:color="auto"/>
          <w:lang w:val="en-US" w:eastAsia="zh-CN"/>
        </w:rPr>
        <w:t>2</w:t>
      </w:r>
      <w:r>
        <w:rPr>
          <w:rFonts w:hint="default"/>
          <w:color w:val="auto"/>
          <w:u w:val="none" w:color="auto"/>
        </w:rPr>
        <w:t>环境</w:t>
      </w:r>
      <w:bookmarkStart w:id="1647" w:name="_Toc331278443"/>
      <w:r>
        <w:rPr>
          <w:rFonts w:hint="default"/>
          <w:color w:val="auto"/>
          <w:u w:val="none" w:color="auto"/>
        </w:rPr>
        <w:t>质量现状</w:t>
      </w:r>
      <w:bookmarkEnd w:id="1635"/>
      <w:bookmarkEnd w:id="1636"/>
      <w:bookmarkEnd w:id="1637"/>
      <w:bookmarkEnd w:id="1638"/>
      <w:bookmarkEnd w:id="1639"/>
      <w:bookmarkEnd w:id="1640"/>
      <w:bookmarkEnd w:id="1641"/>
      <w:bookmarkEnd w:id="1642"/>
      <w:bookmarkEnd w:id="1643"/>
      <w:bookmarkEnd w:id="1644"/>
      <w:bookmarkEnd w:id="1645"/>
      <w:bookmarkEnd w:id="1646"/>
    </w:p>
    <w:bookmarkEnd w:id="1647"/>
    <w:p w14:paraId="71E91BAF">
      <w:pPr>
        <w:pStyle w:val="20"/>
        <w:ind w:firstLine="480"/>
        <w:rPr>
          <w:rFonts w:hint="default" w:ascii="Times New Roman" w:hAnsi="Times New Roman" w:cs="Times New Roman"/>
          <w:color w:val="auto"/>
          <w:u w:val="none" w:color="auto"/>
        </w:rPr>
      </w:pPr>
      <w:bookmarkStart w:id="1648" w:name="_Toc1254_WPSOffice_Level3"/>
      <w:bookmarkStart w:id="1649" w:name="_Toc6218_WPSOffice_Level3"/>
      <w:r>
        <w:rPr>
          <w:rFonts w:hint="default" w:ascii="Times New Roman" w:hAnsi="Times New Roman" w:cs="Times New Roman"/>
          <w:color w:val="auto"/>
          <w:u w:val="none" w:color="auto"/>
        </w:rPr>
        <w:t>（1）地表水环境</w:t>
      </w:r>
      <w:bookmarkEnd w:id="1648"/>
      <w:bookmarkEnd w:id="1649"/>
    </w:p>
    <w:p w14:paraId="3ED4C8AA">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根据岳阳市汨罗生态环境监测站发布的202</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年1月至202</w:t>
      </w:r>
      <w:r>
        <w:rPr>
          <w:rFonts w:hint="eastAsia" w:ascii="Times New Roman" w:hAnsi="Times New Roman" w:cs="Times New Roman"/>
          <w:color w:val="auto"/>
          <w:u w:val="none" w:color="auto"/>
          <w:lang w:val="en-US" w:eastAsia="zh-CN"/>
        </w:rPr>
        <w:t>4</w:t>
      </w:r>
      <w:r>
        <w:rPr>
          <w:rFonts w:hint="default" w:ascii="Times New Roman" w:hAnsi="Times New Roman" w:cs="Times New Roman"/>
          <w:color w:val="auto"/>
          <w:u w:val="none" w:color="auto"/>
        </w:rPr>
        <w:t>年12月汨罗江新市断面和南渡断面的水质监测结果，汨罗江新市断面、南渡断面水质均满足《地表水环境质量标准》（GB3838-2002）Ⅲ类标准，区域地表水环境质量现状良好。</w:t>
      </w:r>
    </w:p>
    <w:p w14:paraId="7398F3C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引用的《汨罗高新技术产业开发区扩区规划环境影响报告书》中湖南桓泓检测技术有限公司对区域地表水环境质量的补充监测结果，汨罗江各监测断面的所有监测因子均符合《地表水环境质量标准》（GB3838-2002）中的Ⅲ类标准，表明汨罗江本项目纳污河段水质良好。</w:t>
      </w:r>
    </w:p>
    <w:p w14:paraId="3FEB2D06">
      <w:pPr>
        <w:pStyle w:val="20"/>
        <w:ind w:firstLine="480"/>
        <w:rPr>
          <w:rFonts w:hint="default" w:ascii="Times New Roman" w:hAnsi="Times New Roman" w:cs="Times New Roman"/>
          <w:color w:val="auto"/>
          <w:u w:val="none" w:color="auto"/>
        </w:rPr>
      </w:pPr>
      <w:bookmarkStart w:id="1650" w:name="_Toc25149_WPSOffice_Level3"/>
      <w:bookmarkStart w:id="1651" w:name="_Toc23410_WPSOffice_Level3"/>
      <w:r>
        <w:rPr>
          <w:rFonts w:hint="default" w:ascii="Times New Roman" w:hAnsi="Times New Roman" w:cs="Times New Roman"/>
          <w:color w:val="auto"/>
          <w:u w:val="none" w:color="auto"/>
        </w:rPr>
        <w:t>（2）大气环境</w:t>
      </w:r>
      <w:bookmarkEnd w:id="1650"/>
      <w:bookmarkEnd w:id="1651"/>
    </w:p>
    <w:p w14:paraId="4FD80B95">
      <w:pPr>
        <w:pStyle w:val="20"/>
        <w:ind w:firstLine="480"/>
        <w:rPr>
          <w:rFonts w:hint="eastAsia" w:ascii="Times New Roman" w:hAnsi="Times New Roman" w:eastAsia="宋体" w:cs="Times New Roman"/>
          <w:color w:val="auto"/>
          <w:u w:val="none" w:color="auto"/>
          <w:lang w:eastAsia="zh-CN"/>
        </w:rPr>
      </w:pPr>
      <w:r>
        <w:rPr>
          <w:color w:val="auto"/>
          <w:sz w:val="24"/>
          <w:szCs w:val="24"/>
          <w:u w:val="none" w:color="auto"/>
        </w:rPr>
        <w:t>根据汨罗市202</w:t>
      </w:r>
      <w:r>
        <w:rPr>
          <w:rFonts w:hint="eastAsia"/>
          <w:color w:val="auto"/>
          <w:sz w:val="24"/>
          <w:szCs w:val="24"/>
          <w:u w:val="none" w:color="auto"/>
          <w:lang w:val="en-US" w:eastAsia="zh-CN"/>
        </w:rPr>
        <w:t>4</w:t>
      </w:r>
      <w:r>
        <w:rPr>
          <w:color w:val="auto"/>
          <w:sz w:val="24"/>
          <w:szCs w:val="24"/>
          <w:u w:val="none" w:color="auto"/>
        </w:rPr>
        <w:t>年度环境空气质量统计数据，</w:t>
      </w:r>
      <w:r>
        <w:rPr>
          <w:rFonts w:hint="default" w:ascii="Times New Roman" w:hAnsi="Times New Roman" w:cs="Times New Roman"/>
          <w:color w:val="auto"/>
          <w:kern w:val="0"/>
          <w:sz w:val="24"/>
          <w:szCs w:val="24"/>
          <w:u w:val="none" w:color="auto"/>
          <w:lang w:val="en-US" w:eastAsia="zh-CN" w:bidi="ar"/>
        </w:rPr>
        <w:t>202</w:t>
      </w:r>
      <w:r>
        <w:rPr>
          <w:rFonts w:hint="eastAsia" w:ascii="Times New Roman" w:hAnsi="Times New Roman" w:cs="Times New Roman"/>
          <w:color w:val="auto"/>
          <w:kern w:val="0"/>
          <w:sz w:val="24"/>
          <w:szCs w:val="24"/>
          <w:u w:val="none" w:color="auto"/>
          <w:lang w:val="en-US" w:eastAsia="zh-CN" w:bidi="ar"/>
        </w:rPr>
        <w:t>4</w:t>
      </w:r>
      <w:r>
        <w:rPr>
          <w:rFonts w:hint="default" w:ascii="Times New Roman" w:hAnsi="Times New Roman" w:cs="Times New Roman"/>
          <w:color w:val="auto"/>
          <w:kern w:val="0"/>
          <w:sz w:val="24"/>
          <w:szCs w:val="24"/>
          <w:u w:val="none" w:color="auto"/>
          <w:lang w:val="en-US" w:eastAsia="zh-CN" w:bidi="ar"/>
        </w:rPr>
        <w:t>年</w:t>
      </w:r>
      <w:r>
        <w:rPr>
          <w:rFonts w:hint="default" w:ascii="Times New Roman" w:hAnsi="Times New Roman" w:eastAsia="宋体" w:cs="Times New Roman"/>
          <w:color w:val="auto"/>
          <w:kern w:val="0"/>
          <w:sz w:val="24"/>
          <w:szCs w:val="24"/>
          <w:u w:val="none" w:color="auto"/>
          <w:lang w:val="en-US" w:eastAsia="zh-CN" w:bidi="ar"/>
        </w:rPr>
        <w:t>汨罗市环境空气质量六项基本污染物PM</w:t>
      </w:r>
      <w:r>
        <w:rPr>
          <w:rFonts w:hint="default" w:ascii="Times New Roman" w:hAnsi="Times New Roman" w:eastAsia="宋体" w:cs="Times New Roman"/>
          <w:color w:val="auto"/>
          <w:kern w:val="0"/>
          <w:sz w:val="15"/>
          <w:szCs w:val="15"/>
          <w:u w:val="none" w:color="auto"/>
          <w:lang w:val="en-US" w:eastAsia="zh-CN" w:bidi="ar"/>
        </w:rPr>
        <w:t>10</w:t>
      </w:r>
      <w:r>
        <w:rPr>
          <w:rFonts w:hint="default" w:ascii="Times New Roman" w:hAnsi="Times New Roman" w:eastAsia="宋体" w:cs="Times New Roman"/>
          <w:color w:val="auto"/>
          <w:kern w:val="0"/>
          <w:sz w:val="24"/>
          <w:szCs w:val="24"/>
          <w:u w:val="none" w:color="auto"/>
          <w:lang w:val="en-US" w:eastAsia="zh-CN" w:bidi="ar"/>
        </w:rPr>
        <w:t>、PM</w:t>
      </w:r>
      <w:r>
        <w:rPr>
          <w:rFonts w:hint="default" w:ascii="Times New Roman" w:hAnsi="Times New Roman" w:eastAsia="宋体" w:cs="Times New Roman"/>
          <w:color w:val="auto"/>
          <w:kern w:val="0"/>
          <w:sz w:val="15"/>
          <w:szCs w:val="15"/>
          <w:u w:val="none" w:color="auto"/>
          <w:lang w:val="en-US" w:eastAsia="zh-CN" w:bidi="ar"/>
        </w:rPr>
        <w:t>2.5</w:t>
      </w:r>
      <w:r>
        <w:rPr>
          <w:rFonts w:hint="default" w:ascii="Times New Roman" w:hAnsi="Times New Roman" w:eastAsia="宋体" w:cs="Times New Roman"/>
          <w:color w:val="auto"/>
          <w:kern w:val="0"/>
          <w:sz w:val="24"/>
          <w:szCs w:val="24"/>
          <w:u w:val="none" w:color="auto"/>
          <w:lang w:val="en-US" w:eastAsia="zh-CN" w:bidi="ar"/>
        </w:rPr>
        <w:t>、SO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、NO</w:t>
      </w:r>
      <w:r>
        <w:rPr>
          <w:rFonts w:hint="default" w:ascii="Times New Roman" w:hAnsi="Times New Roman" w:eastAsia="宋体" w:cs="Times New Roman"/>
          <w:color w:val="auto"/>
          <w:kern w:val="0"/>
          <w:sz w:val="15"/>
          <w:szCs w:val="15"/>
          <w:u w:val="none" w:color="auto"/>
          <w:lang w:val="en-US" w:eastAsia="zh-CN" w:bidi="ar"/>
        </w:rPr>
        <w:t>2</w:t>
      </w:r>
      <w:r>
        <w:rPr>
          <w:rFonts w:hint="default" w:ascii="Times New Roman" w:hAnsi="Times New Roman" w:eastAsia="宋体" w:cs="Times New Roman"/>
          <w:color w:val="auto"/>
          <w:kern w:val="0"/>
          <w:sz w:val="24"/>
          <w:szCs w:val="24"/>
          <w:u w:val="none" w:color="auto"/>
          <w:lang w:val="en-US" w:eastAsia="zh-CN" w:bidi="ar"/>
        </w:rPr>
        <w:t>、CO、O</w:t>
      </w:r>
      <w:r>
        <w:rPr>
          <w:rFonts w:hint="default" w:ascii="Times New Roman" w:hAnsi="Times New Roman" w:eastAsia="宋体" w:cs="Times New Roman"/>
          <w:color w:val="auto"/>
          <w:kern w:val="0"/>
          <w:sz w:val="15"/>
          <w:szCs w:val="15"/>
          <w:u w:val="none" w:color="auto"/>
          <w:lang w:val="en-US" w:eastAsia="zh-CN" w:bidi="ar"/>
        </w:rPr>
        <w:t>3</w:t>
      </w:r>
      <w:r>
        <w:rPr>
          <w:rFonts w:hint="eastAsia" w:eastAsia="宋体" w:cs="Times New Roman"/>
          <w:color w:val="auto"/>
          <w:kern w:val="0"/>
          <w:sz w:val="24"/>
          <w:szCs w:val="24"/>
          <w:u w:val="none" w:color="auto"/>
          <w:vertAlign w:val="baseline"/>
          <w:lang w:val="en-US" w:eastAsia="zh-CN" w:bidi="ar"/>
        </w:rPr>
        <w:t>中除PM</w:t>
      </w:r>
      <w:r>
        <w:rPr>
          <w:rFonts w:hint="eastAsia" w:eastAsia="宋体" w:cs="Times New Roman"/>
          <w:color w:val="auto"/>
          <w:kern w:val="0"/>
          <w:sz w:val="24"/>
          <w:szCs w:val="24"/>
          <w:u w:val="none" w:color="auto"/>
          <w:vertAlign w:val="subscript"/>
          <w:lang w:val="en-US" w:eastAsia="zh-CN" w:bidi="ar"/>
        </w:rPr>
        <w:t>2.5</w:t>
      </w:r>
      <w:r>
        <w:rPr>
          <w:rFonts w:hint="eastAsia" w:eastAsia="宋体" w:cs="Times New Roman"/>
          <w:color w:val="auto"/>
          <w:kern w:val="0"/>
          <w:sz w:val="24"/>
          <w:szCs w:val="24"/>
          <w:u w:val="none" w:color="auto"/>
          <w:vertAlign w:val="baseline"/>
          <w:lang w:val="en-US" w:eastAsia="zh-CN" w:bidi="ar"/>
        </w:rPr>
        <w:t>的95百分位日平均外，均能</w:t>
      </w:r>
      <w:r>
        <w:rPr>
          <w:rFonts w:hint="default" w:ascii="Times New Roman" w:hAnsi="Times New Roman" w:cs="Times New Roman"/>
          <w:color w:val="auto"/>
          <w:kern w:val="0"/>
          <w:sz w:val="24"/>
          <w:szCs w:val="24"/>
          <w:u w:val="none" w:color="auto"/>
          <w:lang w:val="en-US" w:eastAsia="zh-CN" w:bidi="ar"/>
        </w:rPr>
        <w:t>满足</w:t>
      </w:r>
      <w:r>
        <w:rPr>
          <w:rFonts w:hint="default" w:ascii="Times New Roman" w:hAnsi="Times New Roman" w:eastAsia="宋体" w:cs="Times New Roman"/>
          <w:color w:val="auto"/>
          <w:kern w:val="0"/>
          <w:sz w:val="24"/>
          <w:szCs w:val="24"/>
          <w:u w:val="none" w:color="auto"/>
          <w:lang w:val="en-US" w:eastAsia="zh-CN" w:bidi="ar"/>
        </w:rPr>
        <w:t>《环境空气质量标准》（GB3095-2012）及其修改单中的二级标准</w:t>
      </w:r>
      <w:r>
        <w:rPr>
          <w:rFonts w:hint="eastAsia" w:eastAsia="宋体" w:cs="Times New Roman"/>
          <w:color w:val="auto"/>
          <w:kern w:val="0"/>
          <w:sz w:val="24"/>
          <w:szCs w:val="24"/>
          <w:u w:val="none" w:color="auto"/>
          <w:lang w:val="en-US" w:eastAsia="zh-CN" w:bidi="ar"/>
        </w:rPr>
        <w:t>，</w:t>
      </w:r>
      <w:r>
        <w:rPr>
          <w:rFonts w:hint="eastAsia" w:eastAsia="宋体" w:cs="Times New Roman"/>
          <w:color w:val="auto"/>
          <w:kern w:val="0"/>
          <w:sz w:val="24"/>
          <w:szCs w:val="24"/>
          <w:u w:val="none" w:color="auto"/>
          <w:vertAlign w:val="baseline"/>
          <w:lang w:val="en-US" w:eastAsia="zh-CN" w:bidi="ar"/>
        </w:rPr>
        <w:t>PM</w:t>
      </w:r>
      <w:r>
        <w:rPr>
          <w:rFonts w:hint="eastAsia" w:eastAsia="宋体" w:cs="Times New Roman"/>
          <w:color w:val="auto"/>
          <w:kern w:val="0"/>
          <w:sz w:val="24"/>
          <w:szCs w:val="24"/>
          <w:u w:val="none" w:color="auto"/>
          <w:vertAlign w:val="subscript"/>
          <w:lang w:val="en-US" w:eastAsia="zh-CN" w:bidi="ar"/>
        </w:rPr>
        <w:t>2.5</w:t>
      </w:r>
      <w:r>
        <w:rPr>
          <w:rFonts w:hint="eastAsia" w:eastAsia="宋体" w:cs="Times New Roman"/>
          <w:color w:val="auto"/>
          <w:kern w:val="0"/>
          <w:sz w:val="24"/>
          <w:szCs w:val="24"/>
          <w:u w:val="none" w:color="auto"/>
          <w:vertAlign w:val="baseline"/>
          <w:lang w:val="en-US" w:eastAsia="zh-CN" w:bidi="ar"/>
        </w:rPr>
        <w:t>的95百分位日平均最大占标率为118.67%，超标倍数为0.187，</w:t>
      </w:r>
      <w:r>
        <w:rPr>
          <w:rFonts w:hint="default" w:ascii="Times New Roman" w:hAnsi="Times New Roman" w:eastAsia="宋体" w:cs="Times New Roman"/>
          <w:color w:val="auto"/>
          <w:kern w:val="0"/>
          <w:sz w:val="24"/>
          <w:szCs w:val="24"/>
          <w:u w:val="none" w:color="auto"/>
          <w:lang w:val="en-US" w:eastAsia="zh-CN" w:bidi="ar"/>
        </w:rPr>
        <w:t>项目区域大气环境质量为</w:t>
      </w:r>
      <w:r>
        <w:rPr>
          <w:rFonts w:hint="eastAsia" w:eastAsia="宋体" w:cs="Times New Roman"/>
          <w:color w:val="auto"/>
          <w:kern w:val="0"/>
          <w:sz w:val="24"/>
          <w:szCs w:val="24"/>
          <w:u w:val="none" w:color="auto"/>
          <w:lang w:val="en-US" w:eastAsia="zh-CN" w:bidi="ar"/>
        </w:rPr>
        <w:t>不</w:t>
      </w:r>
      <w:r>
        <w:rPr>
          <w:rFonts w:hint="default" w:ascii="Times New Roman" w:hAnsi="Times New Roman" w:eastAsia="宋体" w:cs="Times New Roman"/>
          <w:color w:val="auto"/>
          <w:kern w:val="0"/>
          <w:sz w:val="24"/>
          <w:szCs w:val="24"/>
          <w:u w:val="none" w:color="auto"/>
          <w:lang w:val="en-US" w:eastAsia="zh-CN" w:bidi="ar"/>
        </w:rPr>
        <w:t>达标区。目前岳阳市已于2020年7月印发《岳阳市环境空气质量期限达标规划（2020-2026）》（岳生环委发〔2020〕10号），根据该规划，在2026年底前岳阳市将实现空气质量6项主要污染物（PM</w:t>
      </w:r>
      <w:r>
        <w:rPr>
          <w:rFonts w:hint="default" w:ascii="Times New Roman" w:hAnsi="Times New Roman" w:eastAsia="宋体" w:cs="Times New Roman"/>
          <w:color w:val="auto"/>
          <w:kern w:val="0"/>
          <w:sz w:val="24"/>
          <w:szCs w:val="24"/>
          <w:u w:val="none" w:color="auto"/>
          <w:vertAlign w:val="subscript"/>
          <w:lang w:val="en-US" w:eastAsia="zh-CN" w:bidi="ar"/>
        </w:rPr>
        <w:t>10</w:t>
      </w:r>
      <w:r>
        <w:rPr>
          <w:rFonts w:hint="default" w:ascii="Times New Roman" w:hAnsi="Times New Roman" w:eastAsia="宋体" w:cs="Times New Roman"/>
          <w:color w:val="auto"/>
          <w:kern w:val="0"/>
          <w:sz w:val="24"/>
          <w:szCs w:val="24"/>
          <w:u w:val="none" w:color="auto"/>
          <w:lang w:val="en-US" w:eastAsia="zh-CN" w:bidi="ar"/>
        </w:rPr>
        <w:t>、PM</w:t>
      </w:r>
      <w:r>
        <w:rPr>
          <w:rFonts w:hint="default" w:ascii="Times New Roman" w:hAnsi="Times New Roman" w:eastAsia="宋体" w:cs="Times New Roman"/>
          <w:color w:val="auto"/>
          <w:kern w:val="0"/>
          <w:sz w:val="24"/>
          <w:szCs w:val="24"/>
          <w:u w:val="none" w:color="auto"/>
          <w:vertAlign w:val="subscript"/>
          <w:lang w:val="en-US" w:eastAsia="zh-CN" w:bidi="ar"/>
        </w:rPr>
        <w:t>2.5</w:t>
      </w:r>
      <w:r>
        <w:rPr>
          <w:rFonts w:hint="default" w:ascii="Times New Roman" w:hAnsi="Times New Roman" w:eastAsia="宋体" w:cs="Times New Roman"/>
          <w:color w:val="auto"/>
          <w:kern w:val="0"/>
          <w:sz w:val="24"/>
          <w:szCs w:val="24"/>
          <w:u w:val="none" w:color="auto"/>
          <w:lang w:val="en-US" w:eastAsia="zh-CN" w:bidi="ar"/>
        </w:rPr>
        <w:t>、二氧化硫、二氧化氮、一氧化碳和臭氧）全部达标</w:t>
      </w:r>
      <w:r>
        <w:rPr>
          <w:color w:val="auto"/>
          <w:sz w:val="24"/>
          <w:szCs w:val="24"/>
          <w:u w:val="none" w:color="auto"/>
        </w:rPr>
        <w:t>。</w:t>
      </w:r>
      <w:r>
        <w:rPr>
          <w:rFonts w:hint="eastAsia"/>
          <w:color w:val="auto"/>
          <w:u w:val="none" w:color="auto"/>
        </w:rPr>
        <w:t>根据引用的环境空气质量补充监测数据，TSP符合《环境空气质量标准》（GB3095-2012）及其修改单中的二级标准；</w:t>
      </w:r>
      <w:r>
        <w:rPr>
          <w:color w:val="auto"/>
          <w:u w:val="none" w:color="auto"/>
        </w:rPr>
        <w:t>TVOC</w:t>
      </w:r>
      <w:r>
        <w:rPr>
          <w:rFonts w:hint="eastAsia"/>
          <w:color w:val="auto"/>
          <w:u w:val="none" w:color="auto"/>
          <w:lang w:eastAsia="zh-CN"/>
        </w:rPr>
        <w:t>、</w:t>
      </w:r>
      <w:r>
        <w:rPr>
          <w:rFonts w:hint="eastAsia"/>
          <w:color w:val="auto"/>
          <w:u w:val="none" w:color="auto"/>
          <w:lang w:val="en-US" w:eastAsia="zh-CN"/>
        </w:rPr>
        <w:t>二甲苯、氯化氢</w:t>
      </w:r>
      <w:r>
        <w:rPr>
          <w:color w:val="auto"/>
          <w:u w:val="none" w:color="auto"/>
        </w:rPr>
        <w:t>能满足《环境影响评价技术导则 大气环境》(HJ2.2-2018)中的附录D标准中的相应的标准</w:t>
      </w:r>
      <w:r>
        <w:rPr>
          <w:rFonts w:hint="eastAsia"/>
          <w:color w:val="auto"/>
          <w:u w:val="none" w:color="auto"/>
          <w:lang w:eastAsia="zh-CN"/>
        </w:rPr>
        <w:t>；</w:t>
      </w:r>
      <w:r>
        <w:rPr>
          <w:rFonts w:hint="default" w:ascii="Times New Roman" w:hAnsi="Times New Roman" w:eastAsia="宋体" w:cs="Times New Roman"/>
          <w:color w:val="auto"/>
          <w:u w:val="none" w:color="auto"/>
        </w:rPr>
        <w:t>非甲烷总烃满足《大气污染物综合排放标准详解》中的环境质量标准一次浓度</w:t>
      </w:r>
      <w:r>
        <w:rPr>
          <w:rFonts w:hint="eastAsia"/>
          <w:color w:val="auto"/>
          <w:u w:val="none" w:color="auto"/>
          <w:lang w:eastAsia="zh-CN"/>
        </w:rPr>
        <w:t>。</w:t>
      </w:r>
    </w:p>
    <w:p w14:paraId="3C5458C9">
      <w:pPr>
        <w:pStyle w:val="20"/>
        <w:ind w:firstLine="480"/>
        <w:rPr>
          <w:rFonts w:hint="default" w:ascii="Times New Roman" w:hAnsi="Times New Roman" w:cs="Times New Roman"/>
          <w:color w:val="auto"/>
          <w:u w:val="none" w:color="auto"/>
        </w:rPr>
      </w:pPr>
      <w:bookmarkStart w:id="1652" w:name="_Toc13549_WPSOffice_Level3"/>
      <w:bookmarkStart w:id="1653" w:name="_Toc16020_WPSOffice_Level3"/>
      <w:r>
        <w:rPr>
          <w:rFonts w:hint="default" w:ascii="Times New Roman" w:hAnsi="Times New Roman" w:cs="Times New Roman"/>
          <w:color w:val="auto"/>
          <w:u w:val="none" w:color="auto"/>
        </w:rPr>
        <w:t>（3）声环境</w:t>
      </w:r>
      <w:bookmarkEnd w:id="1652"/>
      <w:bookmarkEnd w:id="1653"/>
    </w:p>
    <w:p w14:paraId="6EFD98B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从噪声现场监测数据与评价标准对比可知：项目所在地厂界的声环境噪声满足《工业企业厂界环境噪声排放标准》（GB12348-2008）中的3类标准，西侧敏感点居民的声环境噪声满足《声环境质量标准》（GB3096-2008）表1中的</w:t>
      </w:r>
      <w:r>
        <w:rPr>
          <w:rFonts w:hint="eastAsia"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类标准</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项目</w:t>
      </w:r>
      <w:r>
        <w:rPr>
          <w:rFonts w:hint="default" w:ascii="Times New Roman" w:hAnsi="Times New Roman" w:cs="Times New Roman"/>
          <w:color w:val="auto"/>
          <w:u w:val="none" w:color="auto"/>
        </w:rPr>
        <w:t>所在区域声环境质量较好。</w:t>
      </w:r>
    </w:p>
    <w:p w14:paraId="6F11F68A">
      <w:pPr>
        <w:pStyle w:val="20"/>
        <w:ind w:firstLine="480"/>
        <w:rPr>
          <w:rFonts w:hint="default" w:ascii="Times New Roman" w:hAnsi="Times New Roman" w:cs="Times New Roman"/>
          <w:color w:val="auto"/>
          <w:u w:val="none" w:color="auto"/>
        </w:rPr>
      </w:pPr>
      <w:bookmarkStart w:id="1654" w:name="_Toc23985_WPSOffice_Level3"/>
      <w:bookmarkStart w:id="1655" w:name="_Toc18892_WPSOffice_Level3"/>
      <w:r>
        <w:rPr>
          <w:rFonts w:hint="default" w:ascii="Times New Roman" w:hAnsi="Times New Roman" w:cs="Times New Roman"/>
          <w:color w:val="auto"/>
          <w:u w:val="none" w:color="auto"/>
        </w:rPr>
        <w:t>（4）地下水环境现状</w:t>
      </w:r>
      <w:bookmarkEnd w:id="1654"/>
      <w:bookmarkEnd w:id="1655"/>
    </w:p>
    <w:p w14:paraId="7FDAA39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w:t>
      </w:r>
      <w:r>
        <w:rPr>
          <w:rFonts w:hint="eastAsia" w:ascii="Times New Roman" w:hAnsi="Times New Roman" w:cs="Times New Roman"/>
          <w:color w:val="auto"/>
          <w:u w:val="none" w:color="auto"/>
          <w:lang w:val="en-US" w:eastAsia="zh-CN"/>
        </w:rPr>
        <w:t>引用的</w:t>
      </w:r>
      <w:r>
        <w:rPr>
          <w:rFonts w:hint="default" w:ascii="Times New Roman" w:hAnsi="Times New Roman" w:cs="Times New Roman"/>
          <w:color w:val="auto"/>
          <w:u w:val="none" w:color="auto"/>
        </w:rPr>
        <w:t>区域地下水质量补充监测结果，评价区域内地下水监测点的各监测因子均能达到《地下水质量标准》（GB/T14848-2017）Ⅲ类水质标准。</w:t>
      </w:r>
    </w:p>
    <w:p w14:paraId="3450F4CF">
      <w:pPr>
        <w:pStyle w:val="3"/>
        <w:bidi w:val="0"/>
        <w:rPr>
          <w:rFonts w:hint="default"/>
          <w:color w:val="auto"/>
          <w:u w:val="none" w:color="auto"/>
        </w:rPr>
      </w:pPr>
      <w:bookmarkStart w:id="1656" w:name="_Toc14579_WPSOffice_Level2"/>
      <w:bookmarkStart w:id="1657" w:name="_Toc31876_WPSOffice_Level2"/>
      <w:bookmarkStart w:id="1658" w:name="_Toc30089_WPSOffice_Level2"/>
      <w:bookmarkStart w:id="1659" w:name="_Toc16006"/>
      <w:bookmarkStart w:id="1660" w:name="_Toc13710"/>
      <w:bookmarkStart w:id="1661" w:name="_Toc15003"/>
      <w:bookmarkStart w:id="1662" w:name="_Toc14624_WPSOffice_Level2"/>
      <w:bookmarkStart w:id="1663" w:name="_Toc8255"/>
      <w:bookmarkStart w:id="1664" w:name="_Toc25353"/>
      <w:bookmarkStart w:id="1665" w:name="_Toc4491"/>
      <w:bookmarkStart w:id="1666" w:name="_Toc27791_WPSOffice_Level2"/>
      <w:bookmarkStart w:id="1667" w:name="_Toc5259"/>
      <w:bookmarkStart w:id="1668" w:name="_Toc331278444"/>
      <w:r>
        <w:rPr>
          <w:rFonts w:hint="eastAsia"/>
          <w:color w:val="auto"/>
          <w:u w:val="none" w:color="auto"/>
          <w:lang w:val="en-US" w:eastAsia="zh-CN"/>
        </w:rPr>
        <w:t>10</w:t>
      </w:r>
      <w:r>
        <w:rPr>
          <w:rFonts w:hint="default"/>
          <w:color w:val="auto"/>
          <w:u w:val="none" w:color="auto"/>
        </w:rPr>
        <w:t>.</w:t>
      </w:r>
      <w:r>
        <w:rPr>
          <w:rFonts w:hint="default"/>
          <w:color w:val="auto"/>
          <w:u w:val="none" w:color="auto"/>
          <w:lang w:val="en-US" w:eastAsia="zh-CN"/>
        </w:rPr>
        <w:t>3</w:t>
      </w:r>
      <w:r>
        <w:rPr>
          <w:rFonts w:hint="default"/>
          <w:color w:val="auto"/>
          <w:u w:val="none" w:color="auto"/>
        </w:rPr>
        <w:t>环境影响结论</w:t>
      </w:r>
      <w:bookmarkEnd w:id="1656"/>
      <w:bookmarkEnd w:id="1657"/>
      <w:bookmarkEnd w:id="1658"/>
      <w:bookmarkEnd w:id="1659"/>
      <w:bookmarkEnd w:id="1660"/>
      <w:bookmarkEnd w:id="1661"/>
      <w:bookmarkEnd w:id="1662"/>
      <w:bookmarkEnd w:id="1663"/>
      <w:bookmarkEnd w:id="1664"/>
      <w:bookmarkEnd w:id="1665"/>
      <w:bookmarkEnd w:id="1666"/>
      <w:bookmarkEnd w:id="1667"/>
    </w:p>
    <w:p w14:paraId="10DA4027">
      <w:pPr>
        <w:pStyle w:val="20"/>
        <w:ind w:firstLine="480"/>
        <w:rPr>
          <w:rFonts w:hint="default" w:ascii="Times New Roman" w:hAnsi="Times New Roman" w:cs="Times New Roman"/>
          <w:color w:val="auto"/>
          <w:u w:val="none" w:color="auto"/>
        </w:rPr>
      </w:pPr>
      <w:bookmarkStart w:id="1669" w:name="_Toc7926_WPSOffice_Level3"/>
      <w:bookmarkStart w:id="1670" w:name="_Toc31675_WPSOffice_Level3"/>
      <w:r>
        <w:rPr>
          <w:rFonts w:hint="default" w:ascii="Times New Roman" w:hAnsi="Times New Roman" w:cs="Times New Roman"/>
          <w:color w:val="auto"/>
          <w:u w:val="none" w:color="auto"/>
        </w:rPr>
        <w:t>1、施工期</w:t>
      </w:r>
      <w:bookmarkEnd w:id="1669"/>
      <w:bookmarkEnd w:id="1670"/>
    </w:p>
    <w:p w14:paraId="7AC44C79">
      <w:pPr>
        <w:pStyle w:val="20"/>
        <w:rPr>
          <w:rFonts w:hint="default" w:ascii="Times New Roman" w:hAnsi="Times New Roman" w:eastAsia="宋体" w:cs="Times New Roman"/>
          <w:color w:val="auto"/>
          <w:u w:val="none"/>
        </w:rPr>
      </w:pPr>
      <w:bookmarkStart w:id="1671" w:name="_Toc9672_WPSOffice_Level3"/>
      <w:bookmarkStart w:id="1672" w:name="_Toc10652_WPSOffice_Level3"/>
      <w:r>
        <w:rPr>
          <w:rFonts w:hint="default" w:ascii="Times New Roman" w:hAnsi="Times New Roman" w:eastAsia="宋体" w:cs="Times New Roman"/>
          <w:color w:val="auto"/>
          <w:u w:val="none"/>
        </w:rPr>
        <w:t>（1）大气环境影响分析结论</w:t>
      </w:r>
    </w:p>
    <w:p w14:paraId="0069BB5C">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项目建设施工过程中的大气污染主要来自于施工场地的扬尘。采取抑尘措施：施工场地洒水抑尘、配置工地细目滞尘防护网，采用商品混凝土，做到施工现场及场外道路泥土及时清理，减少二次扬尘。建筑材料运输过程中用蓬布遮盖，对途径道路两侧的空气环境影响相对较小。项目施工阶段挖掘机、装载机等燃油机械运行将产生一定量燃油废气，考虑其排放量不大，对周边环境空气质量影响范围及程度较小。</w:t>
      </w:r>
    </w:p>
    <w:p w14:paraId="399F3D10">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（2）水环境影响分析结论</w:t>
      </w:r>
    </w:p>
    <w:p w14:paraId="0D408EC1">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项目施工期废水主要是施工人员的生活污水和施工废水，施工期生活污水</w:t>
      </w:r>
      <w:r>
        <w:rPr>
          <w:rFonts w:hint="eastAsia" w:cs="Times New Roman"/>
          <w:color w:val="auto"/>
          <w:u w:val="none" w:color="auto"/>
          <w:lang w:val="en-US" w:eastAsia="zh-CN"/>
        </w:rPr>
        <w:t>经</w:t>
      </w:r>
      <w:r>
        <w:rPr>
          <w:rFonts w:hint="default" w:ascii="Times New Roman" w:hAnsi="Times New Roman" w:eastAsia="宋体" w:cs="Times New Roman"/>
          <w:color w:val="auto"/>
          <w:u w:val="none" w:color="auto"/>
          <w:lang w:eastAsia="zh-CN"/>
        </w:rPr>
        <w:t>化粪池处理后进入</w:t>
      </w:r>
      <w:r>
        <w:rPr>
          <w:rFonts w:hint="eastAsia" w:ascii="Times New Roman" w:hAnsi="Times New Roman" w:eastAsia="宋体" w:cs="Times New Roman"/>
          <w:color w:val="auto"/>
          <w:kern w:val="2"/>
          <w:sz w:val="24"/>
          <w:szCs w:val="24"/>
          <w:highlight w:val="none"/>
          <w:u w:val="none" w:color="auto"/>
          <w:lang w:val="en-US" w:eastAsia="zh-CN" w:bidi="ar-SA"/>
        </w:rPr>
        <w:t>湖南汨罗高新技术产业开发区（循环园区）污水处理厂</w:t>
      </w:r>
      <w:r>
        <w:rPr>
          <w:rFonts w:hint="eastAsia" w:cs="Times New Roman"/>
          <w:color w:val="auto"/>
          <w:u w:val="none" w:color="auto"/>
          <w:lang w:val="en-US" w:eastAsia="zh-CN"/>
        </w:rPr>
        <w:t>处理</w:t>
      </w:r>
      <w:r>
        <w:rPr>
          <w:rFonts w:hint="default" w:ascii="Times New Roman" w:hAnsi="Times New Roman" w:eastAsia="宋体" w:cs="Times New Roman"/>
          <w:color w:val="auto"/>
          <w:u w:val="none"/>
        </w:rPr>
        <w:t>，施工废水经沉淀后回用</w:t>
      </w:r>
      <w:r>
        <w:rPr>
          <w:rFonts w:hint="eastAsia" w:cs="Times New Roman"/>
          <w:color w:val="auto"/>
          <w:u w:val="none"/>
          <w:lang w:eastAsia="zh-CN"/>
        </w:rPr>
        <w:t>，</w:t>
      </w:r>
      <w:r>
        <w:rPr>
          <w:rFonts w:hint="eastAsia" w:cs="Times New Roman"/>
          <w:color w:val="auto"/>
          <w:u w:val="none"/>
          <w:lang w:val="en-US" w:eastAsia="zh-CN"/>
        </w:rPr>
        <w:t>不外排</w:t>
      </w:r>
      <w:r>
        <w:rPr>
          <w:rFonts w:hint="default" w:ascii="Times New Roman" w:hAnsi="Times New Roman" w:eastAsia="宋体" w:cs="Times New Roman"/>
          <w:color w:val="auto"/>
          <w:u w:val="none"/>
        </w:rPr>
        <w:t>，对水环境的影响较小。</w:t>
      </w:r>
    </w:p>
    <w:p w14:paraId="494BE4F2">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（3）噪声影响分析结论</w:t>
      </w:r>
    </w:p>
    <w:p w14:paraId="45A864B1">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施工期的噪声主要为机械噪声、施工作业噪声和施工车辆噪声。在施工期间，建设单位选用低噪声的施工机械，合理安排施工时间，避免在同一时间集中使用大量的动力机械设备，除必须连续作业的工序外，晚上不得施工。日常必须加强对施工人员的管理，减少人为原因产生的高噪声。在采取适当的工程和管理措施后，可缓解</w:t>
      </w:r>
      <w:r>
        <w:rPr>
          <w:rFonts w:hint="eastAsia" w:cs="Times New Roman"/>
          <w:color w:val="auto"/>
          <w:u w:val="none"/>
          <w:lang w:val="en-US" w:eastAsia="zh-CN"/>
        </w:rPr>
        <w:t>施工</w:t>
      </w:r>
      <w:r>
        <w:rPr>
          <w:rFonts w:hint="default" w:ascii="Times New Roman" w:hAnsi="Times New Roman" w:eastAsia="宋体" w:cs="Times New Roman"/>
          <w:color w:val="auto"/>
          <w:u w:val="none"/>
        </w:rPr>
        <w:t>噪声对区域</w:t>
      </w:r>
      <w:r>
        <w:rPr>
          <w:rFonts w:hint="eastAsia" w:cs="Times New Roman"/>
          <w:color w:val="auto"/>
          <w:u w:val="none"/>
          <w:lang w:val="en-US" w:eastAsia="zh-CN"/>
        </w:rPr>
        <w:t>声</w:t>
      </w:r>
      <w:r>
        <w:rPr>
          <w:rFonts w:hint="default" w:ascii="Times New Roman" w:hAnsi="Times New Roman" w:eastAsia="宋体" w:cs="Times New Roman"/>
          <w:color w:val="auto"/>
          <w:u w:val="none"/>
        </w:rPr>
        <w:t>环境的影响。</w:t>
      </w:r>
    </w:p>
    <w:p w14:paraId="34D26A8C">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（4）固体废物影响分析结论</w:t>
      </w:r>
    </w:p>
    <w:p w14:paraId="1C9D46F8">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对建筑垃圾，尽量做到废物的回收利用，对其中的钢筋回收利用，多余建筑垃圾</w:t>
      </w:r>
      <w:r>
        <w:rPr>
          <w:rFonts w:hint="default" w:ascii="Times New Roman" w:hAnsi="Times New Roman" w:eastAsia="宋体" w:cs="Times New Roman"/>
          <w:color w:val="auto"/>
          <w:u w:val="none" w:color="auto"/>
        </w:rPr>
        <w:t>要定点堆放，由专业建筑垃圾回收公司清运统一处理，严禁擅自堆放和倾倒到附近的水</w:t>
      </w:r>
      <w:r>
        <w:rPr>
          <w:rFonts w:hint="default" w:ascii="Times New Roman" w:hAnsi="Times New Roman" w:eastAsia="宋体" w:cs="Times New Roman"/>
          <w:color w:val="auto"/>
          <w:u w:val="none" w:color="auto"/>
          <w:lang w:eastAsia="zh-CN"/>
        </w:rPr>
        <w:t>体</w:t>
      </w:r>
      <w:r>
        <w:rPr>
          <w:rFonts w:hint="default" w:ascii="Times New Roman" w:hAnsi="Times New Roman" w:eastAsia="宋体" w:cs="Times New Roman"/>
          <w:color w:val="auto"/>
          <w:u w:val="none" w:color="auto"/>
        </w:rPr>
        <w:t>。施工</w:t>
      </w:r>
      <w:r>
        <w:rPr>
          <w:rFonts w:hint="eastAsia" w:cs="Times New Roman"/>
          <w:color w:val="auto"/>
          <w:u w:val="none" w:color="auto"/>
          <w:lang w:val="en-US" w:eastAsia="zh-CN"/>
        </w:rPr>
        <w:t>人员</w:t>
      </w:r>
      <w:r>
        <w:rPr>
          <w:rFonts w:hint="default" w:ascii="Times New Roman" w:hAnsi="Times New Roman" w:eastAsia="宋体" w:cs="Times New Roman"/>
          <w:color w:val="auto"/>
          <w:u w:val="none" w:color="auto"/>
        </w:rPr>
        <w:t>生活垃圾要及时组织清运，交当地环卫</w:t>
      </w:r>
      <w:r>
        <w:rPr>
          <w:rFonts w:hint="eastAsia" w:cs="Times New Roman"/>
          <w:color w:val="auto"/>
          <w:u w:val="none" w:color="auto"/>
          <w:lang w:val="en-US" w:eastAsia="zh-CN"/>
        </w:rPr>
        <w:t>部门</w:t>
      </w:r>
      <w:r>
        <w:rPr>
          <w:rFonts w:hint="default" w:ascii="Times New Roman" w:hAnsi="Times New Roman" w:eastAsia="宋体" w:cs="Times New Roman"/>
          <w:color w:val="auto"/>
          <w:u w:val="none" w:color="auto"/>
        </w:rPr>
        <w:t>处理</w:t>
      </w:r>
      <w:r>
        <w:rPr>
          <w:rFonts w:hint="default"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rPr>
        <w:t>禁止随地堆放。采用有效措施后</w:t>
      </w:r>
      <w:r>
        <w:rPr>
          <w:rFonts w:hint="default" w:ascii="Times New Roman" w:hAnsi="Times New Roman" w:eastAsia="宋体" w:cs="Times New Roman"/>
          <w:color w:val="auto"/>
          <w:u w:val="none" w:color="auto"/>
          <w:lang w:eastAsia="zh-CN"/>
        </w:rPr>
        <w:t>固体废物能得到合理处置，</w:t>
      </w:r>
      <w:r>
        <w:rPr>
          <w:rFonts w:hint="default" w:ascii="Times New Roman" w:hAnsi="Times New Roman" w:eastAsia="宋体" w:cs="Times New Roman"/>
          <w:color w:val="auto"/>
          <w:u w:val="none" w:color="auto"/>
        </w:rPr>
        <w:t>其环境影响不大</w:t>
      </w:r>
      <w:r>
        <w:rPr>
          <w:rFonts w:hint="default" w:ascii="Times New Roman" w:hAnsi="Times New Roman" w:eastAsia="宋体" w:cs="Times New Roman"/>
          <w:color w:val="auto"/>
          <w:u w:val="none"/>
        </w:rPr>
        <w:t>。</w:t>
      </w:r>
    </w:p>
    <w:p w14:paraId="4C5A9AB2">
      <w:pPr>
        <w:pStyle w:val="20"/>
        <w:rPr>
          <w:rFonts w:hint="default" w:ascii="Times New Roman" w:hAnsi="Times New Roman" w:eastAsia="宋体" w:cs="Times New Roman"/>
          <w:color w:val="auto"/>
          <w:u w:val="none"/>
        </w:rPr>
      </w:pPr>
      <w:r>
        <w:rPr>
          <w:rFonts w:hint="default" w:ascii="Times New Roman" w:hAnsi="Times New Roman" w:eastAsia="宋体" w:cs="Times New Roman"/>
          <w:color w:val="auto"/>
          <w:u w:val="none"/>
        </w:rPr>
        <w:t>（5）施工期生态影响分析结论</w:t>
      </w:r>
    </w:p>
    <w:p w14:paraId="27036619">
      <w:pPr>
        <w:pStyle w:val="20"/>
        <w:rPr>
          <w:rFonts w:hint="default" w:ascii="Times New Roman" w:hAnsi="Times New Roman" w:cs="Times New Roman"/>
          <w:color w:val="auto"/>
          <w:u w:val="none" w:color="auto"/>
          <w:lang w:val="en-US" w:eastAsia="zh-CN"/>
        </w:rPr>
      </w:pPr>
      <w:r>
        <w:rPr>
          <w:rFonts w:hint="default" w:ascii="Times New Roman" w:hAnsi="Times New Roman" w:eastAsia="宋体" w:cs="Times New Roman"/>
          <w:color w:val="auto"/>
          <w:u w:val="none"/>
        </w:rPr>
        <w:t>施工过程中采取设围栏，尽量避开雨季施工，减少下雨过程中造成的水土流失，并及时进行厂区绿化。采取以上措施后，项目施工期水土流失将有所降低，项目建设对环境的影响也将有所减小</w:t>
      </w:r>
      <w:r>
        <w:rPr>
          <w:rFonts w:hint="default" w:ascii="Times New Roman" w:hAnsi="Times New Roman" w:cs="Times New Roman"/>
          <w:color w:val="auto"/>
          <w:u w:val="none" w:color="auto"/>
          <w:lang w:val="en-US" w:eastAsia="zh-CN"/>
        </w:rPr>
        <w:t>。</w:t>
      </w:r>
    </w:p>
    <w:p w14:paraId="55C55050">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2、运营期</w:t>
      </w:r>
      <w:bookmarkEnd w:id="1671"/>
      <w:bookmarkEnd w:id="1672"/>
    </w:p>
    <w:bookmarkEnd w:id="1668"/>
    <w:p w14:paraId="041EA881">
      <w:pPr>
        <w:pStyle w:val="20"/>
        <w:ind w:firstLine="480"/>
        <w:rPr>
          <w:rFonts w:hint="default" w:ascii="Times New Roman" w:hAnsi="Times New Roman" w:cs="Times New Roman"/>
          <w:color w:val="auto"/>
          <w:u w:val="none" w:color="auto"/>
        </w:rPr>
      </w:pPr>
      <w:bookmarkStart w:id="1673" w:name="_Toc9300"/>
      <w:bookmarkStart w:id="1674" w:name="_Toc21544_WPSOffice_Level2"/>
      <w:bookmarkStart w:id="1675" w:name="_Toc30160"/>
      <w:bookmarkStart w:id="1676" w:name="_Toc25176_WPSOffice_Level2"/>
      <w:bookmarkStart w:id="1677" w:name="_Toc24952_WPSOffice_Level2"/>
      <w:bookmarkStart w:id="1678" w:name="_Toc5421"/>
      <w:bookmarkStart w:id="1679" w:name="_Toc16721_WPSOffice_Level2"/>
      <w:bookmarkStart w:id="1680" w:name="_Toc20269"/>
      <w:bookmarkStart w:id="1681" w:name="_Toc18436_WPSOffice_Level2"/>
      <w:r>
        <w:rPr>
          <w:rFonts w:hint="default" w:ascii="Times New Roman" w:hAnsi="Times New Roman" w:cs="Times New Roman"/>
          <w:color w:val="auto"/>
          <w:u w:val="none" w:color="auto"/>
        </w:rPr>
        <w:t>（1）废水：项目建成后，</w:t>
      </w:r>
      <w:r>
        <w:rPr>
          <w:rStyle w:val="50"/>
          <w:rFonts w:hint="eastAsia" w:ascii="Times New Roman" w:hAnsi="Times New Roman" w:cs="Times New Roman"/>
          <w:color w:val="auto"/>
          <w:u w:val="none" w:color="auto"/>
          <w:lang w:val="en-US" w:eastAsia="zh-CN"/>
        </w:rPr>
        <w:t>冷却水经循环水池+冷却塔处理后循环使用，不外排；生活污水经化粪池处理后排入湖南汨罗高新技术产业开发区（循环园区）污水处理厂。</w:t>
      </w:r>
    </w:p>
    <w:p w14:paraId="0D8ABE49">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（2）废气：本项目营运期排放的废气包括</w:t>
      </w:r>
      <w:r>
        <w:rPr>
          <w:rFonts w:hint="eastAsia"/>
          <w:color w:val="auto"/>
          <w:u w:val="none" w:color="auto"/>
          <w:lang w:eastAsia="zh-CN"/>
        </w:rPr>
        <w:t>颗粒物</w:t>
      </w:r>
      <w:r>
        <w:rPr>
          <w:rFonts w:hint="eastAsia"/>
          <w:color w:val="auto"/>
          <w:u w:val="none" w:color="auto"/>
        </w:rPr>
        <w:t>、</w:t>
      </w:r>
      <w:r>
        <w:rPr>
          <w:rFonts w:hint="eastAsia"/>
          <w:color w:val="auto"/>
          <w:u w:val="none" w:color="auto"/>
          <w:lang w:val="en-US" w:eastAsia="zh-CN"/>
        </w:rPr>
        <w:t>非甲烷总烃、氯化氢、二甲苯、</w:t>
      </w:r>
      <w:r>
        <w:rPr>
          <w:rFonts w:hint="eastAsia"/>
          <w:color w:val="auto"/>
          <w:u w:val="none" w:color="auto"/>
          <w:lang w:eastAsia="zh-CN"/>
        </w:rPr>
        <w:t>臭气浓度</w:t>
      </w:r>
      <w:r>
        <w:rPr>
          <w:rFonts w:hint="default" w:ascii="Times New Roman" w:hAnsi="Times New Roman" w:cs="Times New Roman"/>
          <w:color w:val="auto"/>
          <w:u w:val="none" w:color="auto"/>
        </w:rPr>
        <w:t>。</w:t>
      </w:r>
      <w:r>
        <w:rPr>
          <w:rFonts w:hint="eastAsia" w:ascii="Times New Roman" w:hAnsi="Times New Roman" w:cs="Times New Roman"/>
          <w:color w:val="auto"/>
          <w:u w:val="none" w:color="auto"/>
          <w:lang w:val="en-US" w:eastAsia="zh-CN"/>
        </w:rPr>
        <w:t>主要原料投料工序产生的颗粒物拟采用设备自带布袋除尘器处理后车间无组织排放；其他辅料投料工序、破碎工序、磨粉工序、混料工序产生的颗粒物，拟采用集气罩+垂帘+布袋除尘器+15m高DA001排气筒排放；1#厂房挤出、覆膜工序产生的非甲烷总烃、氯化氢、臭气浓度，拟采用集气罩+垂帘+两级活性炭吸附+15m高DA002排气筒排放；2#厂房覆膜工序产生的非甲烷总烃、二甲苯、臭气浓度，拟采用集气罩+垂帘(溶剂型胶粘剂覆膜机加装设置为区域半封闭)+两级活性炭吸附+15m高DA003排气筒排放。经上述措施处理后，</w:t>
      </w:r>
      <w:r>
        <w:rPr>
          <w:rFonts w:hint="eastAsia" w:ascii="Times New Roman" w:hAnsi="Times New Roman" w:cs="Times New Roman"/>
          <w:color w:val="auto"/>
          <w:sz w:val="24"/>
          <w:u w:val="none" w:color="auto"/>
          <w:lang w:val="en-US" w:eastAsia="zh-CN"/>
        </w:rPr>
        <w:t>有组织颗粒物、非甲烷总烃、氯化氢、二甲苯执行</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大气</w:t>
      </w:r>
      <w:r>
        <w:rPr>
          <w:rFonts w:hint="default" w:ascii="Times New Roman" w:hAnsi="Times New Roman" w:cs="Times New Roman"/>
          <w:color w:val="auto"/>
          <w:u w:val="none"/>
          <w:lang w:eastAsia="zh-CN"/>
        </w:rPr>
        <w:t>污染物</w:t>
      </w:r>
      <w:r>
        <w:rPr>
          <w:rFonts w:hint="default" w:ascii="Times New Roman" w:hAnsi="Times New Roman" w:cs="Times New Roman"/>
          <w:color w:val="auto"/>
          <w:u w:val="none"/>
          <w:lang w:val="en-US" w:eastAsia="zh-CN"/>
        </w:rPr>
        <w:t>综合</w:t>
      </w:r>
      <w:r>
        <w:rPr>
          <w:rFonts w:hint="default" w:ascii="Times New Roman" w:hAnsi="Times New Roman" w:cs="Times New Roman"/>
          <w:color w:val="auto"/>
          <w:u w:val="none"/>
          <w:lang w:eastAsia="zh-CN"/>
        </w:rPr>
        <w:t xml:space="preserve">排放标准》（GB </w:t>
      </w:r>
      <w:r>
        <w:rPr>
          <w:rFonts w:hint="default" w:ascii="Times New Roman" w:hAnsi="Times New Roman" w:cs="Times New Roman"/>
          <w:color w:val="auto"/>
          <w:u w:val="none"/>
          <w:lang w:val="en-US" w:eastAsia="zh-CN"/>
        </w:rPr>
        <w:t>16297</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1996</w:t>
      </w:r>
      <w:r>
        <w:rPr>
          <w:rFonts w:hint="default" w:ascii="Times New Roman" w:hAnsi="Times New Roman" w:cs="Times New Roman"/>
          <w:color w:val="auto"/>
          <w:u w:val="none"/>
          <w:lang w:eastAsia="zh-CN"/>
        </w:rPr>
        <w:t>）</w:t>
      </w:r>
      <w:r>
        <w:rPr>
          <w:rFonts w:hint="default" w:ascii="Times New Roman" w:hAnsi="Times New Roman" w:cs="Times New Roman"/>
          <w:color w:val="auto"/>
          <w:u w:val="none"/>
          <w:lang w:val="en-US" w:eastAsia="zh-CN"/>
        </w:rPr>
        <w:t>表2</w:t>
      </w:r>
      <w:r>
        <w:rPr>
          <w:rFonts w:hint="default" w:ascii="Times New Roman" w:hAnsi="Times New Roman" w:cs="Times New Roman"/>
          <w:color w:val="auto"/>
          <w:u w:val="none"/>
          <w:lang w:eastAsia="zh-CN"/>
        </w:rPr>
        <w:t>中</w:t>
      </w:r>
      <w:r>
        <w:rPr>
          <w:rFonts w:hint="default" w:ascii="Times New Roman" w:hAnsi="Times New Roman" w:cs="Times New Roman"/>
          <w:color w:val="auto"/>
          <w:u w:val="none"/>
          <w:lang w:val="en-US" w:eastAsia="zh-CN"/>
        </w:rPr>
        <w:t>的有组织排放限值</w:t>
      </w:r>
      <w:r>
        <w:rPr>
          <w:rFonts w:hint="default" w:ascii="Times New Roman" w:hAnsi="Times New Roman" w:cs="Times New Roman"/>
          <w:color w:val="auto"/>
          <w:u w:val="none"/>
          <w:lang w:eastAsia="zh-CN"/>
        </w:rPr>
        <w:t>及</w:t>
      </w:r>
      <w:r>
        <w:rPr>
          <w:rFonts w:hint="default" w:ascii="Times New Roman" w:hAnsi="Times New Roman" w:cs="Times New Roman"/>
          <w:color w:val="auto"/>
          <w:u w:val="none"/>
          <w:lang w:val="en-US" w:eastAsia="zh-CN"/>
        </w:rPr>
        <w:t>无组织排放限值</w:t>
      </w:r>
      <w:r>
        <w:rPr>
          <w:rFonts w:hint="eastAsia" w:ascii="Times New Roman" w:hAnsi="Times New Roman" w:cs="Times New Roman"/>
          <w:color w:val="auto"/>
          <w:sz w:val="24"/>
          <w:u w:val="none" w:color="auto"/>
          <w:lang w:val="en-US" w:eastAsia="zh-CN"/>
        </w:rPr>
        <w:t>，臭气浓度执行《恶臭污染物排放标准》（GB14554-93）</w:t>
      </w:r>
      <w:r>
        <w:rPr>
          <w:rFonts w:hint="default" w:ascii="Times New Roman" w:hAnsi="Times New Roman" w:cs="Times New Roman"/>
          <w:color w:val="auto"/>
          <w:u w:val="none"/>
          <w:lang w:val="en-US" w:eastAsia="zh-CN"/>
        </w:rPr>
        <w:t>有组织排放限值</w:t>
      </w:r>
      <w:r>
        <w:rPr>
          <w:rFonts w:hint="default" w:ascii="Times New Roman" w:hAnsi="Times New Roman" w:cs="Times New Roman"/>
          <w:color w:val="auto"/>
          <w:u w:val="none"/>
          <w:lang w:eastAsia="zh-CN"/>
        </w:rPr>
        <w:t>及</w:t>
      </w:r>
      <w:r>
        <w:rPr>
          <w:rFonts w:hint="default" w:ascii="Times New Roman" w:hAnsi="Times New Roman" w:cs="Times New Roman"/>
          <w:color w:val="auto"/>
          <w:u w:val="none"/>
          <w:lang w:val="en-US" w:eastAsia="zh-CN"/>
        </w:rPr>
        <w:t>无组织排放限值</w:t>
      </w:r>
      <w:r>
        <w:rPr>
          <w:rFonts w:hint="eastAsia" w:ascii="Times New Roman" w:hAnsi="Times New Roman" w:cs="Times New Roman"/>
          <w:color w:val="auto"/>
          <w:sz w:val="24"/>
          <w:u w:val="none" w:color="auto"/>
          <w:lang w:val="en-US" w:eastAsia="zh-CN"/>
        </w:rPr>
        <w:t>。厂区内无组织非甲烷总烃执行《挥发性有机物无组织排放控制标准》（GB37822-2019）表A.1厂区内非甲烷总烃无组织排放限值。</w:t>
      </w:r>
    </w:p>
    <w:p w14:paraId="1791AF07">
      <w:pPr>
        <w:pStyle w:val="20"/>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u w:val="none" w:color="auto"/>
        </w:rPr>
      </w:pPr>
      <w:r>
        <w:rPr>
          <w:rFonts w:hint="default" w:ascii="Times New Roman" w:hAnsi="Times New Roman" w:cs="Times New Roman"/>
          <w:color w:val="auto"/>
          <w:u w:val="none" w:color="auto"/>
        </w:rPr>
        <w:t>（3）地下水环境影响</w:t>
      </w:r>
    </w:p>
    <w:p w14:paraId="5DCCAAB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本项目已从工艺装置的设计、地面硬化等各方面对本项目所在装置区域进行了较为全面的防渗措施，不会发生废水对地下水渗漏，影响地下水。在规范排污及加强监管等前提下，本项目对项目区地下水影响不大。</w:t>
      </w:r>
    </w:p>
    <w:p w14:paraId="3B147766">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（4）声环境影响</w:t>
      </w:r>
    </w:p>
    <w:p w14:paraId="7A4F2DD5">
      <w:pPr>
        <w:pStyle w:val="20"/>
        <w:bidi w:val="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根据预测评价结果可知，项目建成后全厂噪声源对项目</w:t>
      </w:r>
      <w:r>
        <w:rPr>
          <w:rFonts w:hint="eastAsia" w:ascii="Times New Roman" w:hAnsi="Times New Roman" w:cs="Times New Roman"/>
          <w:color w:val="auto"/>
          <w:u w:val="none" w:color="auto"/>
          <w:lang w:val="en-US" w:eastAsia="zh-CN"/>
        </w:rPr>
        <w:t>各</w:t>
      </w:r>
      <w:r>
        <w:rPr>
          <w:rFonts w:hint="default" w:ascii="Times New Roman" w:hAnsi="Times New Roman" w:cs="Times New Roman"/>
          <w:color w:val="auto"/>
          <w:u w:val="none" w:color="auto"/>
        </w:rPr>
        <w:t>厂界噪声</w:t>
      </w:r>
      <w:r>
        <w:rPr>
          <w:rFonts w:hint="eastAsia" w:ascii="Times New Roman" w:hAnsi="Times New Roman" w:cs="Times New Roman"/>
          <w:color w:val="auto"/>
          <w:u w:val="none" w:color="auto"/>
          <w:lang w:val="en-US" w:eastAsia="zh-CN"/>
        </w:rPr>
        <w:t>预测</w:t>
      </w:r>
      <w:r>
        <w:rPr>
          <w:rFonts w:hint="default" w:ascii="Times New Roman" w:hAnsi="Times New Roman" w:cs="Times New Roman"/>
          <w:color w:val="auto"/>
          <w:u w:val="none" w:color="auto"/>
        </w:rPr>
        <w:t>值昼间均小于65dB(A)，夜间均小于55dB(A)，符合《工业企业厂界环境噪声排放标准》（GB12348-2008）中的3类标准要求</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故本项目厂界环境噪声能够达标，项目运营对周围的声环境质量不会产生明显影响。</w:t>
      </w:r>
    </w:p>
    <w:p w14:paraId="6C045DAE">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（5）固体废物环境影响</w:t>
      </w:r>
    </w:p>
    <w:p w14:paraId="52F8A8A3">
      <w:pPr>
        <w:pStyle w:val="20"/>
        <w:ind w:firstLine="480"/>
        <w:rPr>
          <w:rFonts w:hint="eastAsia" w:ascii="Times New Roman" w:hAnsi="Times New Roman" w:cs="Times New Roman"/>
          <w:color w:val="auto"/>
          <w:u w:val="none" w:color="auto"/>
          <w:lang w:eastAsia="zh-CN"/>
        </w:rPr>
      </w:pPr>
      <w:r>
        <w:rPr>
          <w:rFonts w:hint="default" w:ascii="Times New Roman" w:hAnsi="Times New Roman" w:cs="Times New Roman"/>
          <w:color w:val="auto"/>
          <w:u w:val="none" w:color="auto"/>
        </w:rPr>
        <w:t>本项目固体废物分类收集，其中生活垃圾由环卫部门及时收集和清运，一般工业废物可以回收利用的，回用于生产，其余分类收集后</w:t>
      </w:r>
      <w:r>
        <w:rPr>
          <w:rFonts w:hint="eastAsia" w:ascii="Times New Roman" w:hAnsi="Times New Roman" w:cs="Times New Roman"/>
          <w:color w:val="auto"/>
          <w:u w:val="none" w:color="auto"/>
          <w:lang w:val="en-US" w:eastAsia="zh-CN"/>
        </w:rPr>
        <w:t>综合</w:t>
      </w:r>
      <w:r>
        <w:rPr>
          <w:rFonts w:hint="default" w:ascii="Times New Roman" w:hAnsi="Times New Roman" w:cs="Times New Roman"/>
          <w:color w:val="auto"/>
          <w:u w:val="none" w:color="auto"/>
        </w:rPr>
        <w:t>处理，危险废物在</w:t>
      </w:r>
      <w:r>
        <w:rPr>
          <w:rFonts w:hint="default" w:ascii="Times New Roman" w:hAnsi="Times New Roman" w:cs="Times New Roman"/>
          <w:color w:val="auto"/>
          <w:u w:val="none" w:color="auto"/>
          <w:lang w:eastAsia="zh-CN"/>
        </w:rPr>
        <w:t>危险废物暂存间</w:t>
      </w:r>
      <w:r>
        <w:rPr>
          <w:rFonts w:hint="default" w:ascii="Times New Roman" w:hAnsi="Times New Roman" w:cs="Times New Roman"/>
          <w:color w:val="auto"/>
          <w:u w:val="none" w:color="auto"/>
        </w:rPr>
        <w:t>内分类暂存后委托有资质的专门单位收集处理。各类固体废物均有成熟可靠的处理措施，企业能够实施有效管理，不会对区域环境产生影响，可做到安全处置</w:t>
      </w:r>
      <w:r>
        <w:rPr>
          <w:rFonts w:hint="eastAsia" w:ascii="Times New Roman" w:hAnsi="Times New Roman" w:cs="Times New Roman"/>
          <w:color w:val="auto"/>
          <w:u w:val="none" w:color="auto"/>
          <w:lang w:eastAsia="zh-CN"/>
        </w:rPr>
        <w:t>。</w:t>
      </w:r>
    </w:p>
    <w:p w14:paraId="07A87252">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6</w:t>
      </w:r>
      <w:r>
        <w:rPr>
          <w:rFonts w:hint="eastAsia" w:ascii="Times New Roman" w:hAnsi="Times New Roman" w:eastAsia="宋体" w:cs="Times New Roman"/>
          <w:color w:val="auto"/>
          <w:u w:val="none" w:color="auto"/>
          <w:lang w:eastAsia="zh-CN"/>
        </w:rPr>
        <w:t>）生态环境影响</w:t>
      </w:r>
    </w:p>
    <w:p w14:paraId="64415516">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项目属于污染影响型建设项目，生态影响主要体现在建设期，项目占地范围内已由园区进行开发平整，项目建设开发前植被均已破坏，目前项目场址区域为空地，建设过程对生态的破坏和影响较小。项目营运期不直接产生生态影响和破坏，项目营运期虽有一定污染物排放，但经采取相应的污染防治措施后，污染物能够实现稳定达标排放，项目对区域地表水环境质量、大气环境质量均不会产生大的影响，因此，项目营运期不会产生大的不利生态环境影响。</w:t>
      </w:r>
    </w:p>
    <w:p w14:paraId="7DB454DF">
      <w:pPr>
        <w:pStyle w:val="20"/>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u w:val="none" w:color="auto"/>
          <w:lang w:eastAsia="zh-CN"/>
        </w:rPr>
      </w:pPr>
      <w:r>
        <w:rPr>
          <w:rFonts w:hint="eastAsia" w:ascii="Times New Roman" w:hAnsi="Times New Roman" w:eastAsia="宋体" w:cs="Times New Roman"/>
          <w:color w:val="auto"/>
          <w:u w:val="none" w:color="auto"/>
          <w:lang w:eastAsia="zh-CN"/>
        </w:rPr>
        <w:t>（</w:t>
      </w:r>
      <w:r>
        <w:rPr>
          <w:rFonts w:hint="eastAsia" w:ascii="Times New Roman" w:hAnsi="Times New Roman" w:eastAsia="宋体" w:cs="Times New Roman"/>
          <w:color w:val="auto"/>
          <w:u w:val="none" w:color="auto"/>
          <w:lang w:val="en-US" w:eastAsia="zh-CN"/>
        </w:rPr>
        <w:t>7</w:t>
      </w:r>
      <w:r>
        <w:rPr>
          <w:rFonts w:hint="eastAsia" w:ascii="Times New Roman" w:hAnsi="Times New Roman" w:eastAsia="宋体" w:cs="Times New Roman"/>
          <w:color w:val="auto"/>
          <w:u w:val="none" w:color="auto"/>
          <w:lang w:eastAsia="zh-CN"/>
        </w:rPr>
        <w:t>）</w:t>
      </w:r>
      <w:r>
        <w:rPr>
          <w:rFonts w:hint="default" w:ascii="Times New Roman" w:hAnsi="Times New Roman" w:eastAsia="宋体" w:cs="Times New Roman"/>
          <w:color w:val="auto"/>
          <w:u w:val="none" w:color="auto"/>
          <w:lang w:eastAsia="zh-CN"/>
        </w:rPr>
        <w:t>环境风险影响结论</w:t>
      </w:r>
    </w:p>
    <w:p w14:paraId="58C4CB0A">
      <w:pPr>
        <w:pStyle w:val="20"/>
        <w:ind w:firstLine="480"/>
        <w:rPr>
          <w:rFonts w:hint="default" w:ascii="Times New Roman" w:hAnsi="Times New Roman" w:cs="Times New Roman"/>
          <w:color w:val="auto"/>
          <w:u w:val="none" w:color="auto"/>
        </w:rPr>
      </w:pPr>
      <w:r>
        <w:rPr>
          <w:rFonts w:hint="default" w:ascii="Times New Roman" w:hAnsi="Times New Roman" w:eastAsia="宋体" w:cs="Times New Roman"/>
          <w:color w:val="auto"/>
          <w:u w:val="none" w:color="auto"/>
          <w:lang w:eastAsia="zh-CN"/>
        </w:rPr>
        <w:t>在严格落实各项</w:t>
      </w:r>
      <w:r>
        <w:rPr>
          <w:rFonts w:hint="default" w:ascii="Times New Roman" w:hAnsi="Times New Roman" w:eastAsia="宋体" w:cs="Times New Roman"/>
          <w:color w:val="auto"/>
          <w:u w:val="none" w:color="auto"/>
          <w:lang w:val="en-US" w:eastAsia="zh-CN"/>
        </w:rPr>
        <w:t>环境风险</w:t>
      </w:r>
      <w:r>
        <w:rPr>
          <w:rFonts w:hint="default" w:ascii="Times New Roman" w:hAnsi="Times New Roman" w:eastAsia="宋体" w:cs="Times New Roman"/>
          <w:color w:val="auto"/>
          <w:u w:val="none" w:color="auto"/>
          <w:lang w:eastAsia="zh-CN"/>
        </w:rPr>
        <w:t>事故防范和应急措施，加强管理，可最大限度地减少可能发生的环境风险。且一旦发生事故，也可将影响范围控制在较小程度之内，减轻对环境的影响。本项目建设营运的环境风险可控</w:t>
      </w:r>
      <w:r>
        <w:rPr>
          <w:rFonts w:hint="default" w:ascii="Times New Roman" w:hAnsi="Times New Roman" w:cs="Times New Roman"/>
          <w:color w:val="auto"/>
          <w:u w:val="none" w:color="auto"/>
        </w:rPr>
        <w:t>。</w:t>
      </w:r>
    </w:p>
    <w:p w14:paraId="6EE6C138">
      <w:pPr>
        <w:pStyle w:val="3"/>
        <w:bidi w:val="0"/>
        <w:rPr>
          <w:rFonts w:hint="default"/>
          <w:color w:val="auto"/>
          <w:u w:val="none" w:color="auto"/>
        </w:rPr>
      </w:pPr>
      <w:bookmarkStart w:id="1682" w:name="_Toc30279"/>
      <w:bookmarkStart w:id="1683" w:name="_Toc26310"/>
      <w:bookmarkStart w:id="1684" w:name="_Toc8644"/>
      <w:r>
        <w:rPr>
          <w:rFonts w:hint="eastAsia"/>
          <w:color w:val="auto"/>
          <w:u w:val="none" w:color="auto"/>
          <w:lang w:val="en-US" w:eastAsia="zh-CN"/>
        </w:rPr>
        <w:t>10</w:t>
      </w:r>
      <w:r>
        <w:rPr>
          <w:rFonts w:hint="default"/>
          <w:color w:val="auto"/>
          <w:u w:val="none" w:color="auto"/>
        </w:rPr>
        <w:t>.</w:t>
      </w:r>
      <w:r>
        <w:rPr>
          <w:rFonts w:hint="default"/>
          <w:color w:val="auto"/>
          <w:u w:val="none" w:color="auto"/>
          <w:lang w:val="en-US" w:eastAsia="zh-CN"/>
        </w:rPr>
        <w:t>4</w:t>
      </w:r>
      <w:r>
        <w:rPr>
          <w:rFonts w:hint="default"/>
          <w:color w:val="auto"/>
          <w:u w:val="none" w:color="auto"/>
        </w:rPr>
        <w:t>项目</w:t>
      </w:r>
      <w:bookmarkStart w:id="1685" w:name="_Toc331278445"/>
      <w:r>
        <w:rPr>
          <w:rFonts w:hint="default"/>
          <w:color w:val="auto"/>
          <w:u w:val="none" w:color="auto"/>
        </w:rPr>
        <w:t>环境可行性</w:t>
      </w:r>
      <w:bookmarkEnd w:id="1673"/>
      <w:bookmarkEnd w:id="1674"/>
      <w:bookmarkEnd w:id="1675"/>
      <w:bookmarkEnd w:id="1676"/>
      <w:bookmarkEnd w:id="1677"/>
      <w:bookmarkEnd w:id="1678"/>
      <w:bookmarkEnd w:id="1679"/>
      <w:bookmarkEnd w:id="1680"/>
      <w:bookmarkEnd w:id="1681"/>
      <w:bookmarkEnd w:id="1682"/>
      <w:bookmarkEnd w:id="1683"/>
      <w:bookmarkEnd w:id="1684"/>
    </w:p>
    <w:bookmarkEnd w:id="1685"/>
    <w:p w14:paraId="5EE82771">
      <w:pPr>
        <w:pStyle w:val="20"/>
        <w:ind w:firstLine="480"/>
        <w:rPr>
          <w:rFonts w:hint="default" w:ascii="Times New Roman" w:hAnsi="Times New Roman" w:cs="Times New Roman"/>
          <w:color w:val="auto"/>
          <w:u w:val="none" w:color="auto"/>
        </w:rPr>
      </w:pPr>
      <w:bookmarkStart w:id="1686" w:name="_Toc16821"/>
      <w:bookmarkStart w:id="1687" w:name="_Toc18650_WPSOffice_Level3"/>
      <w:bookmarkStart w:id="1688" w:name="_Toc24103_WPSOffice_Level3"/>
      <w:r>
        <w:rPr>
          <w:rFonts w:hint="default" w:ascii="Times New Roman" w:hAnsi="Times New Roman" w:cs="Times New Roman"/>
          <w:color w:val="auto"/>
          <w:u w:val="none" w:color="auto"/>
        </w:rPr>
        <w:t>1、产业政策符合性</w:t>
      </w:r>
    </w:p>
    <w:p w14:paraId="5AFA9A86">
      <w:pPr>
        <w:pStyle w:val="20"/>
        <w:ind w:firstLine="480"/>
        <w:rPr>
          <w:rFonts w:hint="default" w:ascii="Times New Roman" w:hAnsi="Times New Roman" w:eastAsia="宋体" w:cs="Times New Roman"/>
          <w:color w:val="auto"/>
          <w:u w:val="none" w:color="auto"/>
          <w:lang w:val="en-US" w:eastAsia="zh-CN"/>
        </w:rPr>
      </w:pPr>
      <w:r>
        <w:rPr>
          <w:rFonts w:hint="default" w:ascii="Times New Roman" w:hAnsi="Times New Roman" w:cs="Times New Roman"/>
          <w:color w:val="auto"/>
          <w:u w:val="none" w:color="auto"/>
        </w:rPr>
        <w:t>根据《产业结构调整指导目录》（20</w:t>
      </w:r>
      <w:r>
        <w:rPr>
          <w:rFonts w:hint="eastAsia" w:ascii="Times New Roman" w:hAnsi="Times New Roman" w:cs="Times New Roman"/>
          <w:color w:val="auto"/>
          <w:u w:val="none" w:color="auto"/>
          <w:lang w:val="en-US" w:eastAsia="zh-CN"/>
        </w:rPr>
        <w:t>24</w:t>
      </w:r>
      <w:r>
        <w:rPr>
          <w:rFonts w:hint="default" w:ascii="Times New Roman" w:hAnsi="Times New Roman" w:cs="Times New Roman"/>
          <w:color w:val="auto"/>
          <w:u w:val="none" w:color="auto"/>
        </w:rPr>
        <w:t>年本）的相关规定</w:t>
      </w:r>
      <w:r>
        <w:rPr>
          <w:rFonts w:hint="default" w:ascii="Times New Roman" w:hAnsi="Times New Roman" w:cs="Times New Roman"/>
          <w:color w:val="auto"/>
          <w:u w:val="none" w:color="auto"/>
          <w:lang w:eastAsia="zh-CN"/>
        </w:rPr>
        <w:t>，</w:t>
      </w:r>
      <w:r>
        <w:rPr>
          <w:rFonts w:hint="default" w:ascii="Times New Roman" w:hAnsi="Times New Roman" w:cs="Times New Roman"/>
          <w:color w:val="auto"/>
          <w:u w:val="none" w:color="auto"/>
        </w:rPr>
        <w:t>本项目不属于国家限制及淘汰类中提及的内容</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因此项目建设符合国家现行产业政策。本项目原辅材料中有使用</w:t>
      </w:r>
      <w:r>
        <w:rPr>
          <w:rFonts w:hint="eastAsia" w:ascii="Times New Roman" w:hAnsi="Times New Roman" w:cs="Times New Roman"/>
          <w:color w:val="auto"/>
          <w:u w:val="none" w:color="auto"/>
          <w:lang w:val="en-US" w:eastAsia="zh-CN"/>
        </w:rPr>
        <w:t>再生</w:t>
      </w:r>
      <w:r>
        <w:rPr>
          <w:rFonts w:hint="default" w:ascii="Times New Roman" w:hAnsi="Times New Roman" w:cs="Times New Roman"/>
          <w:color w:val="auto"/>
          <w:u w:val="none" w:color="auto"/>
        </w:rPr>
        <w:t>塑料，均来源于</w:t>
      </w:r>
      <w:r>
        <w:rPr>
          <w:rFonts w:hint="default" w:ascii="Times New Roman" w:hAnsi="Times New Roman" w:cs="Times New Roman"/>
          <w:color w:val="auto"/>
          <w:u w:val="none" w:color="auto"/>
          <w:lang w:eastAsia="zh-CN"/>
        </w:rPr>
        <w:t>合法</w:t>
      </w:r>
      <w:r>
        <w:rPr>
          <w:rFonts w:hint="default" w:ascii="Times New Roman" w:hAnsi="Times New Roman" w:cs="Times New Roman"/>
          <w:color w:val="auto"/>
          <w:u w:val="none" w:color="auto"/>
        </w:rPr>
        <w:t>塑料回收企业，且塑料回收料已被处理完毕。本项目无废旧塑料清洗等工序，项目所采用工艺及设备不在汨罗市塑料行业整治工艺及设备内，符合汨罗市地方产业政策。</w:t>
      </w:r>
    </w:p>
    <w:p w14:paraId="19EF8963">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2、项目选址和总图布置合理性</w:t>
      </w:r>
    </w:p>
    <w:bookmarkEnd w:id="1686"/>
    <w:bookmarkEnd w:id="1687"/>
    <w:bookmarkEnd w:id="1688"/>
    <w:p w14:paraId="437599C0">
      <w:pPr>
        <w:pStyle w:val="20"/>
        <w:ind w:firstLine="480"/>
        <w:rPr>
          <w:color w:val="auto"/>
          <w:u w:val="none" w:color="auto"/>
        </w:rPr>
      </w:pPr>
      <w:r>
        <w:rPr>
          <w:color w:val="auto"/>
          <w:u w:val="none" w:color="auto"/>
        </w:rPr>
        <w:t>（1）与</w:t>
      </w:r>
      <w:r>
        <w:rPr>
          <w:rFonts w:hint="eastAsia"/>
          <w:color w:val="auto"/>
          <w:u w:val="none" w:color="auto"/>
          <w:lang w:eastAsia="zh-CN"/>
        </w:rPr>
        <w:t>规划</w:t>
      </w:r>
      <w:r>
        <w:rPr>
          <w:color w:val="auto"/>
          <w:u w:val="none" w:color="auto"/>
        </w:rPr>
        <w:t>的符合性分析</w:t>
      </w:r>
    </w:p>
    <w:p w14:paraId="53487B89">
      <w:pPr>
        <w:keepNext w:val="0"/>
        <w:keepLines w:val="0"/>
        <w:pageBreakBefore w:val="0"/>
        <w:widowControl w:val="0"/>
        <w:kinsoku/>
        <w:wordWrap/>
        <w:overflowPunct/>
        <w:topLinePunct w:val="0"/>
        <w:bidi w:val="0"/>
        <w:spacing w:afterLines="0" w:line="360" w:lineRule="auto"/>
        <w:ind w:firstLine="480" w:firstLineChars="200"/>
        <w:jc w:val="left"/>
        <w:textAlignment w:val="auto"/>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根据《湖南汨罗高新技术产业开发区产业发展规划（2022-2027）》及其批复（汨政函[2023]90号），汨罗高新技术产业开发区将通过打</w:t>
      </w:r>
      <w:r>
        <w:rPr>
          <w:rFonts w:hint="eastAsia" w:ascii="宋体" w:hAnsi="宋体" w:eastAsia="宋体" w:cs="宋体"/>
          <w:color w:val="auto"/>
          <w:sz w:val="24"/>
          <w:szCs w:val="24"/>
          <w:u w:val="none" w:color="auto"/>
        </w:rPr>
        <w:t>造“一园一主一特” 和新兴产业，即新市片（湖南汨罗循环经济产业园）以“废弃资源综合利用产业”为主导产业、“电子信息产业”为特色产业；弼时片（湖南工程机械配套产业园）以“先进装备制造产业”为主导产业、“汽车零部件及配件制造产业”为特色产业，培育“先进储能材料产业”一大新兴产业，积极发展现代服务业，形成“一园一主导一特色”</w:t>
      </w:r>
      <w:r>
        <w:rPr>
          <w:rFonts w:hint="default" w:ascii="Times New Roman" w:hAnsi="Times New Roman" w:eastAsia="宋体" w:cs="Times New Roman"/>
          <w:color w:val="auto"/>
          <w:sz w:val="24"/>
          <w:szCs w:val="24"/>
          <w:u w:val="none" w:color="auto"/>
        </w:rPr>
        <w:t>、层次分明、科学合理的产业定位组合，以绿色循环经济推动该地区的可持续高质量增长。</w:t>
      </w:r>
    </w:p>
    <w:p w14:paraId="3FEE1157">
      <w:pPr>
        <w:pStyle w:val="20"/>
        <w:ind w:firstLine="480"/>
        <w:rPr>
          <w:rFonts w:hint="default" w:eastAsia="宋体"/>
          <w:color w:val="auto"/>
          <w:u w:val="none" w:color="auto"/>
          <w:lang w:val="en-US" w:eastAsia="zh-CN"/>
        </w:rPr>
      </w:pPr>
      <w:r>
        <w:rPr>
          <w:rFonts w:hint="default" w:ascii="Times New Roman" w:hAnsi="Times New Roman" w:eastAsia="宋体" w:cs="Times New Roman"/>
          <w:color w:val="auto"/>
          <w:sz w:val="24"/>
          <w:szCs w:val="24"/>
          <w:u w:val="none" w:color="auto"/>
        </w:rPr>
        <w:t>项目</w:t>
      </w:r>
      <w:r>
        <w:rPr>
          <w:rFonts w:hint="eastAsia" w:ascii="Times New Roman" w:hAnsi="Times New Roman" w:eastAsia="宋体" w:cs="Times New Roman"/>
          <w:color w:val="auto"/>
          <w:sz w:val="24"/>
          <w:szCs w:val="24"/>
          <w:u w:val="none" w:color="auto"/>
          <w:lang w:val="en-US" w:eastAsia="zh-CN"/>
        </w:rPr>
        <w:t>是</w:t>
      </w:r>
      <w:r>
        <w:rPr>
          <w:rFonts w:hint="default" w:ascii="Times New Roman" w:hAnsi="Times New Roman" w:eastAsia="宋体" w:cs="Times New Roman"/>
          <w:color w:val="auto"/>
          <w:sz w:val="24"/>
          <w:szCs w:val="24"/>
          <w:u w:val="none" w:color="auto"/>
        </w:rPr>
        <w:t>以再生塑料为原料的</w:t>
      </w:r>
      <w:r>
        <w:rPr>
          <w:rFonts w:hint="eastAsia" w:ascii="Times New Roman" w:hAnsi="Times New Roman" w:eastAsia="宋体" w:cs="Times New Roman"/>
          <w:color w:val="auto"/>
          <w:sz w:val="24"/>
          <w:szCs w:val="24"/>
          <w:u w:val="none" w:color="auto"/>
          <w:lang w:val="en-US" w:eastAsia="zh-CN"/>
        </w:rPr>
        <w:t>塑料制品</w:t>
      </w:r>
      <w:r>
        <w:rPr>
          <w:rFonts w:hint="default" w:ascii="Times New Roman" w:hAnsi="Times New Roman" w:eastAsia="宋体" w:cs="Times New Roman"/>
          <w:color w:val="auto"/>
          <w:sz w:val="24"/>
          <w:szCs w:val="24"/>
          <w:u w:val="none" w:color="auto"/>
        </w:rPr>
        <w:t>制造</w:t>
      </w:r>
      <w:r>
        <w:rPr>
          <w:rFonts w:hint="eastAsia" w:ascii="Times New Roman" w:hAnsi="Times New Roman" w:eastAsia="宋体" w:cs="Times New Roman"/>
          <w:color w:val="auto"/>
          <w:sz w:val="24"/>
          <w:szCs w:val="24"/>
          <w:u w:val="none" w:color="auto"/>
          <w:lang w:eastAsia="zh-CN"/>
        </w:rPr>
        <w:t>，</w:t>
      </w:r>
      <w:r>
        <w:rPr>
          <w:rFonts w:hint="default" w:ascii="Times New Roman" w:hAnsi="Times New Roman" w:eastAsia="宋体" w:cs="Times New Roman"/>
          <w:color w:val="auto"/>
          <w:sz w:val="24"/>
          <w:szCs w:val="24"/>
          <w:u w:val="none" w:color="auto"/>
        </w:rPr>
        <w:t>属于废弃资源综合利用行业的延伸产业，</w:t>
      </w:r>
      <w:r>
        <w:rPr>
          <w:rFonts w:hint="eastAsia" w:ascii="Times New Roman" w:hAnsi="Times New Roman" w:eastAsia="宋体" w:cs="Times New Roman"/>
          <w:color w:val="auto"/>
          <w:sz w:val="24"/>
          <w:szCs w:val="24"/>
          <w:u w:val="none" w:color="auto"/>
          <w:lang w:val="en-US" w:eastAsia="zh-CN"/>
        </w:rPr>
        <w:t>废弃资源综合利用行业</w:t>
      </w:r>
      <w:r>
        <w:rPr>
          <w:rFonts w:hint="default" w:ascii="Times New Roman" w:hAnsi="Times New Roman" w:eastAsia="宋体" w:cs="Times New Roman"/>
          <w:color w:val="auto"/>
          <w:sz w:val="24"/>
          <w:szCs w:val="24"/>
          <w:u w:val="none" w:color="auto"/>
        </w:rPr>
        <w:t>是汨罗高新技术产业开发区新市片区</w:t>
      </w:r>
      <w:r>
        <w:rPr>
          <w:rFonts w:hint="eastAsia" w:ascii="Times New Roman" w:hAnsi="Times New Roman" w:eastAsia="宋体" w:cs="Times New Roman"/>
          <w:color w:val="auto"/>
          <w:sz w:val="24"/>
          <w:szCs w:val="24"/>
          <w:u w:val="none" w:color="auto"/>
          <w:lang w:val="en-US" w:eastAsia="zh-CN"/>
        </w:rPr>
        <w:t>西片区</w:t>
      </w:r>
      <w:r>
        <w:rPr>
          <w:rFonts w:hint="default" w:ascii="Times New Roman" w:hAnsi="Times New Roman" w:eastAsia="宋体" w:cs="Times New Roman"/>
          <w:color w:val="auto"/>
          <w:sz w:val="24"/>
          <w:szCs w:val="24"/>
          <w:u w:val="none" w:color="auto"/>
        </w:rPr>
        <w:t>的主导产业，</w:t>
      </w:r>
      <w:r>
        <w:rPr>
          <w:rFonts w:hint="eastAsia" w:ascii="Times New Roman" w:hAnsi="Times New Roman" w:eastAsia="宋体" w:cs="Times New Roman"/>
          <w:color w:val="auto"/>
          <w:sz w:val="24"/>
          <w:szCs w:val="24"/>
          <w:u w:val="none" w:color="auto"/>
          <w:lang w:val="en-US" w:eastAsia="zh-CN"/>
        </w:rPr>
        <w:t>根据前文分析可知，本项目</w:t>
      </w:r>
      <w:r>
        <w:rPr>
          <w:rFonts w:hint="default" w:ascii="Times New Roman" w:hAnsi="Times New Roman" w:eastAsia="宋体" w:cs="Times New Roman"/>
          <w:color w:val="auto"/>
          <w:sz w:val="24"/>
          <w:szCs w:val="24"/>
          <w:u w:val="none" w:color="auto"/>
        </w:rPr>
        <w:t>虽不属于园区的鼓励类，但也不是限制</w:t>
      </w:r>
      <w:r>
        <w:rPr>
          <w:rFonts w:hint="eastAsia" w:ascii="Times New Roman" w:hAnsi="Times New Roman" w:eastAsia="宋体" w:cs="Times New Roman"/>
          <w:color w:val="auto"/>
          <w:sz w:val="24"/>
          <w:szCs w:val="24"/>
          <w:u w:val="none" w:color="auto"/>
          <w:lang w:val="en-US" w:eastAsia="zh-CN"/>
        </w:rPr>
        <w:t>类</w:t>
      </w:r>
      <w:r>
        <w:rPr>
          <w:rFonts w:hint="default" w:ascii="Times New Roman" w:hAnsi="Times New Roman" w:eastAsia="宋体" w:cs="Times New Roman"/>
          <w:color w:val="auto"/>
          <w:sz w:val="24"/>
          <w:szCs w:val="24"/>
          <w:u w:val="none" w:color="auto"/>
        </w:rPr>
        <w:t>、禁止类，即视为允许类，</w:t>
      </w:r>
      <w:r>
        <w:rPr>
          <w:rFonts w:hint="eastAsia" w:ascii="Times New Roman" w:hAnsi="Times New Roman" w:eastAsia="宋体" w:cs="Times New Roman"/>
          <w:color w:val="auto"/>
          <w:sz w:val="24"/>
          <w:szCs w:val="24"/>
          <w:u w:val="none" w:color="auto"/>
          <w:lang w:val="en-US" w:eastAsia="zh-CN"/>
        </w:rPr>
        <w:t>且</w:t>
      </w:r>
      <w:r>
        <w:rPr>
          <w:rFonts w:hint="default" w:ascii="Times New Roman" w:hAnsi="Times New Roman" w:eastAsia="宋体" w:cs="Times New Roman"/>
          <w:color w:val="auto"/>
          <w:sz w:val="24"/>
          <w:szCs w:val="24"/>
          <w:u w:val="none" w:color="auto"/>
        </w:rPr>
        <w:t>取得了园区的同意</w:t>
      </w:r>
      <w:r>
        <w:rPr>
          <w:rFonts w:hint="eastAsia" w:ascii="Times New Roman" w:hAnsi="Times New Roman" w:eastAsia="宋体" w:cs="Times New Roman"/>
          <w:color w:val="auto"/>
          <w:sz w:val="24"/>
          <w:szCs w:val="24"/>
          <w:u w:val="none" w:color="auto"/>
          <w:lang w:eastAsia="zh-CN"/>
        </w:rPr>
        <w:t>，</w:t>
      </w:r>
      <w:r>
        <w:rPr>
          <w:rFonts w:hint="eastAsia" w:ascii="Times New Roman" w:hAnsi="Times New Roman" w:eastAsia="宋体" w:cs="Times New Roman"/>
          <w:color w:val="auto"/>
          <w:sz w:val="24"/>
          <w:szCs w:val="24"/>
          <w:u w:val="none" w:color="auto"/>
          <w:lang w:val="en-US" w:eastAsia="zh-CN"/>
        </w:rPr>
        <w:t>与规划不冲突</w:t>
      </w:r>
      <w:r>
        <w:rPr>
          <w:rFonts w:hint="eastAsia" w:ascii="Times New Roman" w:hAnsi="Times New Roman" w:eastAsia="宋体" w:cs="Times New Roman"/>
          <w:color w:val="auto"/>
          <w:sz w:val="24"/>
          <w:szCs w:val="24"/>
          <w:u w:val="none" w:color="auto"/>
          <w:lang w:eastAsia="zh-CN"/>
        </w:rPr>
        <w:t>。</w:t>
      </w:r>
    </w:p>
    <w:p w14:paraId="6398AE86">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w:t>
      </w:r>
      <w:r>
        <w:rPr>
          <w:rFonts w:hint="default" w:ascii="Times New Roman" w:hAnsi="Times New Roman" w:cs="Times New Roman"/>
          <w:color w:val="auto"/>
          <w:u w:val="none" w:color="auto"/>
          <w:lang w:val="en-US" w:eastAsia="zh-CN"/>
        </w:rPr>
        <w:t>2</w:t>
      </w:r>
      <w:r>
        <w:rPr>
          <w:rFonts w:hint="default" w:ascii="Times New Roman" w:hAnsi="Times New Roman" w:cs="Times New Roman"/>
          <w:color w:val="auto"/>
          <w:u w:val="none" w:color="auto"/>
        </w:rPr>
        <w:t>）项目平面布置合理性结论</w:t>
      </w:r>
    </w:p>
    <w:p w14:paraId="4A03391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本项目总体布局和功能分区充分考虑了位置、朝向等各个因素，各类污染防治措施布置合理可行，保证了污染物的达标排放及合理处置。总体说来，项目总平面布置基本合理，功能分区明确，人流物流通畅，环保设施齐全，总平面布置基本能够满足企业生产组织的需要及环保的要求。</w:t>
      </w:r>
    </w:p>
    <w:p w14:paraId="58B28DB4">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3、环境风险分析可接受性</w:t>
      </w:r>
    </w:p>
    <w:p w14:paraId="1691A55A">
      <w:pPr>
        <w:pStyle w:val="20"/>
        <w:ind w:left="0" w:leftChars="0" w:firstLine="480" w:firstLineChars="200"/>
        <w:outlineLvl w:val="9"/>
        <w:rPr>
          <w:rFonts w:hint="default" w:ascii="Times New Roman" w:hAnsi="Times New Roman" w:cs="Times New Roman"/>
          <w:color w:val="auto"/>
          <w:u w:val="none" w:color="auto"/>
        </w:rPr>
      </w:pPr>
      <w:r>
        <w:rPr>
          <w:rFonts w:hint="default" w:ascii="Times New Roman" w:hAnsi="Times New Roman" w:cs="Times New Roman"/>
          <w:color w:val="auto"/>
          <w:u w:val="none" w:color="auto"/>
          <w:lang w:bidi="ar"/>
        </w:rPr>
        <w:t>通过对本项目风险识别，认为项目涉及的</w:t>
      </w:r>
      <w:r>
        <w:rPr>
          <w:rFonts w:hint="default" w:ascii="Times New Roman" w:hAnsi="Times New Roman" w:cs="Times New Roman"/>
          <w:color w:val="auto"/>
          <w:u w:val="none" w:color="auto"/>
          <w:lang w:eastAsia="zh-CN" w:bidi="ar"/>
        </w:rPr>
        <w:t>塑料碎屑</w:t>
      </w:r>
      <w:r>
        <w:rPr>
          <w:rFonts w:hint="default" w:ascii="Times New Roman" w:hAnsi="Times New Roman" w:cs="Times New Roman"/>
          <w:color w:val="auto"/>
          <w:u w:val="none" w:color="auto"/>
          <w:lang w:bidi="ar"/>
        </w:rPr>
        <w:t>以及产品等在使用和贮运过程中均存在的风险影响，经对项目贮运系统和生产系统进行分析，根据类比调查，泄漏事故属低概率的风险事故，综合计算得出本项目环境风险水平可接受。因此，在建设单位制定严格的生产运行管理、加强职工的安全生产教育、提高风险意识，严格落实相关风险防范措施和安全应急措施的前提下，并制度详细的风险应急预案基础上，项目环境风险影响可接受。</w:t>
      </w:r>
    </w:p>
    <w:p w14:paraId="1B88AA04">
      <w:pPr>
        <w:pStyle w:val="20"/>
        <w:ind w:firstLine="480"/>
        <w:rPr>
          <w:rFonts w:hint="default" w:ascii="Times New Roman" w:hAnsi="Times New Roman" w:cs="Times New Roman"/>
          <w:color w:val="auto"/>
          <w:u w:val="none" w:color="auto"/>
        </w:rPr>
      </w:pPr>
      <w:bookmarkStart w:id="1689" w:name="_Toc14371_WPSOffice_Level3"/>
      <w:bookmarkStart w:id="1690" w:name="_Toc23754_WPSOffice_Level3"/>
      <w:bookmarkStart w:id="1691" w:name="_Toc18588"/>
      <w:r>
        <w:rPr>
          <w:rFonts w:hint="default" w:ascii="Times New Roman" w:hAnsi="Times New Roman" w:cs="Times New Roman"/>
          <w:color w:val="auto"/>
          <w:u w:val="none" w:color="auto"/>
        </w:rPr>
        <w:t>4、总量控制</w:t>
      </w:r>
      <w:bookmarkEnd w:id="1689"/>
      <w:bookmarkEnd w:id="1690"/>
      <w:bookmarkEnd w:id="1691"/>
    </w:p>
    <w:p w14:paraId="24E5010B">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根据国家环境保护部对实施污染物排放总量控制的要求、《中华人民共和国国民经济和社会发展第十四个五年规划纲要》环保规划要求和《湖南省“十四五”节能减排综合工作实施方案》，根据国家总量控制有关规定，结合公司生产实际情况</w:t>
      </w:r>
      <w:r>
        <w:rPr>
          <w:rFonts w:hint="eastAsia" w:ascii="Times New Roman" w:hAnsi="Times New Roman" w:cs="Times New Roman"/>
          <w:color w:val="auto"/>
          <w:u w:val="none" w:color="auto"/>
          <w:lang w:eastAsia="zh-CN"/>
        </w:rPr>
        <w:t>，</w:t>
      </w:r>
      <w:r>
        <w:rPr>
          <w:rFonts w:hint="default" w:ascii="Times New Roman" w:hAnsi="Times New Roman" w:cs="Times New Roman"/>
          <w:color w:val="auto"/>
          <w:u w:val="none" w:color="auto"/>
        </w:rPr>
        <w:t>需要实施总量控制的污染物为VOCs</w:t>
      </w:r>
      <w:r>
        <w:rPr>
          <w:rFonts w:hint="eastAsia" w:ascii="Times New Roman" w:hAnsi="Times New Roman" w:cs="Times New Roman"/>
          <w:color w:val="auto"/>
          <w:u w:val="none" w:color="auto"/>
          <w:lang w:eastAsia="zh-CN"/>
        </w:rPr>
        <w:t>（</w:t>
      </w:r>
      <w:r>
        <w:rPr>
          <w:rFonts w:hint="eastAsia" w:ascii="Times New Roman" w:hAnsi="Times New Roman" w:cs="Times New Roman"/>
          <w:color w:val="auto"/>
          <w:u w:val="none" w:color="auto"/>
          <w:lang w:val="en-US" w:eastAsia="zh-CN"/>
        </w:rPr>
        <w:t>以非甲烷总烃计）</w:t>
      </w:r>
      <w:r>
        <w:rPr>
          <w:rFonts w:hint="default" w:ascii="Times New Roman" w:hAnsi="Times New Roman" w:cs="Times New Roman"/>
          <w:color w:val="auto"/>
          <w:u w:val="none" w:color="auto"/>
        </w:rPr>
        <w:t>。本项目污染物排放总量指标汇总见下表。</w:t>
      </w:r>
    </w:p>
    <w:p w14:paraId="01AFED56">
      <w:pPr>
        <w:pStyle w:val="22"/>
        <w:bidi w:val="0"/>
        <w:rPr>
          <w:rFonts w:hint="default"/>
          <w:color w:val="auto"/>
          <w:u w:val="none" w:color="auto"/>
        </w:rPr>
      </w:pPr>
      <w:r>
        <w:rPr>
          <w:rFonts w:hint="default"/>
          <w:color w:val="auto"/>
          <w:u w:val="none" w:color="auto"/>
        </w:rPr>
        <w:t>表</w:t>
      </w:r>
      <w:r>
        <w:rPr>
          <w:rFonts w:hint="eastAsia"/>
          <w:color w:val="auto"/>
          <w:u w:val="none" w:color="auto"/>
          <w:lang w:val="en-US" w:eastAsia="zh-CN"/>
        </w:rPr>
        <w:t>10</w:t>
      </w:r>
      <w:r>
        <w:rPr>
          <w:rFonts w:hint="default"/>
          <w:color w:val="auto"/>
          <w:u w:val="none" w:color="auto"/>
        </w:rPr>
        <w:t>.</w:t>
      </w:r>
      <w:r>
        <w:rPr>
          <w:rFonts w:hint="default"/>
          <w:color w:val="auto"/>
          <w:u w:val="none" w:color="auto"/>
          <w:lang w:val="en-US" w:eastAsia="zh-CN"/>
        </w:rPr>
        <w:t>4</w:t>
      </w:r>
      <w:r>
        <w:rPr>
          <w:rFonts w:hint="default"/>
          <w:color w:val="auto"/>
          <w:u w:val="none" w:color="auto"/>
        </w:rPr>
        <w:t>-1污染物排放总量指标 单位：t/a</w:t>
      </w:r>
      <w:bookmarkStart w:id="1692" w:name="_Toc5058_WPSOffice_Level3"/>
      <w:bookmarkStart w:id="1693" w:name="_Toc14885"/>
      <w:bookmarkStart w:id="1694" w:name="_Toc23887_WPSOffice_Level3"/>
    </w:p>
    <w:tbl>
      <w:tblPr>
        <w:tblStyle w:val="1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55"/>
        <w:gridCol w:w="3159"/>
        <w:gridCol w:w="3107"/>
      </w:tblGrid>
      <w:tr w14:paraId="325E15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1" w:type="dxa"/>
            <w:noWrap w:val="0"/>
            <w:vAlign w:val="center"/>
          </w:tcPr>
          <w:p w14:paraId="2A33DB1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default" w:ascii="Times New Roman" w:hAnsi="Times New Roman" w:cs="Times New Roman"/>
                <w:color w:val="auto"/>
                <w:sz w:val="21"/>
                <w:szCs w:val="21"/>
                <w:u w:val="none" w:color="auto"/>
              </w:rPr>
              <w:t>污染物</w:t>
            </w:r>
          </w:p>
        </w:tc>
        <w:tc>
          <w:tcPr>
            <w:tcW w:w="1815" w:type="dxa"/>
            <w:noWrap w:val="0"/>
            <w:vAlign w:val="center"/>
          </w:tcPr>
          <w:p w14:paraId="581413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cs="Times New Roman"/>
                <w:color w:val="auto"/>
                <w:sz w:val="21"/>
                <w:szCs w:val="21"/>
                <w:u w:val="none" w:color="auto"/>
              </w:rPr>
            </w:pPr>
            <w:r>
              <w:rPr>
                <w:rFonts w:hint="eastAsia" w:cs="Times New Roman"/>
                <w:color w:val="auto"/>
                <w:sz w:val="21"/>
                <w:szCs w:val="21"/>
                <w:u w:val="none" w:color="auto"/>
                <w:lang w:val="en-US" w:eastAsia="zh-CN"/>
              </w:rPr>
              <w:t>总</w:t>
            </w:r>
            <w:r>
              <w:rPr>
                <w:rFonts w:hint="default" w:ascii="Times New Roman" w:hAnsi="Times New Roman" w:cs="Times New Roman"/>
                <w:color w:val="auto"/>
                <w:sz w:val="21"/>
                <w:szCs w:val="21"/>
                <w:u w:val="none" w:color="auto"/>
              </w:rPr>
              <w:t>排放量（t/a）</w:t>
            </w:r>
          </w:p>
        </w:tc>
        <w:tc>
          <w:tcPr>
            <w:tcW w:w="1785" w:type="dxa"/>
            <w:noWrap w:val="0"/>
            <w:vAlign w:val="center"/>
          </w:tcPr>
          <w:p w14:paraId="493789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建议总量控制指标（t）</w:t>
            </w:r>
          </w:p>
        </w:tc>
      </w:tr>
      <w:tr w14:paraId="765EAF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1" w:type="dxa"/>
            <w:noWrap w:val="0"/>
            <w:vAlign w:val="center"/>
          </w:tcPr>
          <w:p w14:paraId="6E0A3B94">
            <w:pPr>
              <w:pStyle w:val="24"/>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cs="Times New Roman"/>
                <w:color w:val="auto"/>
                <w:szCs w:val="21"/>
                <w:u w:val="none" w:color="auto"/>
              </w:rPr>
            </w:pPr>
            <w:r>
              <w:rPr>
                <w:rFonts w:hint="default" w:ascii="Times New Roman" w:hAnsi="Times New Roman" w:cs="Times New Roman"/>
                <w:color w:val="auto"/>
                <w:u w:val="none" w:color="auto"/>
              </w:rPr>
              <w:t>VOCs</w:t>
            </w:r>
          </w:p>
        </w:tc>
        <w:tc>
          <w:tcPr>
            <w:tcW w:w="1815" w:type="dxa"/>
            <w:noWrap w:val="0"/>
            <w:vAlign w:val="center"/>
          </w:tcPr>
          <w:p w14:paraId="618401CE">
            <w:pPr>
              <w:pStyle w:val="24"/>
              <w:keepNext w:val="0"/>
              <w:keepLines w:val="0"/>
              <w:pageBreakBefore w:val="0"/>
              <w:widowControl w:val="0"/>
              <w:kinsoku/>
              <w:wordWrap/>
              <w:overflowPunct/>
              <w:topLinePunct w:val="0"/>
              <w:autoSpaceDE/>
              <w:autoSpaceDN/>
              <w:bidi w:val="0"/>
              <w:adjustRightInd/>
              <w:spacing w:line="240" w:lineRule="auto"/>
              <w:ind w:firstLine="0" w:firstLineChars="0"/>
              <w:textAlignment w:val="auto"/>
              <w:rPr>
                <w:rFonts w:hint="default" w:ascii="Times New Roman" w:hAnsi="Times New Roman" w:eastAsia="宋体" w:cs="Times New Roman"/>
                <w:color w:val="auto"/>
                <w:sz w:val="21"/>
                <w:szCs w:val="21"/>
                <w:u w:val="none" w:color="auto"/>
                <w:lang w:val="en-US" w:eastAsia="zh-CN"/>
              </w:rPr>
            </w:pPr>
            <w:r>
              <w:rPr>
                <w:rFonts w:hint="eastAsia" w:ascii="Times New Roman" w:hAnsi="Times New Roman" w:eastAsia="宋体" w:cs="Times New Roman"/>
                <w:color w:val="auto"/>
                <w:sz w:val="21"/>
                <w:szCs w:val="21"/>
                <w:u w:val="none" w:color="auto"/>
                <w:lang w:val="en-US" w:eastAsia="zh-CN"/>
              </w:rPr>
              <w:t>2.146</w:t>
            </w:r>
          </w:p>
        </w:tc>
        <w:tc>
          <w:tcPr>
            <w:tcW w:w="1785" w:type="dxa"/>
            <w:noWrap w:val="0"/>
            <w:vAlign w:val="center"/>
          </w:tcPr>
          <w:p w14:paraId="75A917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2.2</w:t>
            </w:r>
          </w:p>
        </w:tc>
      </w:tr>
    </w:tbl>
    <w:p w14:paraId="003C99F3">
      <w:pPr>
        <w:pStyle w:val="20"/>
        <w:ind w:firstLine="480"/>
        <w:rPr>
          <w:rFonts w:hint="default" w:ascii="Times New Roman" w:hAnsi="Times New Roman" w:cs="Times New Roman"/>
          <w:color w:val="auto"/>
          <w:highlight w:val="none"/>
          <w:u w:val="none" w:color="auto"/>
        </w:rPr>
      </w:pPr>
      <w:r>
        <w:rPr>
          <w:rFonts w:hint="default"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、公众参与结果</w:t>
      </w:r>
    </w:p>
    <w:p w14:paraId="564E83D1">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highlight w:val="none"/>
          <w:u w:val="none" w:color="auto"/>
        </w:rPr>
        <w:t>项目建设单位作为公众参与调查主体，按照生态环境部环发[2018]4号文《环境影响评价公众参与办法》的相关规定和要求在评价范围内，于202</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年</w:t>
      </w:r>
      <w:r>
        <w:rPr>
          <w:rFonts w:hint="eastAsia" w:ascii="Times New Roman" w:hAnsi="Times New Roman" w:cs="Times New Roman"/>
          <w:color w:val="auto"/>
          <w:highlight w:val="none"/>
          <w:u w:val="none" w:color="auto"/>
          <w:lang w:val="en-US" w:eastAsia="zh-CN"/>
        </w:rPr>
        <w:t>4</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7</w:t>
      </w:r>
      <w:r>
        <w:rPr>
          <w:rFonts w:hint="default" w:ascii="Times New Roman" w:hAnsi="Times New Roman" w:cs="Times New Roman"/>
          <w:color w:val="auto"/>
          <w:highlight w:val="none"/>
          <w:u w:val="none" w:color="auto"/>
        </w:rPr>
        <w:t>日，在</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红网论坛-微汨罗</w:t>
      </w:r>
      <w:r>
        <w:rPr>
          <w:rFonts w:hint="eastAsia"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对项目进行了首次公示</w:t>
      </w:r>
      <w:r>
        <w:rPr>
          <w:rFonts w:hint="eastAsia" w:ascii="Times New Roman" w:hAnsi="Times New Roman" w:cs="Times New Roman"/>
          <w:color w:val="auto"/>
          <w:highlight w:val="none"/>
          <w:u w:val="none" w:color="auto"/>
          <w:lang w:eastAsia="zh-CN"/>
        </w:rPr>
        <w:t>；</w:t>
      </w:r>
      <w:r>
        <w:rPr>
          <w:rFonts w:hint="default" w:ascii="Times New Roman" w:hAnsi="Times New Roman" w:cs="Times New Roman"/>
          <w:color w:val="auto"/>
          <w:highlight w:val="none"/>
          <w:u w:val="none" w:color="auto"/>
        </w:rPr>
        <w:t>202</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年</w:t>
      </w:r>
      <w:r>
        <w:rPr>
          <w:rFonts w:hint="eastAsia"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10</w:t>
      </w:r>
      <w:r>
        <w:rPr>
          <w:rFonts w:hint="default" w:ascii="Times New Roman" w:hAnsi="Times New Roman" w:cs="Times New Roman"/>
          <w:color w:val="auto"/>
          <w:highlight w:val="none"/>
          <w:u w:val="none" w:color="auto"/>
        </w:rPr>
        <w:t>日至</w:t>
      </w:r>
      <w:r>
        <w:rPr>
          <w:rFonts w:hint="eastAsia"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23</w:t>
      </w:r>
      <w:r>
        <w:rPr>
          <w:rFonts w:hint="default" w:ascii="Times New Roman" w:hAnsi="Times New Roman" w:cs="Times New Roman"/>
          <w:color w:val="auto"/>
          <w:highlight w:val="none"/>
          <w:u w:val="none" w:color="auto"/>
        </w:rPr>
        <w:t>日，共计10个工作日，在</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红网论坛-微汨罗</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湖南铭腾新材料有限公司现有厂区现代家俱大门、湖南铭腾新材料有限公司新厂区</w:t>
      </w:r>
      <w:r>
        <w:rPr>
          <w:rFonts w:hint="default" w:ascii="Times New Roman" w:hAnsi="Times New Roman" w:cs="Times New Roman"/>
          <w:color w:val="auto"/>
          <w:highlight w:val="none"/>
          <w:u w:val="none" w:color="auto"/>
        </w:rPr>
        <w:t>对项目环境影响报告书（征求意见稿）进行了全本公示；202</w:t>
      </w:r>
      <w:r>
        <w:rPr>
          <w:rFonts w:hint="eastAsia" w:ascii="Times New Roman" w:hAnsi="Times New Roman" w:cs="Times New Roman"/>
          <w:color w:val="auto"/>
          <w:highlight w:val="none"/>
          <w:u w:val="none" w:color="auto"/>
          <w:lang w:val="en-US" w:eastAsia="zh-CN"/>
        </w:rPr>
        <w:t>5</w:t>
      </w:r>
      <w:r>
        <w:rPr>
          <w:rFonts w:hint="default" w:ascii="Times New Roman" w:hAnsi="Times New Roman" w:cs="Times New Roman"/>
          <w:color w:val="auto"/>
          <w:highlight w:val="none"/>
          <w:u w:val="none" w:color="auto"/>
        </w:rPr>
        <w:t>年</w:t>
      </w:r>
      <w:r>
        <w:rPr>
          <w:rFonts w:hint="eastAsia" w:ascii="Times New Roman" w:hAnsi="Times New Roman" w:cs="Times New Roman"/>
          <w:color w:val="auto"/>
          <w:highlight w:val="none"/>
          <w:u w:val="none" w:color="auto"/>
          <w:lang w:val="en-US" w:eastAsia="zh-CN"/>
        </w:rPr>
        <w:t>6</w:t>
      </w:r>
      <w:r>
        <w:rPr>
          <w:rFonts w:hint="default" w:ascii="Times New Roman" w:hAnsi="Times New Roman" w:cs="Times New Roman"/>
          <w:color w:val="auto"/>
          <w:highlight w:val="none"/>
          <w:u w:val="none" w:color="auto"/>
        </w:rPr>
        <w:t>月</w:t>
      </w:r>
      <w:r>
        <w:rPr>
          <w:rFonts w:hint="eastAsia" w:ascii="Times New Roman" w:hAnsi="Times New Roman" w:cs="Times New Roman"/>
          <w:color w:val="auto"/>
          <w:highlight w:val="none"/>
          <w:u w:val="none" w:color="auto"/>
          <w:lang w:val="en-US" w:eastAsia="zh-CN"/>
        </w:rPr>
        <w:t>17</w:t>
      </w:r>
      <w:r>
        <w:rPr>
          <w:rFonts w:hint="default" w:ascii="Times New Roman" w:hAnsi="Times New Roman" w:cs="Times New Roman"/>
          <w:color w:val="auto"/>
          <w:highlight w:val="none"/>
          <w:u w:val="none" w:color="auto"/>
        </w:rPr>
        <w:t>日</w:t>
      </w:r>
      <w:r>
        <w:rPr>
          <w:rFonts w:hint="eastAsia" w:ascii="Times New Roman" w:hAnsi="Times New Roman" w:cs="Times New Roman"/>
          <w:color w:val="auto"/>
          <w:highlight w:val="none"/>
          <w:u w:val="none" w:color="auto"/>
          <w:lang w:eastAsia="zh-CN"/>
        </w:rPr>
        <w:t>、</w:t>
      </w:r>
      <w:r>
        <w:rPr>
          <w:rFonts w:hint="eastAsia" w:ascii="Times New Roman" w:hAnsi="Times New Roman" w:cs="Times New Roman"/>
          <w:color w:val="auto"/>
          <w:highlight w:val="none"/>
          <w:u w:val="none" w:color="auto"/>
          <w:lang w:val="en-US" w:eastAsia="zh-CN"/>
        </w:rPr>
        <w:t>6月19</w:t>
      </w:r>
      <w:r>
        <w:rPr>
          <w:rFonts w:hint="default" w:ascii="Times New Roman" w:hAnsi="Times New Roman" w:cs="Times New Roman"/>
          <w:color w:val="auto"/>
          <w:highlight w:val="none"/>
          <w:u w:val="none" w:color="auto"/>
        </w:rPr>
        <w:t>日同步在《</w:t>
      </w:r>
      <w:r>
        <w:rPr>
          <w:rFonts w:hint="eastAsia" w:ascii="Times New Roman" w:hAnsi="Times New Roman" w:cs="Times New Roman"/>
          <w:color w:val="auto"/>
          <w:highlight w:val="none"/>
          <w:u w:val="none" w:color="auto"/>
          <w:lang w:val="en-US" w:eastAsia="zh-CN"/>
        </w:rPr>
        <w:t>岳阳晚报</w:t>
      </w:r>
      <w:r>
        <w:rPr>
          <w:rFonts w:hint="default" w:ascii="Times New Roman" w:hAnsi="Times New Roman" w:cs="Times New Roman"/>
          <w:color w:val="auto"/>
          <w:highlight w:val="none"/>
          <w:u w:val="none" w:color="auto"/>
        </w:rPr>
        <w:t>》对项目进行了两次公示。</w:t>
      </w:r>
      <w:r>
        <w:rPr>
          <w:rFonts w:hint="eastAsia" w:ascii="Times New Roman" w:hAnsi="Times New Roman" w:cs="Times New Roman"/>
          <w:color w:val="auto"/>
          <w:highlight w:val="none"/>
          <w:u w:val="none" w:color="auto"/>
          <w:lang w:eastAsia="zh-CN"/>
        </w:rPr>
        <w:t>并在环境影报告书报批前，于202</w:t>
      </w:r>
      <w:r>
        <w:rPr>
          <w:rFonts w:hint="eastAsia" w:ascii="Times New Roman" w:hAnsi="Times New Roman" w:cs="Times New Roman"/>
          <w:color w:val="auto"/>
          <w:highlight w:val="none"/>
          <w:u w:val="none" w:color="auto"/>
          <w:lang w:val="en-US" w:eastAsia="zh-CN"/>
        </w:rPr>
        <w:t>5</w:t>
      </w:r>
      <w:r>
        <w:rPr>
          <w:rFonts w:hint="eastAsia" w:ascii="Times New Roman" w:hAnsi="Times New Roman" w:cs="Times New Roman"/>
          <w:color w:val="auto"/>
          <w:highlight w:val="none"/>
          <w:u w:val="none" w:color="auto"/>
          <w:lang w:eastAsia="zh-CN"/>
        </w:rPr>
        <w:t>年</w:t>
      </w:r>
      <w:r>
        <w:rPr>
          <w:rFonts w:hint="eastAsia" w:ascii="Times New Roman" w:hAnsi="Times New Roman" w:cs="Times New Roman"/>
          <w:color w:val="auto"/>
          <w:highlight w:val="none"/>
          <w:u w:val="none" w:color="auto"/>
          <w:lang w:val="en-US" w:eastAsia="zh-CN"/>
        </w:rPr>
        <w:t>6</w:t>
      </w:r>
      <w:r>
        <w:rPr>
          <w:rFonts w:hint="eastAsia" w:ascii="Times New Roman" w:hAnsi="Times New Roman" w:cs="Times New Roman"/>
          <w:color w:val="auto"/>
          <w:highlight w:val="none"/>
          <w:u w:val="none" w:color="auto"/>
          <w:lang w:eastAsia="zh-CN"/>
        </w:rPr>
        <w:t>月</w:t>
      </w:r>
      <w:r>
        <w:rPr>
          <w:rFonts w:hint="eastAsia" w:ascii="Times New Roman" w:hAnsi="Times New Roman" w:cs="Times New Roman"/>
          <w:color w:val="auto"/>
          <w:highlight w:val="none"/>
          <w:u w:val="none" w:color="auto"/>
          <w:lang w:val="en-US" w:eastAsia="zh-CN"/>
        </w:rPr>
        <w:t>24</w:t>
      </w:r>
      <w:r>
        <w:rPr>
          <w:rFonts w:hint="eastAsia" w:ascii="Times New Roman" w:hAnsi="Times New Roman" w:cs="Times New Roman"/>
          <w:color w:val="auto"/>
          <w:highlight w:val="none"/>
          <w:u w:val="none" w:color="auto"/>
          <w:lang w:eastAsia="zh-CN"/>
        </w:rPr>
        <w:t>日在“</w:t>
      </w:r>
      <w:r>
        <w:rPr>
          <w:rFonts w:hint="eastAsia" w:ascii="Times New Roman" w:hAnsi="Times New Roman" w:cs="Times New Roman"/>
          <w:color w:val="auto"/>
          <w:highlight w:val="none"/>
          <w:u w:val="none" w:color="auto"/>
          <w:lang w:val="en-US" w:eastAsia="zh-CN"/>
        </w:rPr>
        <w:t>红网论坛-微汨罗</w:t>
      </w:r>
      <w:r>
        <w:rPr>
          <w:rFonts w:hint="eastAsia" w:ascii="Times New Roman" w:hAnsi="Times New Roman" w:cs="Times New Roman"/>
          <w:color w:val="auto"/>
          <w:highlight w:val="none"/>
          <w:u w:val="none" w:color="auto"/>
          <w:lang w:eastAsia="zh-CN"/>
        </w:rPr>
        <w:t>”上进行了报批前公示，公开了项目环评报告书及公参说明手册。</w:t>
      </w:r>
      <w:r>
        <w:rPr>
          <w:rFonts w:hint="default" w:ascii="Times New Roman" w:hAnsi="Times New Roman" w:cs="Times New Roman"/>
          <w:color w:val="auto"/>
          <w:highlight w:val="none"/>
          <w:u w:val="none" w:color="auto"/>
        </w:rPr>
        <w:t>在公示和公众参与调查期间，未收到公众反馈意见。</w:t>
      </w:r>
    </w:p>
    <w:bookmarkEnd w:id="1692"/>
    <w:bookmarkEnd w:id="1693"/>
    <w:bookmarkEnd w:id="1694"/>
    <w:p w14:paraId="45418D8B">
      <w:pPr>
        <w:pStyle w:val="20"/>
        <w:ind w:firstLine="480"/>
        <w:rPr>
          <w:rFonts w:hint="default" w:ascii="Times New Roman" w:hAnsi="Times New Roman" w:cs="Times New Roman"/>
          <w:color w:val="auto"/>
          <w:u w:val="none" w:color="auto"/>
        </w:rPr>
      </w:pPr>
      <w:bookmarkStart w:id="1695" w:name="_Toc11245"/>
      <w:bookmarkStart w:id="1696" w:name="_Toc23828_WPSOffice_Level3"/>
      <w:bookmarkStart w:id="1697" w:name="_Toc31240_WPSOffice_Level3"/>
      <w:r>
        <w:rPr>
          <w:rFonts w:hint="default" w:ascii="Times New Roman" w:hAnsi="Times New Roman" w:cs="Times New Roman"/>
          <w:color w:val="auto"/>
          <w:u w:val="none" w:color="auto"/>
          <w:lang w:val="en-US" w:eastAsia="zh-CN"/>
        </w:rPr>
        <w:t>6</w:t>
      </w:r>
      <w:r>
        <w:rPr>
          <w:rFonts w:hint="default" w:ascii="Times New Roman" w:hAnsi="Times New Roman" w:cs="Times New Roman"/>
          <w:color w:val="auto"/>
          <w:u w:val="none" w:color="auto"/>
        </w:rPr>
        <w:t>、环境经济损益分析</w:t>
      </w:r>
      <w:bookmarkEnd w:id="1695"/>
      <w:bookmarkEnd w:id="1696"/>
      <w:bookmarkEnd w:id="1697"/>
    </w:p>
    <w:p w14:paraId="1B9D59A2">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项目总投资为</w:t>
      </w:r>
      <w:r>
        <w:rPr>
          <w:rFonts w:hint="eastAsia" w:cs="Times New Roman"/>
          <w:color w:val="auto"/>
          <w:u w:val="none" w:color="auto"/>
          <w:lang w:val="en-US" w:eastAsia="zh-CN"/>
        </w:rPr>
        <w:t>3000</w:t>
      </w:r>
      <w:r>
        <w:rPr>
          <w:rFonts w:hint="default" w:ascii="Times New Roman" w:hAnsi="Times New Roman" w:cs="Times New Roman"/>
          <w:color w:val="auto"/>
          <w:u w:val="none" w:color="auto"/>
        </w:rPr>
        <w:t>万元，本次工程环保投资估算为</w:t>
      </w:r>
      <w:r>
        <w:rPr>
          <w:rFonts w:hint="eastAsia" w:ascii="Times New Roman" w:hAnsi="Times New Roman" w:cs="Times New Roman"/>
          <w:color w:val="auto"/>
          <w:u w:val="none" w:color="auto"/>
          <w:lang w:val="en-US" w:eastAsia="zh-CN"/>
        </w:rPr>
        <w:t>9</w:t>
      </w:r>
      <w:r>
        <w:rPr>
          <w:rFonts w:hint="eastAsia" w:cs="Times New Roman"/>
          <w:color w:val="auto"/>
          <w:u w:val="none" w:color="auto"/>
          <w:lang w:val="en-US" w:eastAsia="zh-CN"/>
        </w:rPr>
        <w:t>8</w:t>
      </w:r>
      <w:r>
        <w:rPr>
          <w:rFonts w:hint="default" w:ascii="Times New Roman" w:hAnsi="Times New Roman" w:cs="Times New Roman"/>
          <w:color w:val="auto"/>
          <w:u w:val="none" w:color="auto"/>
        </w:rPr>
        <w:t>万元，占项目建设投资的比例为</w:t>
      </w:r>
      <w:r>
        <w:rPr>
          <w:rFonts w:hint="eastAsia" w:cs="Times New Roman"/>
          <w:color w:val="auto"/>
          <w:sz w:val="24"/>
          <w:u w:val="none" w:color="auto"/>
          <w:lang w:val="en-US" w:eastAsia="zh-CN" w:bidi="ar"/>
        </w:rPr>
        <w:t>3.27%</w:t>
      </w:r>
      <w:r>
        <w:rPr>
          <w:rFonts w:hint="default" w:ascii="Times New Roman" w:hAnsi="Times New Roman" w:cs="Times New Roman"/>
          <w:color w:val="auto"/>
          <w:u w:val="none" w:color="auto"/>
        </w:rPr>
        <w:t>。因此，从上述数据来看，该项目的经济效益是十分显著</w:t>
      </w:r>
      <w:bookmarkStart w:id="1698" w:name="_Toc331278446"/>
      <w:bookmarkStart w:id="1699" w:name="_Toc252173685"/>
      <w:r>
        <w:rPr>
          <w:rFonts w:hint="default" w:ascii="Times New Roman" w:hAnsi="Times New Roman" w:cs="Times New Roman"/>
          <w:color w:val="auto"/>
          <w:u w:val="none" w:color="auto"/>
        </w:rPr>
        <w:t>，同时项目可给当地提供就业岗位，增加就业，带动地方经济发展，提高国税、地税收入，具有较好的社会效益。</w:t>
      </w:r>
    </w:p>
    <w:bookmarkEnd w:id="1698"/>
    <w:bookmarkEnd w:id="1699"/>
    <w:p w14:paraId="7BBF473A">
      <w:pPr>
        <w:pStyle w:val="3"/>
        <w:bidi w:val="0"/>
        <w:rPr>
          <w:rFonts w:hint="default"/>
          <w:color w:val="auto"/>
          <w:u w:val="none" w:color="auto"/>
        </w:rPr>
      </w:pPr>
      <w:bookmarkStart w:id="1700" w:name="_Toc21084"/>
      <w:bookmarkStart w:id="1701" w:name="_Toc4254"/>
      <w:bookmarkStart w:id="1702" w:name="_Toc18400"/>
      <w:bookmarkStart w:id="1703" w:name="_Toc5674"/>
      <w:bookmarkStart w:id="1704" w:name="_Toc14623"/>
      <w:bookmarkStart w:id="1705" w:name="_Toc474_WPSOffice_Level2"/>
      <w:bookmarkStart w:id="1706" w:name="_Toc30410_WPSOffice_Level2"/>
      <w:bookmarkStart w:id="1707" w:name="_Toc25136_WPSOffice_Level2"/>
      <w:bookmarkStart w:id="1708" w:name="_Toc17390"/>
      <w:bookmarkStart w:id="1709" w:name="_Toc6419_WPSOffice_Level2"/>
      <w:bookmarkStart w:id="1710" w:name="_Toc11396_WPSOffice_Level2"/>
      <w:bookmarkStart w:id="1711" w:name="_Toc24137"/>
      <w:bookmarkStart w:id="1712" w:name="_Toc331278447"/>
      <w:bookmarkStart w:id="1713" w:name="_Toc19674"/>
      <w:bookmarkStart w:id="1714" w:name="_Toc252173684"/>
      <w:bookmarkStart w:id="1715" w:name="_Toc23623"/>
      <w:bookmarkStart w:id="1716" w:name="_Toc11562_WPSOffice_Level2"/>
      <w:bookmarkStart w:id="1717" w:name="_Toc19239"/>
      <w:bookmarkStart w:id="1718" w:name="_Toc20095_WPSOffice_Level2"/>
      <w:bookmarkStart w:id="1719" w:name="_Toc17000_WPSOffice_Level2"/>
      <w:bookmarkStart w:id="1720" w:name="_Toc29830_WPSOffice_Level2"/>
      <w:bookmarkStart w:id="1721" w:name="_Toc28420_WPSOffice_Level2"/>
      <w:bookmarkStart w:id="1722" w:name="_Toc22010"/>
      <w:r>
        <w:rPr>
          <w:rFonts w:hint="eastAsia"/>
          <w:color w:val="auto"/>
          <w:u w:val="none" w:color="auto"/>
          <w:lang w:val="en-US" w:eastAsia="zh-CN"/>
        </w:rPr>
        <w:t>10</w:t>
      </w:r>
      <w:r>
        <w:rPr>
          <w:rFonts w:hint="default"/>
          <w:color w:val="auto"/>
          <w:u w:val="none" w:color="auto"/>
        </w:rPr>
        <w:t>.</w:t>
      </w:r>
      <w:r>
        <w:rPr>
          <w:rFonts w:hint="default"/>
          <w:color w:val="auto"/>
          <w:u w:val="none" w:color="auto"/>
          <w:lang w:val="en-US" w:eastAsia="zh-CN"/>
        </w:rPr>
        <w:t>5</w:t>
      </w:r>
      <w:r>
        <w:rPr>
          <w:rFonts w:hint="default"/>
          <w:color w:val="auto"/>
          <w:u w:val="none" w:color="auto"/>
        </w:rPr>
        <w:t>总结论</w:t>
      </w:r>
      <w:bookmarkEnd w:id="1700"/>
      <w:bookmarkEnd w:id="1701"/>
      <w:bookmarkEnd w:id="1702"/>
      <w:bookmarkEnd w:id="1703"/>
      <w:bookmarkEnd w:id="1704"/>
      <w:bookmarkEnd w:id="1705"/>
      <w:bookmarkEnd w:id="1706"/>
      <w:bookmarkEnd w:id="1707"/>
      <w:bookmarkEnd w:id="1708"/>
      <w:bookmarkEnd w:id="1709"/>
      <w:bookmarkEnd w:id="1710"/>
      <w:bookmarkEnd w:id="1711"/>
    </w:p>
    <w:p w14:paraId="11A7C951">
      <w:pPr>
        <w:pStyle w:val="20"/>
        <w:ind w:firstLine="480"/>
        <w:rPr>
          <w:color w:val="auto"/>
          <w:u w:val="none" w:color="auto"/>
        </w:rPr>
      </w:pPr>
      <w:r>
        <w:rPr>
          <w:rFonts w:hint="eastAsia" w:cs="Times New Roman"/>
          <w:color w:val="auto"/>
          <w:sz w:val="24"/>
          <w:u w:val="none" w:color="auto"/>
          <w:lang w:eastAsia="zh-CN"/>
        </w:rPr>
        <w:t>铭腾高分子制品年产 30000吨塑料板材、5000 吨装饰线条建设项目</w:t>
      </w:r>
      <w:r>
        <w:rPr>
          <w:color w:val="auto"/>
          <w:u w:val="none" w:color="auto"/>
        </w:rPr>
        <w:t>符合国家产业政策；项目生产所采用的原料和设备、所采用的生产工艺符合国家现行产业政策，其所采取的污染防治措施可行，建设单位在落实本报告提出的各项环保措施和风险防范措施的情况下，不会对区域环境质量产生明显影响。</w:t>
      </w:r>
    </w:p>
    <w:p w14:paraId="417DD20A">
      <w:pPr>
        <w:pStyle w:val="20"/>
        <w:ind w:firstLine="480"/>
        <w:rPr>
          <w:rFonts w:hint="default" w:ascii="Times New Roman" w:hAnsi="Times New Roman" w:cs="Times New Roman"/>
          <w:color w:val="auto"/>
          <w:u w:val="none" w:color="auto"/>
        </w:rPr>
      </w:pPr>
      <w:r>
        <w:rPr>
          <w:color w:val="auto"/>
          <w:u w:val="none" w:color="auto"/>
        </w:rPr>
        <w:t>从环保角度而言，该项目的建设是可行的。</w:t>
      </w:r>
    </w:p>
    <w:bookmarkEnd w:id="1712"/>
    <w:bookmarkEnd w:id="1713"/>
    <w:bookmarkEnd w:id="1714"/>
    <w:bookmarkEnd w:id="1715"/>
    <w:bookmarkEnd w:id="1716"/>
    <w:bookmarkEnd w:id="1717"/>
    <w:bookmarkEnd w:id="1718"/>
    <w:bookmarkEnd w:id="1719"/>
    <w:bookmarkEnd w:id="1720"/>
    <w:bookmarkEnd w:id="1721"/>
    <w:bookmarkEnd w:id="1722"/>
    <w:p w14:paraId="6853EDA7">
      <w:pPr>
        <w:pStyle w:val="3"/>
        <w:bidi w:val="0"/>
        <w:rPr>
          <w:rFonts w:hint="default"/>
          <w:color w:val="auto"/>
          <w:u w:val="none" w:color="auto"/>
        </w:rPr>
      </w:pPr>
      <w:bookmarkStart w:id="1723" w:name="_Toc5102"/>
      <w:bookmarkStart w:id="1724" w:name="_Toc23794"/>
      <w:bookmarkStart w:id="1725" w:name="_Toc15081"/>
      <w:bookmarkStart w:id="1726" w:name="_Toc21194"/>
      <w:r>
        <w:rPr>
          <w:rFonts w:hint="eastAsia"/>
          <w:color w:val="auto"/>
          <w:u w:val="none" w:color="auto"/>
          <w:lang w:val="en-US" w:eastAsia="zh-CN"/>
        </w:rPr>
        <w:t>10</w:t>
      </w:r>
      <w:r>
        <w:rPr>
          <w:rFonts w:hint="default"/>
          <w:color w:val="auto"/>
          <w:u w:val="none" w:color="auto"/>
        </w:rPr>
        <w:t>.</w:t>
      </w:r>
      <w:r>
        <w:rPr>
          <w:rFonts w:hint="default"/>
          <w:color w:val="auto"/>
          <w:u w:val="none" w:color="auto"/>
          <w:lang w:val="en-US" w:eastAsia="zh-CN"/>
        </w:rPr>
        <w:t>6</w:t>
      </w:r>
      <w:r>
        <w:rPr>
          <w:rFonts w:hint="default"/>
          <w:color w:val="auto"/>
          <w:u w:val="none" w:color="auto"/>
        </w:rPr>
        <w:t>建议</w:t>
      </w:r>
      <w:bookmarkEnd w:id="1723"/>
      <w:bookmarkEnd w:id="1724"/>
      <w:bookmarkEnd w:id="1725"/>
      <w:bookmarkEnd w:id="1726"/>
    </w:p>
    <w:p w14:paraId="1C3E31A4">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（1）确保环保设施投入正常运行，保证污染物长期稳定达标排放。</w:t>
      </w:r>
    </w:p>
    <w:p w14:paraId="2BC8DB18">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（2）营运单位一定要重视和加强环境风险管理和防范，切实做好安全生产，杜绝各类风险事故发生；</w:t>
      </w:r>
    </w:p>
    <w:p w14:paraId="493FE351">
      <w:pPr>
        <w:pStyle w:val="20"/>
        <w:ind w:firstLine="480"/>
        <w:rPr>
          <w:rFonts w:hint="default" w:ascii="Times New Roman" w:hAnsi="Times New Roman" w:cs="Times New Roman"/>
          <w:color w:val="auto"/>
          <w:u w:val="none" w:color="auto"/>
        </w:rPr>
      </w:pPr>
      <w:r>
        <w:rPr>
          <w:rFonts w:hint="default" w:ascii="Times New Roman" w:hAnsi="Times New Roman" w:cs="Times New Roman"/>
          <w:color w:val="auto"/>
          <w:u w:val="none" w:color="auto"/>
        </w:rPr>
        <w:t>（3）设立环境管理部门，建立完善的环境管理制度。</w:t>
      </w:r>
    </w:p>
    <w:p w14:paraId="13544F17">
      <w:pPr>
        <w:pStyle w:val="20"/>
        <w:ind w:firstLine="480"/>
        <w:rPr>
          <w:rFonts w:hint="default" w:ascii="Times New Roman" w:hAnsi="Times New Roman" w:cs="Times New Roman"/>
          <w:color w:val="auto"/>
          <w:u w:val="none" w:color="auto"/>
        </w:rPr>
        <w:sectPr>
          <w:headerReference r:id="rId12" w:type="default"/>
          <w:footerReference r:id="rId13" w:type="default"/>
          <w:pgSz w:w="11906" w:h="16838"/>
          <w:pgMar w:top="1418" w:right="1701" w:bottom="1418" w:left="1701"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color w:val="auto"/>
          <w:u w:val="none" w:color="auto"/>
        </w:rPr>
        <w:t>（4）加强企业管理的同时，应注意职工环境保护的宣传教育工作，提高全体员工的环保意识，做到环境保护，人人有责。</w:t>
      </w:r>
    </w:p>
    <w:p w14:paraId="30F4033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新宋体-18030">
    <w:altName w:val="宋体"/>
    <w:panose1 w:val="00000000000000000000"/>
    <w:charset w:val="00"/>
    <w:family w:val="auto"/>
    <w:pitch w:val="default"/>
    <w:sig w:usb0="00000000" w:usb1="00000000" w:usb2="00000000"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康简宋">
    <w:altName w:val="宋体"/>
    <w:panose1 w:val="00000000000000000000"/>
    <w:charset w:val="86"/>
    <w:family w:val="modern"/>
    <w:pitch w:val="default"/>
    <w:sig w:usb0="00000000" w:usb1="00000000" w:usb2="00000010" w:usb3="00000000" w:csb0="00040000" w:csb1="00000000"/>
  </w:font>
  <w:font w:name="Wingdings 2">
    <w:panose1 w:val="05020102010507070707"/>
    <w:charset w:val="02"/>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auto"/>
    <w:pitch w:val="default"/>
    <w:sig w:usb0="E00006FF" w:usb1="420024FF" w:usb2="02000000" w:usb3="00000000" w:csb0="2000019F" w:csb1="00000000"/>
  </w:font>
  <w:font w:name="MS PGothic">
    <w:panose1 w:val="020B0600070205080204"/>
    <w:charset w:val="80"/>
    <w:family w:val="auto"/>
    <w:pitch w:val="default"/>
    <w:sig w:usb0="E00002FF" w:usb1="6AC7FDFB" w:usb2="08000012" w:usb3="00000000" w:csb0="400200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35713">
    <w:pPr>
      <w:tabs>
        <w:tab w:val="center" w:pos="4153"/>
        <w:tab w:val="right" w:pos="8306"/>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AF50A">
    <w:pPr>
      <w:tabs>
        <w:tab w:val="center" w:pos="4153"/>
        <w:tab w:val="right" w:pos="8306"/>
      </w:tabs>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7F93D54A">
                          <w:pPr>
                            <w:tabs>
                              <w:tab w:val="center" w:pos="4153"/>
                              <w:tab w:val="right" w:pos="8306"/>
                            </w:tabs>
                          </w:pPr>
                          <w:r>
                            <w:fldChar w:fldCharType="begin"/>
                          </w:r>
                          <w:r>
                            <w:instrText xml:space="preserve">PAGE  </w:instrText>
                          </w:r>
                          <w:r>
                            <w:fldChar w:fldCharType="separate"/>
                          </w:r>
                          <w:r>
                            <w:t>76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kM4J7NYBAACwAwAADgAAAAAAAAABACAAAAAe&#10;AQAAZHJzL2Uyb0RvYy54bWxQSwUGAAAAAAYABgBZAQAAZgUAAAAA&#10;">
              <v:path/>
              <v:fill on="f" focussize="0,0"/>
              <v:stroke on="f"/>
              <v:imagedata o:title=""/>
              <o:lock v:ext="edit" aspectratio="f"/>
              <v:textbox inset="0mm,0mm,0mm,0mm" style="mso-fit-shape-to-text:t;">
                <w:txbxContent>
                  <w:p w14:paraId="7F93D54A">
                    <w:pPr>
                      <w:tabs>
                        <w:tab w:val="center" w:pos="4153"/>
                        <w:tab w:val="right" w:pos="8306"/>
                      </w:tabs>
                    </w:pPr>
                    <w:r>
                      <w:fldChar w:fldCharType="begin"/>
                    </w:r>
                    <w:r>
                      <w:instrText xml:space="preserve">PAGE  </w:instrText>
                    </w:r>
                    <w:r>
                      <w:fldChar w:fldCharType="separate"/>
                    </w:r>
                    <w:r>
                      <w:t>76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4753C">
    <w:pPr>
      <w:tabs>
        <w:tab w:val="center" w:pos="4153"/>
        <w:tab w:val="right" w:pos="8306"/>
      </w:tabs>
      <w:ind w:right="36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6E0F85A3">
                          <w:pPr>
                            <w:tabs>
                              <w:tab w:val="center" w:pos="4153"/>
                              <w:tab w:val="right" w:pos="8306"/>
                            </w:tabs>
                          </w:pPr>
                          <w:r>
                            <w:fldChar w:fldCharType="begin"/>
                          </w:r>
                          <w:r>
                            <w:instrText xml:space="preserve">PAGE  </w:instrText>
                          </w:r>
                          <w:r>
                            <w:fldChar w:fldCharType="separate"/>
                          </w:r>
                          <w:r>
                            <w:t>76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OqXm5zwAAAAUBAAAPAAAAAAAAAAEAIAAAACIAAABk&#10;cnMvZG93bnJldi54bWxQSwECFAAUAAAACACHTuJAnSZlMtYBAACyAwAADgAAAAAAAAABACAAAAAe&#10;AQAAZHJzL2Uyb0RvYy54bWxQSwUGAAAAAAYABgBZAQAAZgUAAAAA&#10;">
              <v:path/>
              <v:fill on="f" focussize="0,0"/>
              <v:stroke on="f"/>
              <v:imagedata o:title=""/>
              <o:lock v:ext="edit" aspectratio="f"/>
              <v:textbox inset="0mm,0mm,0mm,0mm" style="mso-fit-shape-to-text:t;">
                <w:txbxContent>
                  <w:p w14:paraId="6E0F85A3">
                    <w:pPr>
                      <w:tabs>
                        <w:tab w:val="center" w:pos="4153"/>
                        <w:tab w:val="right" w:pos="8306"/>
                      </w:tabs>
                    </w:pPr>
                    <w:r>
                      <w:fldChar w:fldCharType="begin"/>
                    </w:r>
                    <w:r>
                      <w:instrText xml:space="preserve">PAGE  </w:instrText>
                    </w:r>
                    <w:r>
                      <w:fldChar w:fldCharType="separate"/>
                    </w:r>
                    <w:r>
                      <w:t>76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429E8">
    <w:pPr>
      <w:tabs>
        <w:tab w:val="center" w:pos="4153"/>
        <w:tab w:val="right" w:pos="8306"/>
      </w:tabs>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457835" cy="26289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457835" cy="262890"/>
                      </a:xfrm>
                      <a:prstGeom prst="rect">
                        <a:avLst/>
                      </a:prstGeom>
                      <a:noFill/>
                      <a:ln>
                        <a:noFill/>
                      </a:ln>
                    </wps:spPr>
                    <wps:txbx>
                      <w:txbxContent>
                        <w:p w14:paraId="79D26C32">
                          <w:pPr>
                            <w:tabs>
                              <w:tab w:val="center" w:pos="4153"/>
                              <w:tab w:val="right" w:pos="8306"/>
                            </w:tabs>
                            <w:ind w:firstLine="360"/>
                          </w:pPr>
                          <w:r>
                            <w:fldChar w:fldCharType="begin"/>
                          </w:r>
                          <w:r>
                            <w:instrText xml:space="preserve">PAGE  </w:instrText>
                          </w:r>
                          <w:r>
                            <w:fldChar w:fldCharType="separate"/>
                          </w:r>
                          <w:r>
                            <w:t>136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20.7pt;width:36.05pt;mso-position-horizontal:center;mso-position-horizontal-relative:margin;mso-wrap-style:none;z-index:251660288;mso-width-relative:page;mso-height-relative:page;" filled="f" stroked="f" coordsize="21600,21600" o:gfxdata="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Gf1+bRAAAAAwEAAA8AAAAAAAAAAQAgAAAAIgAAAGRycy9k&#10;b3ducmV2LnhtbFBLAQIUABQAAAAIAIdO4kDRYS4v0AEAAJkDAAAOAAAAAAAAAAEAIAAAACABAABk&#10;cnMvZTJvRG9jLnhtbFBLBQYAAAAABgAGAFkBAABiBQAAAAA=&#10;">
              <v:path/>
              <v:fill on="f" focussize="0,0"/>
              <v:stroke on="f"/>
              <v:imagedata o:title=""/>
              <o:lock v:ext="edit" aspectratio="f"/>
              <v:textbox inset="0mm,0mm,0mm,0mm" style="mso-fit-shape-to-text:t;">
                <w:txbxContent>
                  <w:p w14:paraId="79D26C32">
                    <w:pPr>
                      <w:tabs>
                        <w:tab w:val="center" w:pos="4153"/>
                        <w:tab w:val="right" w:pos="8306"/>
                      </w:tabs>
                      <w:ind w:firstLine="360"/>
                    </w:pPr>
                    <w:r>
                      <w:fldChar w:fldCharType="begin"/>
                    </w:r>
                    <w:r>
                      <w:instrText xml:space="preserve">PAGE  </w:instrText>
                    </w:r>
                    <w:r>
                      <w:fldChar w:fldCharType="separate"/>
                    </w:r>
                    <w:r>
                      <w:t>136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C853F">
    <w:pPr>
      <w:tabs>
        <w:tab w:val="center" w:pos="4153"/>
        <w:tab w:val="right" w:pos="8306"/>
      </w:tabs>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457835" cy="26289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57835" cy="262890"/>
                      </a:xfrm>
                      <a:prstGeom prst="rect">
                        <a:avLst/>
                      </a:prstGeom>
                      <a:noFill/>
                      <a:ln>
                        <a:noFill/>
                      </a:ln>
                    </wps:spPr>
                    <wps:txbx>
                      <w:txbxContent>
                        <w:p w14:paraId="0C30FC22">
                          <w:pPr>
                            <w:tabs>
                              <w:tab w:val="center" w:pos="4153"/>
                              <w:tab w:val="right" w:pos="8306"/>
                            </w:tabs>
                            <w:ind w:firstLine="360"/>
                          </w:pPr>
                          <w:r>
                            <w:fldChar w:fldCharType="begin"/>
                          </w:r>
                          <w:r>
                            <w:instrText xml:space="preserve">PAGE  </w:instrText>
                          </w:r>
                          <w:r>
                            <w:fldChar w:fldCharType="separate"/>
                          </w:r>
                          <w:r>
                            <w:t>136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20.7pt;width:36.05pt;mso-position-horizontal:center;mso-position-horizontal-relative:margin;mso-wrap-style:none;z-index:251662336;mso-width-relative:page;mso-height-relative:page;" filled="f" stroked="f" coordsize="21600,21600" o:gfxdata="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Gf1+bRAAAAAwEAAA8AAAAAAAAAAQAgAAAAIgAAAGRycy9k&#10;b3ducmV2LnhtbFBLAQIUABQAAAAIAIdO4kBmvxkc0AEAAJkDAAAOAAAAAAAAAAEAIAAAACABAABk&#10;cnMvZTJvRG9jLnhtbFBLBQYAAAAABgAGAFkBAABiBQAAAAA=&#10;">
              <v:path/>
              <v:fill on="f" focussize="0,0"/>
              <v:stroke on="f"/>
              <v:imagedata o:title=""/>
              <o:lock v:ext="edit" aspectratio="f"/>
              <v:textbox inset="0mm,0mm,0mm,0mm" style="mso-fit-shape-to-text:t;">
                <w:txbxContent>
                  <w:p w14:paraId="0C30FC22">
                    <w:pPr>
                      <w:tabs>
                        <w:tab w:val="center" w:pos="4153"/>
                        <w:tab w:val="right" w:pos="8306"/>
                      </w:tabs>
                      <w:ind w:firstLine="360"/>
                    </w:pPr>
                    <w:r>
                      <w:fldChar w:fldCharType="begin"/>
                    </w:r>
                    <w:r>
                      <w:instrText xml:space="preserve">PAGE  </w:instrText>
                    </w:r>
                    <w:r>
                      <w:fldChar w:fldCharType="separate"/>
                    </w:r>
                    <w:r>
                      <w:t>136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0B23B">
    <w:pPr>
      <w:tabs>
        <w:tab w:val="center" w:pos="4153"/>
        <w:tab w:val="right" w:pos="8306"/>
      </w:tabs>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457835" cy="26289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457835" cy="262890"/>
                      </a:xfrm>
                      <a:prstGeom prst="rect">
                        <a:avLst/>
                      </a:prstGeom>
                      <a:noFill/>
                      <a:ln>
                        <a:noFill/>
                      </a:ln>
                    </wps:spPr>
                    <wps:txbx>
                      <w:txbxContent>
                        <w:p w14:paraId="0B50AEAF">
                          <w:pPr>
                            <w:tabs>
                              <w:tab w:val="center" w:pos="4153"/>
                              <w:tab w:val="right" w:pos="8306"/>
                            </w:tabs>
                            <w:ind w:firstLine="360"/>
                          </w:pPr>
                          <w:r>
                            <w:fldChar w:fldCharType="begin"/>
                          </w:r>
                          <w:r>
                            <w:instrText xml:space="preserve">PAGE  </w:instrText>
                          </w:r>
                          <w:r>
                            <w:fldChar w:fldCharType="separate"/>
                          </w:r>
                          <w:r>
                            <w:t>136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20.7pt;width:36.05pt;mso-position-horizontal:center;mso-position-horizontal-relative:margin;mso-wrap-style:none;z-index:251661312;mso-width-relative:page;mso-height-relative:page;" filled="f" stroked="f" coordsize="21600,21600" o:gfxdata="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hn9fm0QAAAAMBAAAPAAAAAAAAAAEAIAAAACIAAABkcnMv&#10;ZG93bnJldi54bWxQSwECFAAUAAAACACHTuJANYga29EBAACZAwAADgAAAAAAAAABACAAAAAgAQAA&#10;ZHJzL2Uyb0RvYy54bWxQSwUGAAAAAAYABgBZAQAAYwUAAAAA&#10;">
              <v:path/>
              <v:fill on="f" focussize="0,0"/>
              <v:stroke on="f"/>
              <v:imagedata o:title=""/>
              <o:lock v:ext="edit" aspectratio="f"/>
              <v:textbox inset="0mm,0mm,0mm,0mm" style="mso-fit-shape-to-text:t;">
                <w:txbxContent>
                  <w:p w14:paraId="0B50AEAF">
                    <w:pPr>
                      <w:tabs>
                        <w:tab w:val="center" w:pos="4153"/>
                        <w:tab w:val="right" w:pos="8306"/>
                      </w:tabs>
                      <w:ind w:firstLine="360"/>
                    </w:pPr>
                    <w:r>
                      <w:fldChar w:fldCharType="begin"/>
                    </w:r>
                    <w:r>
                      <w:instrText xml:space="preserve">PAGE  </w:instrText>
                    </w:r>
                    <w:r>
                      <w:fldChar w:fldCharType="separate"/>
                    </w:r>
                    <w:r>
                      <w:t>136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E4EFE0">
    <w:pPr>
      <w:tabs>
        <w:tab w:val="center" w:pos="4153"/>
        <w:tab w:val="right" w:pos="83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C7B9F">
    <w:pPr>
      <w:tabs>
        <w:tab w:val="center" w:pos="4153"/>
        <w:tab w:val="right" w:pos="830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07F63">
    <w:pPr>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730BA">
    <w:pP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1EAF1">
    <w:pP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EB5C47"/>
    <w:multiLevelType w:val="singleLevel"/>
    <w:tmpl w:val="BCEB5C47"/>
    <w:lvl w:ilvl="0" w:tentative="0">
      <w:start w:val="1"/>
      <w:numFmt w:val="decimal"/>
      <w:suff w:val="nothing"/>
      <w:lvlText w:val="%1、"/>
      <w:lvlJc w:val="left"/>
    </w:lvl>
  </w:abstractNum>
  <w:abstractNum w:abstractNumId="1">
    <w:nsid w:val="C6BC8F5C"/>
    <w:multiLevelType w:val="singleLevel"/>
    <w:tmpl w:val="C6BC8F5C"/>
    <w:lvl w:ilvl="0" w:tentative="0">
      <w:start w:val="1"/>
      <w:numFmt w:val="decimal"/>
      <w:suff w:val="nothing"/>
      <w:lvlText w:val="（%1）"/>
      <w:lvlJc w:val="left"/>
    </w:lvl>
  </w:abstractNum>
  <w:abstractNum w:abstractNumId="2">
    <w:nsid w:val="CA20F8B9"/>
    <w:multiLevelType w:val="singleLevel"/>
    <w:tmpl w:val="CA20F8B9"/>
    <w:lvl w:ilvl="0" w:tentative="0">
      <w:start w:val="1"/>
      <w:numFmt w:val="decimal"/>
      <w:suff w:val="nothing"/>
      <w:lvlText w:val="%1、"/>
      <w:lvlJc w:val="left"/>
    </w:lvl>
  </w:abstractNum>
  <w:abstractNum w:abstractNumId="3">
    <w:nsid w:val="D863C387"/>
    <w:multiLevelType w:val="singleLevel"/>
    <w:tmpl w:val="D863C387"/>
    <w:lvl w:ilvl="0" w:tentative="0">
      <w:start w:val="1"/>
      <w:numFmt w:val="decimal"/>
      <w:suff w:val="nothing"/>
      <w:lvlText w:val="（%1）"/>
      <w:lvlJc w:val="left"/>
    </w:lvl>
  </w:abstractNum>
  <w:abstractNum w:abstractNumId="4">
    <w:nsid w:val="E48957D8"/>
    <w:multiLevelType w:val="singleLevel"/>
    <w:tmpl w:val="E48957D8"/>
    <w:lvl w:ilvl="0" w:tentative="0">
      <w:start w:val="2"/>
      <w:numFmt w:val="decimal"/>
      <w:suff w:val="nothing"/>
      <w:lvlText w:val="（%1）"/>
      <w:lvlJc w:val="left"/>
    </w:lvl>
  </w:abstractNum>
  <w:abstractNum w:abstractNumId="5">
    <w:nsid w:val="25B38D29"/>
    <w:multiLevelType w:val="singleLevel"/>
    <w:tmpl w:val="25B38D29"/>
    <w:lvl w:ilvl="0" w:tentative="0">
      <w:start w:val="2"/>
      <w:numFmt w:val="decimal"/>
      <w:suff w:val="nothing"/>
      <w:lvlText w:val="（%1）"/>
      <w:lvlJc w:val="left"/>
    </w:lvl>
  </w:abstractNum>
  <w:abstractNum w:abstractNumId="6">
    <w:nsid w:val="2DD686C6"/>
    <w:multiLevelType w:val="singleLevel"/>
    <w:tmpl w:val="2DD686C6"/>
    <w:lvl w:ilvl="0" w:tentative="0">
      <w:start w:val="3"/>
      <w:numFmt w:val="decimal"/>
      <w:suff w:val="nothing"/>
      <w:lvlText w:val="（%1）"/>
      <w:lvlJc w:val="left"/>
    </w:lvl>
  </w:abstractNum>
  <w:abstractNum w:abstractNumId="7">
    <w:nsid w:val="2E59DB79"/>
    <w:multiLevelType w:val="singleLevel"/>
    <w:tmpl w:val="2E59DB79"/>
    <w:lvl w:ilvl="0" w:tentative="0">
      <w:start w:val="1"/>
      <w:numFmt w:val="decimal"/>
      <w:suff w:val="nothing"/>
      <w:lvlText w:val="（%1）"/>
      <w:lvlJc w:val="left"/>
    </w:lvl>
  </w:abstractNum>
  <w:num w:numId="1">
    <w:abstractNumId w:val="7"/>
  </w:num>
  <w:num w:numId="2">
    <w:abstractNumId w:val="3"/>
  </w:num>
  <w:num w:numId="3">
    <w:abstractNumId w:val="4"/>
  </w:num>
  <w:num w:numId="4">
    <w:abstractNumId w:val="6"/>
  </w:num>
  <w:num w:numId="5">
    <w:abstractNumId w:val="5"/>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152912"/>
    <w:rsid w:val="039D676C"/>
    <w:rsid w:val="631529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49"/>
    <w:qFormat/>
    <w:uiPriority w:val="0"/>
    <w:pPr>
      <w:keepNext/>
      <w:keepLines/>
      <w:widowControl w:val="0"/>
      <w:suppressLineNumbers w:val="0"/>
      <w:spacing w:before="480" w:beforeAutospacing="0" w:after="600" w:afterAutospacing="0" w:line="576" w:lineRule="auto"/>
      <w:ind w:left="0" w:right="0"/>
      <w:jc w:val="center"/>
      <w:outlineLvl w:val="0"/>
    </w:pPr>
    <w:rPr>
      <w:rFonts w:ascii="Times New Roman" w:hAnsi="Times New Roman" w:eastAsia="宋体"/>
      <w:b/>
      <w:kern w:val="44"/>
      <w:sz w:val="36"/>
      <w:szCs w:val="44"/>
    </w:rPr>
  </w:style>
  <w:style w:type="paragraph" w:styleId="3">
    <w:name w:val="heading 2"/>
    <w:basedOn w:val="1"/>
    <w:next w:val="1"/>
    <w:qFormat/>
    <w:uiPriority w:val="0"/>
    <w:pPr>
      <w:keepNext/>
      <w:keepLines/>
      <w:widowControl w:val="0"/>
      <w:suppressLineNumbers w:val="0"/>
      <w:spacing w:before="20" w:beforeAutospacing="0" w:after="20" w:afterAutospacing="0" w:line="415" w:lineRule="auto"/>
      <w:ind w:left="0" w:right="0"/>
      <w:jc w:val="both"/>
      <w:outlineLvl w:val="1"/>
    </w:pPr>
    <w:rPr>
      <w:rFonts w:ascii="Cambria" w:hAnsi="Cambria" w:eastAsia="宋体"/>
      <w:b/>
      <w:sz w:val="32"/>
      <w:szCs w:val="32"/>
    </w:rPr>
  </w:style>
  <w:style w:type="paragraph" w:styleId="4">
    <w:name w:val="heading 3"/>
    <w:basedOn w:val="3"/>
    <w:next w:val="1"/>
    <w:qFormat/>
    <w:uiPriority w:val="0"/>
    <w:pPr>
      <w:keepNext/>
      <w:keepLines/>
      <w:widowControl w:val="0"/>
      <w:suppressLineNumbers w:val="0"/>
      <w:spacing w:before="20" w:beforeAutospacing="0" w:after="20" w:afterAutospacing="0" w:line="240" w:lineRule="auto"/>
      <w:ind w:left="0" w:right="0"/>
      <w:jc w:val="both"/>
      <w:outlineLvl w:val="2"/>
    </w:pPr>
    <w:rPr>
      <w:rFonts w:ascii="Times New Roman" w:hAnsi="Times New Roman" w:eastAsia="宋体"/>
      <w:sz w:val="30"/>
      <w:szCs w:val="32"/>
    </w:rPr>
  </w:style>
  <w:style w:type="paragraph" w:styleId="5">
    <w:name w:val="heading 4"/>
    <w:basedOn w:val="1"/>
    <w:next w:val="1"/>
    <w:semiHidden/>
    <w:unhideWhenUsed/>
    <w:qFormat/>
    <w:uiPriority w:val="0"/>
    <w:pPr>
      <w:keepNext/>
      <w:keepLines/>
      <w:spacing w:beforeLines="0" w:beforeAutospacing="0" w:afterLines="0" w:afterAutospacing="0" w:line="360" w:lineRule="auto"/>
      <w:outlineLvl w:val="3"/>
    </w:pPr>
    <w:rPr>
      <w:rFonts w:ascii="Arial" w:hAnsi="Arial" w:eastAsia="宋体" w:cs="Times New Roman"/>
      <w:b/>
      <w:sz w:val="24"/>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6">
    <w:name w:val="table of authorities"/>
    <w:basedOn w:val="1"/>
    <w:next w:val="1"/>
    <w:qFormat/>
    <w:uiPriority w:val="0"/>
    <w:pPr>
      <w:ind w:left="420" w:leftChars="200"/>
    </w:pPr>
  </w:style>
  <w:style w:type="paragraph" w:styleId="7">
    <w:name w:val="annotation text"/>
    <w:basedOn w:val="1"/>
    <w:qFormat/>
    <w:uiPriority w:val="0"/>
    <w:pPr>
      <w:jc w:val="left"/>
    </w:pPr>
  </w:style>
  <w:style w:type="paragraph" w:styleId="8">
    <w:name w:val="Body Text"/>
    <w:basedOn w:val="1"/>
    <w:next w:val="9"/>
    <w:qFormat/>
    <w:uiPriority w:val="0"/>
    <w:rPr>
      <w:rFonts w:ascii="宋体"/>
      <w:sz w:val="18"/>
      <w:szCs w:val="20"/>
    </w:rPr>
  </w:style>
  <w:style w:type="paragraph" w:customStyle="1" w:styleId="9">
    <w:name w:val="xl27"/>
    <w:basedOn w:val="6"/>
    <w:next w:val="10"/>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0">
    <w:name w:val="Body Text Indent 2"/>
    <w:basedOn w:val="1"/>
    <w:next w:val="1"/>
    <w:unhideWhenUsed/>
    <w:qFormat/>
    <w:uiPriority w:val="99"/>
    <w:pPr>
      <w:spacing w:beforeLines="0" w:after="120" w:afterLines="0" w:line="480" w:lineRule="auto"/>
      <w:ind w:left="420" w:leftChars="200"/>
    </w:pPr>
    <w:rPr>
      <w:rFonts w:hint="default"/>
      <w:sz w:val="21"/>
      <w:szCs w:val="24"/>
    </w:rPr>
  </w:style>
  <w:style w:type="paragraph" w:styleId="11">
    <w:name w:val="toc 3"/>
    <w:basedOn w:val="1"/>
    <w:next w:val="1"/>
    <w:qFormat/>
    <w:uiPriority w:val="0"/>
    <w:pPr>
      <w:ind w:left="840" w:leftChars="400"/>
    </w:pPr>
  </w:style>
  <w:style w:type="paragraph" w:styleId="12">
    <w:name w:val="Plain Text"/>
    <w:basedOn w:val="1"/>
    <w:qFormat/>
    <w:uiPriority w:val="0"/>
    <w:pPr>
      <w:adjustRightInd w:val="0"/>
      <w:snapToGrid w:val="0"/>
    </w:pPr>
    <w:rPr>
      <w:rFonts w:hint="eastAsia" w:ascii="宋体" w:hAnsi="Courier New"/>
      <w:kern w:val="0"/>
    </w:rPr>
  </w:style>
  <w:style w:type="paragraph" w:styleId="13">
    <w:name w:val="toc 1"/>
    <w:basedOn w:val="1"/>
    <w:next w:val="1"/>
    <w:qFormat/>
    <w:uiPriority w:val="0"/>
  </w:style>
  <w:style w:type="paragraph" w:styleId="14">
    <w:name w:val="toc 2"/>
    <w:basedOn w:val="1"/>
    <w:next w:val="1"/>
    <w:qFormat/>
    <w:uiPriority w:val="0"/>
    <w:pPr>
      <w:ind w:left="420" w:leftChars="200"/>
    </w:pPr>
  </w:style>
  <w:style w:type="paragraph" w:styleId="15">
    <w:name w:val="Body Text First Indent"/>
    <w:basedOn w:val="8"/>
    <w:next w:val="1"/>
    <w:qFormat/>
    <w:uiPriority w:val="0"/>
    <w:pPr>
      <w:spacing w:line="500" w:lineRule="exact"/>
      <w:ind w:firstLine="493"/>
    </w:pPr>
    <w:rPr>
      <w:rFonts w:ascii="Times New Roman" w:hAnsi="Times New Roman"/>
      <w:spacing w:val="6"/>
      <w:kern w:val="24"/>
      <w:sz w:val="26"/>
      <w:szCs w:val="20"/>
    </w:rPr>
  </w:style>
  <w:style w:type="table" w:styleId="17">
    <w:name w:val="Table Grid"/>
    <w:basedOn w:val="16"/>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9">
    <w:name w:val="文章正文"/>
    <w:basedOn w:val="1"/>
    <w:qFormat/>
    <w:uiPriority w:val="0"/>
    <w:pPr>
      <w:spacing w:before="156" w:beforeLines="50" w:after="156" w:afterLines="50" w:line="360" w:lineRule="auto"/>
      <w:ind w:firstLine="480" w:firstLineChars="200"/>
    </w:pPr>
    <w:rPr>
      <w:rFonts w:ascii="宋体" w:hAnsi="宋体"/>
      <w:sz w:val="24"/>
      <w:szCs w:val="24"/>
    </w:rPr>
  </w:style>
  <w:style w:type="paragraph" w:customStyle="1" w:styleId="20">
    <w:name w:val="正文1"/>
    <w:basedOn w:val="12"/>
    <w:next w:val="1"/>
    <w:link w:val="50"/>
    <w:qFormat/>
    <w:uiPriority w:val="0"/>
    <w:pPr>
      <w:spacing w:line="360" w:lineRule="auto"/>
      <w:ind w:firstLine="723" w:firstLineChars="200"/>
    </w:pPr>
    <w:rPr>
      <w:rFonts w:ascii="Times New Roman" w:hAnsi="Times New Roman" w:eastAsia="宋体"/>
      <w:sz w:val="24"/>
    </w:rPr>
  </w:style>
  <w:style w:type="paragraph" w:customStyle="1" w:styleId="21">
    <w:name w:val="表格的标题"/>
    <w:basedOn w:val="1"/>
    <w:link w:val="46"/>
    <w:qFormat/>
    <w:uiPriority w:val="1"/>
    <w:pPr>
      <w:tabs>
        <w:tab w:val="left" w:pos="1021"/>
      </w:tabs>
      <w:adjustRightInd w:val="0"/>
      <w:spacing w:after="10" w:afterLines="10" w:line="240" w:lineRule="auto"/>
      <w:jc w:val="center"/>
      <w:textAlignment w:val="baseline"/>
    </w:pPr>
    <w:rPr>
      <w:b/>
      <w:color w:val="000000"/>
      <w:kern w:val="24"/>
      <w:sz w:val="21"/>
      <w:szCs w:val="21"/>
    </w:rPr>
  </w:style>
  <w:style w:type="paragraph" w:customStyle="1" w:styleId="22">
    <w:name w:val="表图标题"/>
    <w:basedOn w:val="1"/>
    <w:qFormat/>
    <w:uiPriority w:val="0"/>
    <w:pPr>
      <w:spacing w:line="240" w:lineRule="auto"/>
      <w:jc w:val="center"/>
    </w:pPr>
    <w:rPr>
      <w:rFonts w:ascii="Times New Roman" w:hAnsi="Times New Roman" w:eastAsia="宋体"/>
      <w:b/>
      <w:bCs/>
      <w:sz w:val="21"/>
    </w:rPr>
  </w:style>
  <w:style w:type="paragraph" w:customStyle="1" w:styleId="23">
    <w:name w:val="表文字"/>
    <w:basedOn w:val="22"/>
    <w:qFormat/>
    <w:uiPriority w:val="0"/>
    <w:pPr>
      <w:widowControl/>
      <w:spacing w:line="240" w:lineRule="auto"/>
      <w:textAlignment w:val="baseline"/>
    </w:pPr>
    <w:rPr>
      <w:rFonts w:ascii="Times New Roman" w:hAnsi="Times New Roman" w:eastAsia="宋体" w:cs="Times New Roman"/>
      <w:b w:val="0"/>
      <w:color w:val="000000"/>
      <w:kern w:val="0"/>
      <w:szCs w:val="21"/>
    </w:rPr>
  </w:style>
  <w:style w:type="paragraph" w:customStyle="1" w:styleId="24">
    <w:name w:val="表字体"/>
    <w:basedOn w:val="1"/>
    <w:next w:val="1"/>
    <w:qFormat/>
    <w:uiPriority w:val="0"/>
    <w:pPr>
      <w:jc w:val="center"/>
    </w:pPr>
    <w:rPr>
      <w:rFonts w:ascii="Times New Roman" w:hAnsi="Times New Roman" w:eastAsia="宋体"/>
    </w:rPr>
  </w:style>
  <w:style w:type="paragraph" w:customStyle="1" w:styleId="25">
    <w:name w:val="表格内容"/>
    <w:basedOn w:val="26"/>
    <w:next w:val="1"/>
    <w:qFormat/>
    <w:uiPriority w:val="0"/>
    <w:pPr>
      <w:jc w:val="center"/>
    </w:pPr>
    <w:rPr>
      <w:rFonts w:ascii="Times New Roman" w:hAnsi="Times New Roman" w:eastAsia="宋体" w:cs="Times New Roman"/>
      <w:sz w:val="21"/>
      <w:lang w:val="en-US" w:eastAsia="zh-CN" w:bidi="ar-SA"/>
    </w:rPr>
  </w:style>
  <w:style w:type="paragraph" w:customStyle="1" w:styleId="26">
    <w:name w:val="表格文字"/>
    <w:basedOn w:val="15"/>
    <w:qFormat/>
    <w:uiPriority w:val="0"/>
    <w:pPr>
      <w:adjustRightInd w:val="0"/>
      <w:snapToGrid w:val="0"/>
      <w:spacing w:after="0" w:afterLines="0" w:line="240" w:lineRule="auto"/>
      <w:ind w:firstLine="0" w:firstLineChars="0"/>
      <w:jc w:val="center"/>
    </w:pPr>
    <w:rPr>
      <w:rFonts w:ascii="Times New Roman" w:hAnsi="Times New Roman" w:eastAsia="宋体" w:cs="Times New Roman"/>
      <w:sz w:val="21"/>
      <w:szCs w:val="21"/>
    </w:rPr>
  </w:style>
  <w:style w:type="paragraph" w:customStyle="1" w:styleId="27">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28">
    <w:name w:val="表标题"/>
    <w:basedOn w:val="29"/>
    <w:link w:val="35"/>
    <w:qFormat/>
    <w:uiPriority w:val="0"/>
    <w:pPr>
      <w:jc w:val="center"/>
    </w:pPr>
    <w:rPr>
      <w:rFonts w:ascii="Times New Roman" w:hAnsi="Times New Roman" w:eastAsia="宋体"/>
      <w:b/>
    </w:rPr>
  </w:style>
  <w:style w:type="paragraph" w:customStyle="1" w:styleId="29">
    <w:name w:val="正文01"/>
    <w:basedOn w:val="1"/>
    <w:qFormat/>
    <w:uiPriority w:val="0"/>
    <w:pPr>
      <w:adjustRightInd w:val="0"/>
      <w:spacing w:line="520" w:lineRule="exact"/>
      <w:ind w:firstLine="527" w:firstLineChars="0"/>
      <w:textAlignment w:val="baseline"/>
    </w:pPr>
    <w:rPr>
      <w:rFonts w:ascii="Times New Roman" w:hAnsi="Times New Roman" w:eastAsia="宋体" w:cs="Times New Roman"/>
      <w:bCs/>
      <w:sz w:val="24"/>
    </w:rPr>
  </w:style>
  <w:style w:type="paragraph" w:customStyle="1" w:styleId="30">
    <w:name w:val="表格题目"/>
    <w:basedOn w:val="31"/>
    <w:qFormat/>
    <w:uiPriority w:val="0"/>
    <w:rPr>
      <w:b/>
    </w:rPr>
  </w:style>
  <w:style w:type="paragraph" w:customStyle="1" w:styleId="31">
    <w:name w:val="表格正文"/>
    <w:basedOn w:val="1"/>
    <w:qFormat/>
    <w:uiPriority w:val="0"/>
    <w:pPr>
      <w:spacing w:line="240" w:lineRule="auto"/>
      <w:jc w:val="center"/>
    </w:pPr>
    <w:rPr>
      <w:rFonts w:ascii="Times New Roman" w:hAnsi="Times New Roman"/>
      <w:sz w:val="21"/>
    </w:rPr>
  </w:style>
  <w:style w:type="paragraph" w:customStyle="1" w:styleId="32">
    <w:name w:val="lh-正文-报告书"/>
    <w:qFormat/>
    <w:uiPriority w:val="0"/>
    <w:pPr>
      <w:widowControl w:val="0"/>
      <w:spacing w:line="480" w:lineRule="exact"/>
      <w:ind w:firstLine="482" w:firstLineChars="200"/>
      <w:jc w:val="both"/>
    </w:pPr>
    <w:rPr>
      <w:rFonts w:ascii="Times New Roman" w:hAnsi="Times New Roman" w:eastAsia="宋体" w:cs="Times New Roman"/>
      <w:snapToGrid w:val="0"/>
      <w:sz w:val="24"/>
      <w:szCs w:val="21"/>
      <w:lang w:val="en-US" w:eastAsia="zh-CN" w:bidi="ar-SA"/>
    </w:rPr>
  </w:style>
  <w:style w:type="table" w:customStyle="1" w:styleId="33">
    <w:name w:val="Table Normal"/>
    <w:unhideWhenUsed/>
    <w:qFormat/>
    <w:uiPriority w:val="2"/>
    <w:tblPr>
      <w:tblCellMar>
        <w:top w:w="0" w:type="dxa"/>
        <w:left w:w="0" w:type="dxa"/>
        <w:bottom w:w="0" w:type="dxa"/>
        <w:right w:w="0" w:type="dxa"/>
      </w:tblCellMar>
    </w:tblPr>
  </w:style>
  <w:style w:type="paragraph" w:customStyle="1" w:styleId="34">
    <w:name w:val="表格五号"/>
    <w:basedOn w:val="1"/>
    <w:qFormat/>
    <w:uiPriority w:val="0"/>
    <w:pPr>
      <w:spacing w:line="240" w:lineRule="auto"/>
      <w:ind w:firstLine="0" w:firstLineChars="0"/>
      <w:jc w:val="center"/>
    </w:pPr>
    <w:rPr>
      <w:sz w:val="21"/>
    </w:rPr>
  </w:style>
  <w:style w:type="character" w:customStyle="1" w:styleId="35">
    <w:name w:val="表标题 Char"/>
    <w:link w:val="28"/>
    <w:qFormat/>
    <w:uiPriority w:val="0"/>
    <w:rPr>
      <w:rFonts w:ascii="Times New Roman" w:hAnsi="Times New Roman" w:eastAsia="宋体"/>
      <w:b/>
    </w:rPr>
  </w:style>
  <w:style w:type="paragraph" w:customStyle="1" w:styleId="36">
    <w:name w:val="Table Paragraph"/>
    <w:basedOn w:val="1"/>
    <w:qFormat/>
    <w:uiPriority w:val="1"/>
    <w:pPr>
      <w:jc w:val="center"/>
    </w:pPr>
    <w:rPr>
      <w:rFonts w:ascii="宋体" w:hAnsi="宋体" w:eastAsia="宋体" w:cs="宋体"/>
      <w:lang w:val="zh-CN" w:eastAsia="zh-CN" w:bidi="zh-CN"/>
    </w:rPr>
  </w:style>
  <w:style w:type="paragraph" w:styleId="37">
    <w:name w:val="List Paragraph"/>
    <w:basedOn w:val="1"/>
    <w:qFormat/>
    <w:uiPriority w:val="34"/>
    <w:pPr>
      <w:ind w:firstLine="420" w:firstLineChars="200"/>
    </w:pPr>
  </w:style>
  <w:style w:type="paragraph" w:customStyle="1" w:styleId="38">
    <w:name w:val="表题、图题"/>
    <w:basedOn w:val="1"/>
    <w:next w:val="1"/>
    <w:qFormat/>
    <w:uiPriority w:val="0"/>
    <w:pPr>
      <w:ind w:firstLine="0" w:firstLineChars="0"/>
      <w:jc w:val="center"/>
    </w:pPr>
    <w:rPr>
      <w:b/>
    </w:rPr>
  </w:style>
  <w:style w:type="character" w:customStyle="1" w:styleId="39">
    <w:name w:val="font01"/>
    <w:basedOn w:val="18"/>
    <w:qFormat/>
    <w:uiPriority w:val="0"/>
    <w:rPr>
      <w:rFonts w:hint="eastAsia" w:ascii="宋体" w:hAnsi="宋体" w:eastAsia="宋体" w:cs="宋体"/>
      <w:color w:val="000000"/>
      <w:sz w:val="24"/>
      <w:szCs w:val="24"/>
      <w:u w:val="none"/>
    </w:rPr>
  </w:style>
  <w:style w:type="character" w:customStyle="1" w:styleId="40">
    <w:name w:val="font251"/>
    <w:basedOn w:val="18"/>
    <w:qFormat/>
    <w:uiPriority w:val="0"/>
    <w:rPr>
      <w:rFonts w:hint="default" w:ascii="Times New Roman" w:hAnsi="Times New Roman" w:cs="Times New Roman"/>
      <w:color w:val="FF0000"/>
      <w:sz w:val="22"/>
      <w:szCs w:val="22"/>
      <w:u w:val="none"/>
    </w:rPr>
  </w:style>
  <w:style w:type="character" w:customStyle="1" w:styleId="41">
    <w:name w:val="font311"/>
    <w:basedOn w:val="18"/>
    <w:qFormat/>
    <w:uiPriority w:val="0"/>
    <w:rPr>
      <w:rFonts w:hint="eastAsia" w:ascii="宋体" w:hAnsi="宋体" w:eastAsia="宋体" w:cs="宋体"/>
      <w:color w:val="000000"/>
      <w:sz w:val="28"/>
      <w:szCs w:val="28"/>
      <w:u w:val="none"/>
    </w:rPr>
  </w:style>
  <w:style w:type="character" w:customStyle="1" w:styleId="42">
    <w:name w:val="font341"/>
    <w:basedOn w:val="18"/>
    <w:qFormat/>
    <w:uiPriority w:val="0"/>
    <w:rPr>
      <w:rFonts w:hint="default" w:ascii="Times New Roman" w:hAnsi="Times New Roman" w:cs="Times New Roman"/>
      <w:color w:val="000000"/>
      <w:sz w:val="28"/>
      <w:szCs w:val="28"/>
      <w:u w:val="none"/>
    </w:rPr>
  </w:style>
  <w:style w:type="character" w:customStyle="1" w:styleId="43">
    <w:name w:val="font401"/>
    <w:basedOn w:val="18"/>
    <w:qFormat/>
    <w:uiPriority w:val="0"/>
    <w:rPr>
      <w:rFonts w:hint="eastAsia" w:ascii="宋体" w:hAnsi="宋体" w:eastAsia="宋体" w:cs="宋体"/>
      <w:color w:val="FF0000"/>
      <w:sz w:val="28"/>
      <w:szCs w:val="28"/>
      <w:u w:val="none"/>
    </w:rPr>
  </w:style>
  <w:style w:type="character" w:customStyle="1" w:styleId="44">
    <w:name w:val="font412"/>
    <w:basedOn w:val="18"/>
    <w:qFormat/>
    <w:uiPriority w:val="0"/>
    <w:rPr>
      <w:rFonts w:hint="default" w:ascii="Times New Roman" w:hAnsi="Times New Roman" w:cs="Times New Roman"/>
      <w:color w:val="000000"/>
      <w:sz w:val="28"/>
      <w:szCs w:val="28"/>
      <w:u w:val="none"/>
    </w:rPr>
  </w:style>
  <w:style w:type="character" w:customStyle="1" w:styleId="45">
    <w:name w:val="font32"/>
    <w:basedOn w:val="18"/>
    <w:qFormat/>
    <w:uiPriority w:val="0"/>
    <w:rPr>
      <w:rFonts w:hint="default" w:ascii="Times New Roman" w:hAnsi="Times New Roman" w:cs="Times New Roman"/>
      <w:color w:val="000000"/>
      <w:sz w:val="20"/>
      <w:szCs w:val="20"/>
      <w:u w:val="none"/>
    </w:rPr>
  </w:style>
  <w:style w:type="character" w:customStyle="1" w:styleId="46">
    <w:name w:val="表格的标题 Char"/>
    <w:link w:val="21"/>
    <w:qFormat/>
    <w:uiPriority w:val="1"/>
    <w:rPr>
      <w:b/>
      <w:color w:val="000000"/>
      <w:kern w:val="24"/>
      <w:sz w:val="21"/>
      <w:szCs w:val="21"/>
    </w:rPr>
  </w:style>
  <w:style w:type="character" w:customStyle="1" w:styleId="47">
    <w:name w:val="font491"/>
    <w:basedOn w:val="18"/>
    <w:qFormat/>
    <w:uiPriority w:val="0"/>
    <w:rPr>
      <w:rFonts w:hint="default" w:ascii="Times New Roman" w:hAnsi="Times New Roman" w:cs="Times New Roman"/>
      <w:b/>
      <w:color w:val="FF0000"/>
      <w:sz w:val="20"/>
      <w:szCs w:val="20"/>
      <w:u w:val="none"/>
    </w:rPr>
  </w:style>
  <w:style w:type="character" w:customStyle="1" w:styleId="48">
    <w:name w:val="font481"/>
    <w:basedOn w:val="18"/>
    <w:qFormat/>
    <w:uiPriority w:val="0"/>
    <w:rPr>
      <w:rFonts w:hint="default" w:ascii="Times New Roman" w:hAnsi="Times New Roman" w:cs="Times New Roman"/>
      <w:b/>
      <w:color w:val="FF0000"/>
      <w:sz w:val="20"/>
      <w:szCs w:val="20"/>
      <w:u w:val="none"/>
      <w:vertAlign w:val="superscript"/>
    </w:rPr>
  </w:style>
  <w:style w:type="character" w:customStyle="1" w:styleId="49">
    <w:name w:val="标题 1 Char"/>
    <w:link w:val="2"/>
    <w:qFormat/>
    <w:uiPriority w:val="0"/>
    <w:rPr>
      <w:rFonts w:ascii="Times New Roman" w:hAnsi="Times New Roman" w:eastAsia="宋体"/>
      <w:b/>
      <w:kern w:val="44"/>
      <w:sz w:val="36"/>
      <w:szCs w:val="44"/>
    </w:rPr>
  </w:style>
  <w:style w:type="character" w:customStyle="1" w:styleId="50">
    <w:name w:val="正文1 Char"/>
    <w:link w:val="20"/>
    <w:qFormat/>
    <w:uiPriority w:val="0"/>
    <w:rPr>
      <w:rFonts w:ascii="Times New Roman" w:hAnsi="Times New Roman" w:eastAsia="宋体"/>
      <w:sz w:val="24"/>
    </w:rPr>
  </w:style>
  <w:style w:type="paragraph" w:customStyle="1" w:styleId="51">
    <w:name w:val="表格正文111"/>
    <w:basedOn w:val="38"/>
    <w:qFormat/>
    <w:uiPriority w:val="0"/>
    <w:pPr>
      <w:snapToGrid w:val="0"/>
      <w:spacing w:line="240" w:lineRule="auto"/>
    </w:pPr>
    <w:rPr>
      <w:b w:val="0"/>
      <w:sz w:val="21"/>
    </w:rPr>
  </w:style>
  <w:style w:type="paragraph" w:customStyle="1" w:styleId="52">
    <w:name w:val="段落"/>
    <w:basedOn w:val="1"/>
    <w:qFormat/>
    <w:uiPriority w:val="0"/>
    <w:pPr>
      <w:tabs>
        <w:tab w:val="left" w:pos="1021"/>
      </w:tabs>
      <w:spacing w:line="520" w:lineRule="exact"/>
      <w:ind w:firstLine="480" w:firstLineChars="200"/>
    </w:pPr>
    <w:rPr>
      <w:rFonts w:hAnsi="宋体"/>
      <w:kern w:val="24"/>
      <w:sz w:val="24"/>
      <w:szCs w:val="24"/>
    </w:rPr>
  </w:style>
  <w:style w:type="paragraph" w:customStyle="1" w:styleId="53">
    <w:name w:val="报告书内容"/>
    <w:basedOn w:val="1"/>
    <w:qFormat/>
    <w:uiPriority w:val="0"/>
    <w:pPr>
      <w:ind w:firstLine="200" w:firstLineChars="200"/>
    </w:pPr>
    <w:rPr>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4" Type="http://schemas.openxmlformats.org/officeDocument/2006/relationships/fontTable" Target="fontTable.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wmf"/><Relationship Id="rId50" Type="http://schemas.openxmlformats.org/officeDocument/2006/relationships/oleObject" Target="embeddings/oleObject11.bin"/><Relationship Id="rId5" Type="http://schemas.openxmlformats.org/officeDocument/2006/relationships/header" Target="header2.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emf"/><Relationship Id="rId41" Type="http://schemas.openxmlformats.org/officeDocument/2006/relationships/oleObject" Target="embeddings/oleObject10.bin"/><Relationship Id="rId40" Type="http://schemas.openxmlformats.org/officeDocument/2006/relationships/image" Target="media/image17.emf"/><Relationship Id="rId4" Type="http://schemas.openxmlformats.org/officeDocument/2006/relationships/footer" Target="footer1.xml"/><Relationship Id="rId39" Type="http://schemas.openxmlformats.org/officeDocument/2006/relationships/oleObject" Target="embeddings/oleObject9.bin"/><Relationship Id="rId38" Type="http://schemas.openxmlformats.org/officeDocument/2006/relationships/image" Target="media/image16.emf"/><Relationship Id="rId37" Type="http://schemas.openxmlformats.org/officeDocument/2006/relationships/oleObject" Target="embeddings/oleObject8.bin"/><Relationship Id="rId36" Type="http://schemas.openxmlformats.org/officeDocument/2006/relationships/image" Target="media/image15.emf"/><Relationship Id="rId35" Type="http://schemas.openxmlformats.org/officeDocument/2006/relationships/oleObject" Target="embeddings/oleObject7.bin"/><Relationship Id="rId34" Type="http://schemas.openxmlformats.org/officeDocument/2006/relationships/image" Target="media/image14.emf"/><Relationship Id="rId33" Type="http://schemas.openxmlformats.org/officeDocument/2006/relationships/oleObject" Target="embeddings/oleObject6.bin"/><Relationship Id="rId32" Type="http://schemas.openxmlformats.org/officeDocument/2006/relationships/image" Target="media/image13.emf"/><Relationship Id="rId31" Type="http://schemas.openxmlformats.org/officeDocument/2006/relationships/oleObject" Target="embeddings/oleObject5.bin"/><Relationship Id="rId30" Type="http://schemas.openxmlformats.org/officeDocument/2006/relationships/image" Target="media/image12.wmf"/><Relationship Id="rId3" Type="http://schemas.openxmlformats.org/officeDocument/2006/relationships/header" Target="header1.xml"/><Relationship Id="rId29" Type="http://schemas.openxmlformats.org/officeDocument/2006/relationships/oleObject" Target="embeddings/oleObject4.bin"/><Relationship Id="rId28" Type="http://schemas.openxmlformats.org/officeDocument/2006/relationships/image" Target="media/image11.wmf"/><Relationship Id="rId27" Type="http://schemas.openxmlformats.org/officeDocument/2006/relationships/oleObject" Target="embeddings/oleObject3.bin"/><Relationship Id="rId26" Type="http://schemas.openxmlformats.org/officeDocument/2006/relationships/image" Target="media/image10.wmf"/><Relationship Id="rId25" Type="http://schemas.openxmlformats.org/officeDocument/2006/relationships/oleObject" Target="embeddings/oleObject2.bin"/><Relationship Id="rId24" Type="http://schemas.openxmlformats.org/officeDocument/2006/relationships/image" Target="media/image9.emf"/><Relationship Id="rId23" Type="http://schemas.openxmlformats.org/officeDocument/2006/relationships/oleObject" Target="embeddings/oleObject1.bin"/><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221</Pages>
  <Words>0</Words>
  <Characters>0</Characters>
  <Lines>0</Lines>
  <Paragraphs>0</Paragraphs>
  <TotalTime>0</TotalTime>
  <ScaleCrop>false</ScaleCrop>
  <LinksUpToDate>false</LinksUpToDate>
  <CharactersWithSpaces>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2026-01-15T04:18:00Z</dcterms:created>
  <dc:creator>安*</dc:creator>
  <cp:lastModifiedBy>安*</cp:lastModifiedBy>
  <dcterms:modified xsi:type="dcterms:W3CDTF">2026-01-15T04:20:41Z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5E0DCDBB799D4F20B05B8C9CB2ED408E_11</vt:lpwstr>
  </property>
  <property fmtid="{D5CDD505-2E9C-101B-9397-08002B2CF9AE}" pid="4" name="KSOTemplateDocerSaveRecord">
    <vt:lpwstr>eyJoZGlkIjoiMTQ0ZjMxZjA3NDZjMWE5ZTE3NmUxNjQ0OThkM2ZjZDEiLCJ1c2VySWQiOiI0MDgzMjIxNTQifQ==</vt:lpwstr>
  </property>
</Properties>
</file>